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65FF" w:rsidRDefault="008476BE">
      <w:pPr>
        <w:pStyle w:val="a3"/>
        <w:spacing w:before="74"/>
        <w:ind w:left="157" w:right="30"/>
        <w:jc w:val="center"/>
      </w:pPr>
      <w:r w:rsidRPr="008476BE">
        <w:pict>
          <v:shape id="docshape1" o:spid="_x0000_s1034" style="position:absolute;left:0;text-align:left;margin-left:99pt;margin-top:20.5pt;width:454pt;height:.1pt;z-index:-15728640;mso-wrap-distance-left:0;mso-wrap-distance-right:0;mso-position-horizontal-relative:page" coordorigin="1980,410" coordsize="9080,0" path="m1980,410r9080,e" filled="f" strokeweight="1pt">
            <v:path arrowok="t"/>
            <w10:wrap type="topAndBottom" anchorx="page"/>
          </v:shape>
        </w:pict>
      </w:r>
      <w:r w:rsidR="00B2180F">
        <w:t>ОДЕСЬКИЙНАЦІОНАЛЬНИЙУНІВЕРСИТЕТІМЕНІІ.І.</w:t>
      </w:r>
      <w:r w:rsidR="00B2180F">
        <w:rPr>
          <w:spacing w:val="-2"/>
        </w:rPr>
        <w:t>МЕЧНИКОВА</w:t>
      </w:r>
    </w:p>
    <w:p w:rsidR="002C65FF" w:rsidRDefault="00B2180F">
      <w:pPr>
        <w:spacing w:before="6"/>
        <w:ind w:left="157" w:right="30"/>
        <w:jc w:val="center"/>
        <w:rPr>
          <w:sz w:val="20"/>
        </w:rPr>
      </w:pPr>
      <w:r>
        <w:rPr>
          <w:sz w:val="20"/>
        </w:rPr>
        <w:t>(повненайменуваннязакладувищої</w:t>
      </w:r>
      <w:r>
        <w:rPr>
          <w:spacing w:val="-2"/>
          <w:sz w:val="20"/>
        </w:rPr>
        <w:t>освіти)</w:t>
      </w:r>
    </w:p>
    <w:p w:rsidR="002C65FF" w:rsidRDefault="002C65FF">
      <w:pPr>
        <w:pStyle w:val="a3"/>
        <w:spacing w:before="9"/>
        <w:ind w:left="0"/>
        <w:jc w:val="left"/>
        <w:rPr>
          <w:sz w:val="20"/>
        </w:rPr>
      </w:pPr>
    </w:p>
    <w:p w:rsidR="002C65FF" w:rsidRDefault="008476BE">
      <w:pPr>
        <w:pStyle w:val="a3"/>
        <w:spacing w:before="1"/>
        <w:ind w:left="0" w:right="1028"/>
        <w:jc w:val="right"/>
      </w:pPr>
      <w:r w:rsidRPr="008476BE">
        <w:pict>
          <v:shape id="docshape2" o:spid="_x0000_s1033" style="position:absolute;left:0;text-align:left;margin-left:99pt;margin-top:17.75pt;width:454pt;height:.1pt;z-index:-15728128;mso-wrap-distance-left:0;mso-wrap-distance-right:0;mso-position-horizontal-relative:page" coordorigin="1980,355" coordsize="9080,0" path="m1980,355r9080,e" filled="f" strokeweight="1pt">
            <v:path arrowok="t"/>
            <w10:wrap type="topAndBottom" anchorx="page"/>
          </v:shape>
        </w:pict>
      </w:r>
      <w:r w:rsidR="00B2180F">
        <w:t>Факультетміжнароднихвідносин,політологіїта</w:t>
      </w:r>
      <w:r w:rsidR="00B2180F">
        <w:rPr>
          <w:spacing w:val="-2"/>
        </w:rPr>
        <w:t>соціології</w:t>
      </w:r>
    </w:p>
    <w:p w:rsidR="002C65FF" w:rsidRDefault="00B2180F">
      <w:pPr>
        <w:ind w:left="157" w:right="30"/>
        <w:jc w:val="center"/>
        <w:rPr>
          <w:sz w:val="18"/>
        </w:rPr>
      </w:pPr>
      <w:r>
        <w:rPr>
          <w:sz w:val="18"/>
        </w:rPr>
        <w:t>(повненайменування</w:t>
      </w:r>
      <w:r>
        <w:rPr>
          <w:spacing w:val="-2"/>
          <w:sz w:val="18"/>
        </w:rPr>
        <w:t>факультету)</w:t>
      </w:r>
    </w:p>
    <w:p w:rsidR="002C65FF" w:rsidRDefault="002C65FF">
      <w:pPr>
        <w:pStyle w:val="a3"/>
        <w:spacing w:before="20"/>
        <w:ind w:left="0"/>
        <w:jc w:val="left"/>
        <w:rPr>
          <w:sz w:val="18"/>
        </w:rPr>
      </w:pPr>
    </w:p>
    <w:p w:rsidR="002C65FF" w:rsidRPr="001D0E8B" w:rsidRDefault="008476BE">
      <w:pPr>
        <w:pStyle w:val="a3"/>
        <w:spacing w:before="1"/>
        <w:ind w:left="157" w:right="30"/>
        <w:jc w:val="center"/>
      </w:pPr>
      <w:r w:rsidRPr="008476BE">
        <w:pict>
          <v:shape id="docshape3" o:spid="_x0000_s1032" style="position:absolute;left:0;text-align:left;margin-left:99pt;margin-top:16.8pt;width:454pt;height:.1pt;z-index:-15727616;mso-wrap-distance-left:0;mso-wrap-distance-right:0;mso-position-horizontal-relative:page" coordorigin="1980,336" coordsize="9080,0" path="m1980,336r9080,e" filled="f" strokeweight="1pt">
            <v:path arrowok="t"/>
            <w10:wrap type="topAndBottom" anchorx="page"/>
          </v:shape>
        </w:pict>
      </w:r>
      <w:r w:rsidR="00D02D2C" w:rsidRPr="001D0E8B">
        <w:t xml:space="preserve"> </w:t>
      </w:r>
    </w:p>
    <w:p w:rsidR="002C65FF" w:rsidRDefault="00B2180F">
      <w:pPr>
        <w:spacing w:before="6"/>
        <w:ind w:left="157" w:right="30"/>
        <w:jc w:val="center"/>
        <w:rPr>
          <w:sz w:val="18"/>
        </w:rPr>
      </w:pPr>
      <w:r>
        <w:rPr>
          <w:sz w:val="18"/>
        </w:rPr>
        <w:t>(повнаназва</w:t>
      </w:r>
      <w:r>
        <w:rPr>
          <w:spacing w:val="-2"/>
          <w:sz w:val="18"/>
        </w:rPr>
        <w:t>кафедри)</w:t>
      </w:r>
    </w:p>
    <w:p w:rsidR="002C65FF" w:rsidRDefault="002C65FF">
      <w:pPr>
        <w:pStyle w:val="a3"/>
        <w:spacing w:before="115"/>
        <w:ind w:left="0"/>
        <w:jc w:val="left"/>
        <w:rPr>
          <w:sz w:val="18"/>
        </w:rPr>
      </w:pPr>
    </w:p>
    <w:p w:rsidR="002C65FF" w:rsidRDefault="00B2180F">
      <w:pPr>
        <w:pStyle w:val="a4"/>
      </w:pPr>
      <w:r>
        <w:t>Кваліфікаційна</w:t>
      </w:r>
      <w:r>
        <w:rPr>
          <w:spacing w:val="-2"/>
        </w:rPr>
        <w:t>робота</w:t>
      </w:r>
    </w:p>
    <w:p w:rsidR="002C65FF" w:rsidRDefault="00B2180F">
      <w:pPr>
        <w:pStyle w:val="a3"/>
        <w:tabs>
          <w:tab w:val="left" w:pos="933"/>
          <w:tab w:val="left" w:pos="7079"/>
        </w:tabs>
        <w:spacing w:before="240"/>
        <w:ind w:left="0" w:right="1011"/>
        <w:jc w:val="right"/>
      </w:pPr>
      <w:r>
        <w:rPr>
          <w:u w:val="thick"/>
        </w:rPr>
        <w:tab/>
        <w:t>наздобуттяступенявищоїосвіти</w:t>
      </w:r>
      <w:r>
        <w:rPr>
          <w:spacing w:val="-2"/>
          <w:u w:val="thick"/>
        </w:rPr>
        <w:t>«магістр»</w:t>
      </w:r>
      <w:r>
        <w:rPr>
          <w:u w:val="thick"/>
        </w:rPr>
        <w:tab/>
      </w:r>
    </w:p>
    <w:p w:rsidR="002C65FF" w:rsidRDefault="002C65FF">
      <w:pPr>
        <w:pStyle w:val="a3"/>
        <w:spacing w:before="30"/>
        <w:ind w:left="0"/>
        <w:jc w:val="left"/>
      </w:pPr>
    </w:p>
    <w:p w:rsidR="002C65FF" w:rsidRDefault="00B2180F">
      <w:pPr>
        <w:ind w:left="157" w:right="28"/>
        <w:jc w:val="center"/>
        <w:rPr>
          <w:b/>
          <w:sz w:val="20"/>
        </w:rPr>
      </w:pPr>
      <w:r>
        <w:rPr>
          <w:b/>
          <w:sz w:val="28"/>
        </w:rPr>
        <w:t>«РегіональнівимірибезпекиПівденногоКавказутаЦентральноїАзії» (</w:t>
      </w:r>
      <w:r>
        <w:rPr>
          <w:b/>
          <w:sz w:val="20"/>
        </w:rPr>
        <w:t>тема кваліфікаційної роботи українською мовою)</w:t>
      </w:r>
    </w:p>
    <w:p w:rsidR="002C65FF" w:rsidRDefault="00B2180F">
      <w:pPr>
        <w:ind w:left="157" w:right="28"/>
        <w:jc w:val="center"/>
        <w:rPr>
          <w:b/>
          <w:sz w:val="20"/>
        </w:rPr>
      </w:pPr>
      <w:r>
        <w:rPr>
          <w:b/>
          <w:sz w:val="28"/>
        </w:rPr>
        <w:t>«RegionaldimensionsofsecurityintheSouthCaucasusandCentralAsia» (</w:t>
      </w:r>
      <w:r>
        <w:rPr>
          <w:b/>
          <w:sz w:val="20"/>
        </w:rPr>
        <w:t>тема кваліфікаційної роботи англійською мовою)</w:t>
      </w:r>
    </w:p>
    <w:p w:rsidR="002C65FF" w:rsidRDefault="002C65FF">
      <w:pPr>
        <w:pStyle w:val="a3"/>
        <w:ind w:left="0"/>
        <w:jc w:val="left"/>
        <w:rPr>
          <w:b/>
        </w:rPr>
      </w:pPr>
    </w:p>
    <w:p w:rsidR="002C65FF" w:rsidRDefault="00B2180F">
      <w:pPr>
        <w:pStyle w:val="a3"/>
        <w:ind w:left="4259"/>
        <w:jc w:val="left"/>
      </w:pPr>
      <w:r>
        <w:rPr>
          <w:spacing w:val="-2"/>
        </w:rPr>
        <w:t xml:space="preserve">Виконав:здобувачденноїформинавчання </w:t>
      </w:r>
      <w:r>
        <w:t xml:space="preserve">спеціальності </w:t>
      </w:r>
      <w:r>
        <w:rPr>
          <w:u w:val="thick"/>
        </w:rPr>
        <w:t>№ 291</w:t>
      </w:r>
    </w:p>
    <w:p w:rsidR="002C65FF" w:rsidRDefault="00B2180F">
      <w:pPr>
        <w:pStyle w:val="a3"/>
        <w:ind w:left="4259"/>
        <w:jc w:val="left"/>
      </w:pPr>
      <w:r>
        <w:rPr>
          <w:spacing w:val="-2"/>
          <w:u w:val="thick"/>
        </w:rPr>
        <w:t>Міжнароднівідносини,</w:t>
      </w:r>
    </w:p>
    <w:p w:rsidR="002C65FF" w:rsidRDefault="00B2180F">
      <w:pPr>
        <w:pStyle w:val="a3"/>
        <w:ind w:left="4259"/>
        <w:jc w:val="left"/>
      </w:pPr>
      <w:r>
        <w:rPr>
          <w:u w:val="thick"/>
        </w:rPr>
        <w:t>суспільнікомунікаціїтарегіональні</w:t>
      </w:r>
      <w:r>
        <w:rPr>
          <w:spacing w:val="-2"/>
          <w:u w:val="thick"/>
        </w:rPr>
        <w:t>студії</w:t>
      </w:r>
    </w:p>
    <w:p w:rsidR="002C65FF" w:rsidRDefault="00B2180F">
      <w:pPr>
        <w:ind w:left="4130" w:right="28"/>
        <w:jc w:val="center"/>
        <w:rPr>
          <w:sz w:val="20"/>
        </w:rPr>
      </w:pPr>
      <w:r>
        <w:rPr>
          <w:spacing w:val="-2"/>
          <w:sz w:val="20"/>
        </w:rPr>
        <w:t>(код,назваспеціальності)</w:t>
      </w:r>
    </w:p>
    <w:p w:rsidR="002C65FF" w:rsidRDefault="00B2180F">
      <w:pPr>
        <w:pStyle w:val="a3"/>
        <w:ind w:left="4259"/>
        <w:jc w:val="left"/>
      </w:pPr>
      <w:r>
        <w:t>Освітняпрограма:</w:t>
      </w:r>
      <w:r>
        <w:rPr>
          <w:u w:val="thick"/>
        </w:rPr>
        <w:t>Міжнароднівідносини,суспільнікомунікаціїтарегіональні</w:t>
      </w:r>
      <w:r>
        <w:rPr>
          <w:spacing w:val="-2"/>
          <w:u w:val="thick"/>
        </w:rPr>
        <w:t>студії</w:t>
      </w:r>
    </w:p>
    <w:p w:rsidR="002C65FF" w:rsidRDefault="00B2180F">
      <w:pPr>
        <w:ind w:left="4130" w:right="28"/>
        <w:jc w:val="center"/>
        <w:rPr>
          <w:sz w:val="20"/>
        </w:rPr>
      </w:pPr>
      <w:r>
        <w:rPr>
          <w:spacing w:val="-2"/>
          <w:sz w:val="20"/>
        </w:rPr>
        <w:t>(назва)</w:t>
      </w:r>
    </w:p>
    <w:p w:rsidR="002C65FF" w:rsidRPr="00D02D2C" w:rsidRDefault="00D02D2C" w:rsidP="00D02D2C">
      <w:pPr>
        <w:pStyle w:val="a3"/>
        <w:ind w:left="0" w:right="1012"/>
        <w:jc w:val="center"/>
        <w:rPr>
          <w:b/>
          <w:u w:val="single"/>
        </w:rPr>
      </w:pPr>
      <w:r w:rsidRPr="001D0E8B">
        <w:t xml:space="preserve">                                                                 </w:t>
      </w:r>
      <w:r w:rsidR="00B2180F" w:rsidRPr="00D02D2C">
        <w:rPr>
          <w:b/>
          <w:u w:val="single"/>
        </w:rPr>
        <w:t>Зейналов</w:t>
      </w:r>
      <w:r w:rsidRPr="001D0E8B">
        <w:rPr>
          <w:b/>
          <w:u w:val="single"/>
        </w:rPr>
        <w:t xml:space="preserve"> </w:t>
      </w:r>
      <w:r w:rsidR="00B2180F" w:rsidRPr="00D02D2C">
        <w:rPr>
          <w:b/>
          <w:u w:val="single"/>
        </w:rPr>
        <w:t>Денис</w:t>
      </w:r>
      <w:r w:rsidRPr="001D0E8B">
        <w:rPr>
          <w:b/>
          <w:u w:val="single"/>
        </w:rPr>
        <w:t xml:space="preserve"> </w:t>
      </w:r>
      <w:r w:rsidR="00B2180F" w:rsidRPr="00D02D2C">
        <w:rPr>
          <w:b/>
          <w:spacing w:val="-2"/>
          <w:u w:val="single"/>
        </w:rPr>
        <w:t>Русланович</w:t>
      </w:r>
    </w:p>
    <w:p w:rsidR="002C65FF" w:rsidRDefault="00B2180F">
      <w:pPr>
        <w:ind w:left="4130" w:right="28"/>
        <w:jc w:val="center"/>
        <w:rPr>
          <w:sz w:val="20"/>
        </w:rPr>
      </w:pPr>
      <w:r>
        <w:rPr>
          <w:spacing w:val="-2"/>
          <w:sz w:val="20"/>
        </w:rPr>
        <w:t>(прізвище,ім’я,по-батьковіздобувача)</w:t>
      </w:r>
    </w:p>
    <w:p w:rsidR="002C65FF" w:rsidRDefault="00D02D2C">
      <w:pPr>
        <w:pStyle w:val="a3"/>
        <w:tabs>
          <w:tab w:val="left" w:pos="4544"/>
          <w:tab w:val="left" w:pos="8986"/>
        </w:tabs>
        <w:ind w:left="2549"/>
        <w:jc w:val="left"/>
      </w:pPr>
      <w:r w:rsidRPr="001D0E8B">
        <w:rPr>
          <w:spacing w:val="-2"/>
        </w:rPr>
        <w:t xml:space="preserve">   </w:t>
      </w:r>
      <w:r w:rsidR="00E731D2" w:rsidRPr="001D0E8B">
        <w:rPr>
          <w:spacing w:val="-2"/>
        </w:rPr>
        <w:t xml:space="preserve">              </w:t>
      </w:r>
      <w:r w:rsidR="00B2180F">
        <w:rPr>
          <w:spacing w:val="-2"/>
        </w:rPr>
        <w:t>Керів</w:t>
      </w:r>
      <w:r w:rsidRPr="001D0E8B">
        <w:rPr>
          <w:spacing w:val="-2"/>
        </w:rPr>
        <w:t xml:space="preserve"> </w:t>
      </w:r>
      <w:r w:rsidR="00B2180F">
        <w:rPr>
          <w:spacing w:val="-2"/>
        </w:rPr>
        <w:t>ник</w:t>
      </w:r>
      <w:r w:rsidR="00E731D2" w:rsidRPr="001D0E8B">
        <w:t xml:space="preserve"> </w:t>
      </w:r>
      <w:r w:rsidR="00B2180F">
        <w:rPr>
          <w:u w:val="thick"/>
        </w:rPr>
        <w:t>к. іст. н., доц. Глебов В. В.</w:t>
      </w:r>
      <w:r w:rsidRPr="00D02D2C">
        <w:rPr>
          <w:noProof/>
          <w:lang w:eastAsia="ru-RU"/>
        </w:rPr>
        <w:t xml:space="preserve"> </w:t>
      </w:r>
      <w:r w:rsidR="00B2180F" w:rsidRPr="00E731D2">
        <w:tab/>
      </w:r>
    </w:p>
    <w:p w:rsidR="002C65FF" w:rsidRPr="001D0E8B" w:rsidRDefault="00B2180F">
      <w:pPr>
        <w:spacing w:before="120"/>
        <w:ind w:left="3727"/>
        <w:rPr>
          <w:spacing w:val="-2"/>
          <w:sz w:val="20"/>
        </w:rPr>
      </w:pPr>
      <w:r>
        <w:rPr>
          <w:sz w:val="20"/>
        </w:rPr>
        <w:t>(науковийступінь,вченезвання,прізвище,ініціали)</w:t>
      </w:r>
      <w:r>
        <w:rPr>
          <w:spacing w:val="-2"/>
          <w:sz w:val="20"/>
        </w:rPr>
        <w:t>(підпис)</w:t>
      </w:r>
    </w:p>
    <w:p w:rsidR="00E731D2" w:rsidRPr="00E731D2" w:rsidRDefault="00E731D2">
      <w:pPr>
        <w:spacing w:before="120"/>
        <w:ind w:left="3727"/>
        <w:rPr>
          <w:sz w:val="20"/>
          <w:lang w:val="ru-RU"/>
        </w:rPr>
      </w:pPr>
      <w:r w:rsidRPr="001D0E8B">
        <w:rPr>
          <w:spacing w:val="-2"/>
          <w:sz w:val="20"/>
        </w:rPr>
        <w:t xml:space="preserve">                    </w:t>
      </w:r>
      <w:r w:rsidRPr="00E731D2">
        <w:rPr>
          <w:noProof/>
          <w:spacing w:val="-2"/>
          <w:sz w:val="20"/>
          <w:lang w:val="ru-RU" w:eastAsia="ru-RU"/>
        </w:rPr>
        <w:drawing>
          <wp:inline distT="0" distB="0" distL="0" distR="0">
            <wp:extent cx="1337310" cy="288000"/>
            <wp:effectExtent l="19050" t="0" r="0" b="0"/>
            <wp:docPr id="2" name="Рисунок 1" descr="подпись0001"/>
            <wp:cNvGraphicFramePr/>
            <a:graphic xmlns:a="http://schemas.openxmlformats.org/drawingml/2006/main">
              <a:graphicData uri="http://schemas.openxmlformats.org/drawingml/2006/picture">
                <pic:pic xmlns:pic="http://schemas.openxmlformats.org/drawingml/2006/picture">
                  <pic:nvPicPr>
                    <pic:cNvPr id="0" name="Рисунок 2" descr="подпись0001"/>
                    <pic:cNvPicPr>
                      <a:picLocks noChangeAspect="1" noChangeArrowheads="1"/>
                    </pic:cNvPicPr>
                  </pic:nvPicPr>
                  <pic:blipFill>
                    <a:blip r:embed="rId7" cstate="print"/>
                    <a:srcRect/>
                    <a:stretch>
                      <a:fillRect/>
                    </a:stretch>
                  </pic:blipFill>
                  <pic:spPr bwMode="auto">
                    <a:xfrm>
                      <a:off x="0" y="0"/>
                      <a:ext cx="1337310" cy="288000"/>
                    </a:xfrm>
                    <a:prstGeom prst="rect">
                      <a:avLst/>
                    </a:prstGeom>
                    <a:noFill/>
                    <a:ln w="9525">
                      <a:noFill/>
                      <a:miter lim="800000"/>
                      <a:headEnd/>
                      <a:tailEnd/>
                    </a:ln>
                  </pic:spPr>
                </pic:pic>
              </a:graphicData>
            </a:graphic>
          </wp:inline>
        </w:drawing>
      </w:r>
    </w:p>
    <w:p w:rsidR="002C65FF" w:rsidRDefault="00B2180F">
      <w:pPr>
        <w:pStyle w:val="a3"/>
        <w:tabs>
          <w:tab w:val="left" w:pos="4525"/>
        </w:tabs>
        <w:spacing w:before="120"/>
        <w:ind w:left="2549"/>
        <w:jc w:val="left"/>
      </w:pPr>
      <w:r>
        <w:rPr>
          <w:spacing w:val="-2"/>
        </w:rPr>
        <w:t>Рецензент</w:t>
      </w:r>
      <w:r>
        <w:tab/>
      </w:r>
      <w:r>
        <w:rPr>
          <w:u w:val="thick"/>
        </w:rPr>
        <w:t>к.політ.н.,доц.Майстренко</w:t>
      </w:r>
      <w:r>
        <w:rPr>
          <w:spacing w:val="-4"/>
          <w:u w:val="thick"/>
        </w:rPr>
        <w:t>Ю.І.</w:t>
      </w:r>
    </w:p>
    <w:p w:rsidR="002C65FF" w:rsidRDefault="00B2180F">
      <w:pPr>
        <w:spacing w:before="120"/>
        <w:ind w:left="3727"/>
        <w:rPr>
          <w:sz w:val="20"/>
        </w:rPr>
      </w:pPr>
      <w:r>
        <w:rPr>
          <w:spacing w:val="-2"/>
          <w:sz w:val="20"/>
        </w:rPr>
        <w:t>(науковийступінь,вченезвання,прізвище,ініціали)</w:t>
      </w:r>
    </w:p>
    <w:p w:rsidR="002C65FF" w:rsidRDefault="002C65FF">
      <w:pPr>
        <w:pStyle w:val="a3"/>
        <w:spacing w:before="132"/>
        <w:ind w:left="0"/>
        <w:jc w:val="left"/>
        <w:rPr>
          <w:sz w:val="20"/>
        </w:rPr>
      </w:pPr>
    </w:p>
    <w:tbl>
      <w:tblPr>
        <w:tblStyle w:val="TableNormal"/>
        <w:tblW w:w="0" w:type="auto"/>
        <w:tblInd w:w="239" w:type="dxa"/>
        <w:tblLayout w:type="fixed"/>
        <w:tblLook w:val="01E0"/>
      </w:tblPr>
      <w:tblGrid>
        <w:gridCol w:w="4340"/>
        <w:gridCol w:w="4810"/>
      </w:tblGrid>
      <w:tr w:rsidR="002C65FF">
        <w:trPr>
          <w:trHeight w:val="2793"/>
        </w:trPr>
        <w:tc>
          <w:tcPr>
            <w:tcW w:w="4340" w:type="dxa"/>
          </w:tcPr>
          <w:p w:rsidR="002C65FF" w:rsidRDefault="00B2180F">
            <w:pPr>
              <w:pStyle w:val="TableParagraph"/>
              <w:rPr>
                <w:sz w:val="28"/>
              </w:rPr>
            </w:pPr>
            <w:r>
              <w:rPr>
                <w:sz w:val="28"/>
              </w:rPr>
              <w:t xml:space="preserve">Рекомендовано до захисту: </w:t>
            </w:r>
            <w:r>
              <w:rPr>
                <w:spacing w:val="-2"/>
                <w:sz w:val="28"/>
              </w:rPr>
              <w:t>Протоколзасіданнякафедри</w:t>
            </w:r>
          </w:p>
          <w:p w:rsidR="002C65FF" w:rsidRDefault="002C65FF">
            <w:pPr>
              <w:pStyle w:val="TableParagraph"/>
              <w:spacing w:before="74"/>
              <w:ind w:left="0"/>
              <w:rPr>
                <w:sz w:val="20"/>
              </w:rPr>
            </w:pPr>
          </w:p>
          <w:p w:rsidR="002C65FF" w:rsidRDefault="008476BE">
            <w:pPr>
              <w:pStyle w:val="TableParagraph"/>
              <w:spacing w:line="20" w:lineRule="exact"/>
              <w:rPr>
                <w:sz w:val="2"/>
              </w:rPr>
            </w:pPr>
            <w:r w:rsidRPr="008476BE">
              <w:rPr>
                <w:sz w:val="2"/>
              </w:rPr>
            </w:r>
            <w:r>
              <w:rPr>
                <w:sz w:val="2"/>
              </w:rPr>
              <w:pict>
                <v:group id="docshapegroup4" o:spid="_x0000_s1030" style="width:181.95pt;height:.6pt;mso-position-horizontal-relative:char;mso-position-vertical-relative:line" coordsize="3639,12">
                  <v:line id="_x0000_s1031" style="position:absolute" from="0,6" to="3638,6" strokeweight=".56pt"/>
                  <w10:wrap type="none"/>
                  <w10:anchorlock/>
                </v:group>
              </w:pict>
            </w:r>
          </w:p>
          <w:p w:rsidR="002C65FF" w:rsidRDefault="00B2180F">
            <w:pPr>
              <w:pStyle w:val="TableParagraph"/>
              <w:tabs>
                <w:tab w:val="left" w:pos="875"/>
                <w:tab w:val="left" w:leader="dot" w:pos="2770"/>
                <w:tab w:val="left" w:pos="3536"/>
              </w:tabs>
              <w:rPr>
                <w:sz w:val="28"/>
              </w:rPr>
            </w:pPr>
            <w:r>
              <w:rPr>
                <w:sz w:val="28"/>
              </w:rPr>
              <w:t xml:space="preserve">№ </w:t>
            </w:r>
            <w:r>
              <w:rPr>
                <w:sz w:val="28"/>
                <w:u w:val="single"/>
              </w:rPr>
              <w:tab/>
            </w:r>
            <w:r>
              <w:rPr>
                <w:sz w:val="28"/>
              </w:rPr>
              <w:t>від</w:t>
            </w:r>
            <w:r>
              <w:rPr>
                <w:sz w:val="28"/>
              </w:rPr>
              <w:tab/>
            </w:r>
            <w:r>
              <w:rPr>
                <w:spacing w:val="-5"/>
                <w:sz w:val="28"/>
              </w:rPr>
              <w:t>20</w:t>
            </w:r>
            <w:r>
              <w:rPr>
                <w:sz w:val="28"/>
                <w:u w:val="single"/>
              </w:rPr>
              <w:tab/>
            </w:r>
            <w:r>
              <w:rPr>
                <w:spacing w:val="-5"/>
                <w:sz w:val="28"/>
              </w:rPr>
              <w:t>р.</w:t>
            </w:r>
          </w:p>
          <w:p w:rsidR="002C65FF" w:rsidRDefault="00B2180F">
            <w:pPr>
              <w:pStyle w:val="TableParagraph"/>
              <w:spacing w:before="307"/>
              <w:rPr>
                <w:sz w:val="28"/>
              </w:rPr>
            </w:pPr>
            <w:r>
              <w:rPr>
                <w:spacing w:val="-2"/>
                <w:sz w:val="28"/>
              </w:rPr>
              <w:t>Завідувач(ка)кафедри</w:t>
            </w:r>
          </w:p>
          <w:p w:rsidR="002C65FF" w:rsidRDefault="002C65FF">
            <w:pPr>
              <w:pStyle w:val="TableParagraph"/>
              <w:ind w:left="0"/>
              <w:rPr>
                <w:sz w:val="28"/>
              </w:rPr>
            </w:pPr>
          </w:p>
          <w:p w:rsidR="002C65FF" w:rsidRDefault="00B2180F">
            <w:pPr>
              <w:pStyle w:val="TableParagraph"/>
              <w:ind w:left="1781"/>
              <w:rPr>
                <w:sz w:val="28"/>
              </w:rPr>
            </w:pPr>
            <w:r>
              <w:rPr>
                <w:spacing w:val="-2"/>
                <w:sz w:val="28"/>
                <w:u w:val="thick"/>
              </w:rPr>
              <w:t>БрусиловськаОльга</w:t>
            </w:r>
          </w:p>
          <w:p w:rsidR="002C65FF" w:rsidRDefault="008476BE">
            <w:pPr>
              <w:pStyle w:val="TableParagraph"/>
              <w:tabs>
                <w:tab w:val="left" w:pos="2321"/>
              </w:tabs>
              <w:spacing w:line="210" w:lineRule="exact"/>
              <w:ind w:left="302"/>
              <w:rPr>
                <w:sz w:val="20"/>
              </w:rPr>
            </w:pPr>
            <w:r w:rsidRPr="008476BE">
              <w:rPr>
                <w:sz w:val="20"/>
              </w:rPr>
              <w:pict>
                <v:group id="docshapegroup5" o:spid="_x0000_s1028" style="position:absolute;left:0;text-align:left;margin-left:2.4pt;margin-top:-2.05pt;width:59pt;height:1pt;z-index:-16172544" coordorigin="48,-41" coordsize="1180,20">
                  <v:line id="_x0000_s1029" style="position:absolute" from="48,-31" to="1228,-31" strokeweight="1pt"/>
                </v:group>
              </w:pict>
            </w:r>
            <w:r w:rsidR="00B2180F">
              <w:rPr>
                <w:spacing w:val="-2"/>
                <w:sz w:val="20"/>
              </w:rPr>
              <w:t>(підпис)</w:t>
            </w:r>
            <w:r w:rsidR="00B2180F">
              <w:rPr>
                <w:sz w:val="20"/>
              </w:rPr>
              <w:tab/>
              <w:t>(прізвище,</w:t>
            </w:r>
            <w:r w:rsidR="00B2180F">
              <w:rPr>
                <w:spacing w:val="-2"/>
                <w:sz w:val="20"/>
              </w:rPr>
              <w:t>ім’я)</w:t>
            </w:r>
          </w:p>
        </w:tc>
        <w:tc>
          <w:tcPr>
            <w:tcW w:w="4810" w:type="dxa"/>
          </w:tcPr>
          <w:p w:rsidR="002C65FF" w:rsidRDefault="00B2180F">
            <w:pPr>
              <w:pStyle w:val="TableParagraph"/>
              <w:tabs>
                <w:tab w:val="left" w:pos="4430"/>
              </w:tabs>
              <w:spacing w:line="310" w:lineRule="exact"/>
              <w:ind w:left="152"/>
              <w:rPr>
                <w:sz w:val="28"/>
              </w:rPr>
            </w:pPr>
            <w:r>
              <w:rPr>
                <w:sz w:val="28"/>
              </w:rPr>
              <w:t xml:space="preserve">Захищено на засіданні ЕК № </w:t>
            </w:r>
            <w:r>
              <w:rPr>
                <w:sz w:val="28"/>
                <w:u w:val="single"/>
              </w:rPr>
              <w:tab/>
            </w:r>
          </w:p>
          <w:p w:rsidR="002C65FF" w:rsidRDefault="00B2180F">
            <w:pPr>
              <w:pStyle w:val="TableParagraph"/>
              <w:tabs>
                <w:tab w:val="left" w:pos="1920"/>
                <w:tab w:val="left" w:leader="dot" w:pos="3672"/>
                <w:tab w:val="left" w:pos="4438"/>
              </w:tabs>
              <w:ind w:left="152"/>
              <w:rPr>
                <w:sz w:val="28"/>
              </w:rPr>
            </w:pPr>
            <w:r>
              <w:rPr>
                <w:spacing w:val="-2"/>
                <w:sz w:val="28"/>
              </w:rPr>
              <w:t xml:space="preserve">протокол </w:t>
            </w:r>
            <w:r>
              <w:rPr>
                <w:sz w:val="28"/>
              </w:rPr>
              <w:t xml:space="preserve">№ </w:t>
            </w:r>
            <w:r>
              <w:rPr>
                <w:sz w:val="28"/>
                <w:u w:val="single"/>
              </w:rPr>
              <w:tab/>
            </w:r>
            <w:r>
              <w:rPr>
                <w:spacing w:val="-5"/>
                <w:sz w:val="28"/>
              </w:rPr>
              <w:t>від</w:t>
            </w:r>
            <w:r>
              <w:rPr>
                <w:sz w:val="28"/>
              </w:rPr>
              <w:tab/>
            </w:r>
            <w:r>
              <w:rPr>
                <w:spacing w:val="-5"/>
                <w:sz w:val="28"/>
              </w:rPr>
              <w:t>20</w:t>
            </w:r>
            <w:r>
              <w:rPr>
                <w:sz w:val="28"/>
                <w:u w:val="single"/>
              </w:rPr>
              <w:tab/>
            </w:r>
            <w:r>
              <w:rPr>
                <w:spacing w:val="-5"/>
                <w:sz w:val="28"/>
              </w:rPr>
              <w:t>р.</w:t>
            </w:r>
          </w:p>
          <w:p w:rsidR="002C65FF" w:rsidRDefault="00B2180F">
            <w:pPr>
              <w:pStyle w:val="TableParagraph"/>
              <w:tabs>
                <w:tab w:val="left" w:pos="2946"/>
                <w:tab w:val="left" w:pos="3863"/>
                <w:tab w:val="left" w:pos="4707"/>
              </w:tabs>
              <w:spacing w:before="322"/>
              <w:ind w:left="152"/>
              <w:rPr>
                <w:sz w:val="28"/>
              </w:rPr>
            </w:pPr>
            <w:r>
              <w:rPr>
                <w:spacing w:val="-2"/>
                <w:sz w:val="28"/>
              </w:rPr>
              <w:t>Оцінка</w:t>
            </w:r>
            <w:r>
              <w:rPr>
                <w:sz w:val="28"/>
                <w:u w:val="single"/>
              </w:rPr>
              <w:tab/>
            </w:r>
            <w:r>
              <w:rPr>
                <w:spacing w:val="-10"/>
                <w:sz w:val="28"/>
              </w:rPr>
              <w:t>/</w:t>
            </w:r>
            <w:r>
              <w:rPr>
                <w:sz w:val="28"/>
                <w:u w:val="single"/>
              </w:rPr>
              <w:tab/>
            </w:r>
            <w:r>
              <w:rPr>
                <w:spacing w:val="-10"/>
                <w:sz w:val="28"/>
              </w:rPr>
              <w:t>/</w:t>
            </w:r>
            <w:r>
              <w:rPr>
                <w:sz w:val="28"/>
                <w:u w:val="single"/>
              </w:rPr>
              <w:tab/>
            </w:r>
          </w:p>
          <w:p w:rsidR="002C65FF" w:rsidRDefault="00B2180F">
            <w:pPr>
              <w:pStyle w:val="TableParagraph"/>
              <w:ind w:left="733"/>
              <w:rPr>
                <w:sz w:val="20"/>
              </w:rPr>
            </w:pPr>
            <w:r>
              <w:rPr>
                <w:sz w:val="20"/>
              </w:rPr>
              <w:t>(занаціональноюшкалою/шкалою</w:t>
            </w:r>
            <w:r>
              <w:rPr>
                <w:spacing w:val="-2"/>
                <w:sz w:val="20"/>
              </w:rPr>
              <w:t>ЕСТS/бали)</w:t>
            </w:r>
          </w:p>
          <w:p w:rsidR="002C65FF" w:rsidRDefault="00B2180F">
            <w:pPr>
              <w:pStyle w:val="TableParagraph"/>
              <w:ind w:left="152"/>
              <w:rPr>
                <w:sz w:val="28"/>
              </w:rPr>
            </w:pPr>
            <w:r>
              <w:rPr>
                <w:spacing w:val="-5"/>
                <w:sz w:val="28"/>
              </w:rPr>
              <w:t>ГоловаЕК</w:t>
            </w:r>
          </w:p>
          <w:p w:rsidR="002C65FF" w:rsidRDefault="00B2180F">
            <w:pPr>
              <w:pStyle w:val="TableParagraph"/>
              <w:spacing w:before="322"/>
              <w:ind w:left="2301"/>
              <w:rPr>
                <w:sz w:val="28"/>
              </w:rPr>
            </w:pPr>
            <w:r>
              <w:rPr>
                <w:spacing w:val="-2"/>
                <w:sz w:val="28"/>
                <w:u w:val="thick"/>
              </w:rPr>
              <w:t>ГлебовВіктор</w:t>
            </w:r>
          </w:p>
          <w:p w:rsidR="002C65FF" w:rsidRDefault="008476BE">
            <w:pPr>
              <w:pStyle w:val="TableParagraph"/>
              <w:tabs>
                <w:tab w:val="left" w:pos="2521"/>
              </w:tabs>
              <w:ind w:left="402"/>
              <w:rPr>
                <w:sz w:val="20"/>
              </w:rPr>
            </w:pPr>
            <w:r w:rsidRPr="008476BE">
              <w:rPr>
                <w:sz w:val="20"/>
              </w:rPr>
              <w:pict>
                <v:group id="docshapegroup6" o:spid="_x0000_s1026" style="position:absolute;left:0;text-align:left;margin-left:7.35pt;margin-top:-2.45pt;width:59pt;height:1pt;z-index:-16172032" coordorigin="147,-49" coordsize="1180,20">
                  <v:line id="_x0000_s1027" style="position:absolute" from="147,-39" to="1327,-39" strokeweight="1pt"/>
                </v:group>
              </w:pict>
            </w:r>
            <w:r w:rsidR="00B2180F">
              <w:rPr>
                <w:spacing w:val="-2"/>
                <w:sz w:val="20"/>
              </w:rPr>
              <w:t>(підпис)</w:t>
            </w:r>
            <w:r w:rsidR="00B2180F">
              <w:rPr>
                <w:sz w:val="20"/>
              </w:rPr>
              <w:tab/>
              <w:t>(прізвище,</w:t>
            </w:r>
            <w:r w:rsidR="00B2180F">
              <w:rPr>
                <w:spacing w:val="-2"/>
                <w:sz w:val="20"/>
              </w:rPr>
              <w:t>ім’я)</w:t>
            </w:r>
          </w:p>
        </w:tc>
      </w:tr>
    </w:tbl>
    <w:p w:rsidR="002C65FF" w:rsidRDefault="002C65FF">
      <w:pPr>
        <w:pStyle w:val="a3"/>
        <w:ind w:left="0"/>
        <w:jc w:val="left"/>
        <w:rPr>
          <w:sz w:val="20"/>
        </w:rPr>
      </w:pPr>
    </w:p>
    <w:p w:rsidR="002C65FF" w:rsidRDefault="002C65FF">
      <w:pPr>
        <w:pStyle w:val="a3"/>
        <w:ind w:left="0"/>
        <w:jc w:val="left"/>
        <w:rPr>
          <w:sz w:val="20"/>
        </w:rPr>
      </w:pPr>
    </w:p>
    <w:p w:rsidR="002C65FF" w:rsidRDefault="002C65FF">
      <w:pPr>
        <w:pStyle w:val="a3"/>
        <w:ind w:left="0"/>
        <w:jc w:val="left"/>
        <w:rPr>
          <w:sz w:val="20"/>
        </w:rPr>
      </w:pPr>
    </w:p>
    <w:p w:rsidR="002C65FF" w:rsidRDefault="00B2180F" w:rsidP="00D02D2C">
      <w:pPr>
        <w:spacing w:before="1"/>
        <w:jc w:val="center"/>
        <w:rPr>
          <w:b/>
          <w:sz w:val="28"/>
        </w:rPr>
      </w:pPr>
      <w:r>
        <w:rPr>
          <w:b/>
          <w:sz w:val="28"/>
        </w:rPr>
        <w:t xml:space="preserve">Одеса </w:t>
      </w:r>
      <w:r>
        <w:rPr>
          <w:b/>
          <w:spacing w:val="-4"/>
          <w:sz w:val="28"/>
        </w:rPr>
        <w:t>2025</w:t>
      </w:r>
    </w:p>
    <w:p w:rsidR="002C65FF" w:rsidRDefault="002C65FF">
      <w:pPr>
        <w:rPr>
          <w:b/>
          <w:sz w:val="28"/>
        </w:rPr>
        <w:sectPr w:rsidR="002C65FF">
          <w:type w:val="continuous"/>
          <w:pgSz w:w="11920" w:h="16840"/>
          <w:pgMar w:top="1060" w:right="708" w:bottom="280" w:left="1700" w:header="720" w:footer="720" w:gutter="0"/>
          <w:cols w:space="720"/>
        </w:sectPr>
      </w:pPr>
    </w:p>
    <w:p w:rsidR="002C65FF" w:rsidRDefault="00B2180F">
      <w:pPr>
        <w:pStyle w:val="Heading1"/>
      </w:pPr>
      <w:r>
        <w:rPr>
          <w:spacing w:val="-2"/>
        </w:rPr>
        <w:lastRenderedPageBreak/>
        <w:t>ЗМІСТ</w:t>
      </w:r>
    </w:p>
    <w:sdt>
      <w:sdtPr>
        <w:id w:val="1815509"/>
        <w:docPartObj>
          <w:docPartGallery w:val="Table of Contents"/>
          <w:docPartUnique/>
        </w:docPartObj>
      </w:sdtPr>
      <w:sdtContent>
        <w:p w:rsidR="002C65FF" w:rsidRDefault="008476BE">
          <w:pPr>
            <w:pStyle w:val="TOC1"/>
            <w:tabs>
              <w:tab w:val="left" w:leader="dot" w:pos="9188"/>
            </w:tabs>
          </w:pPr>
          <w:hyperlink w:anchor="_TOC_250002" w:history="1">
            <w:r w:rsidR="00B2180F">
              <w:rPr>
                <w:spacing w:val="-2"/>
              </w:rPr>
              <w:t>Вступ</w:t>
            </w:r>
            <w:r w:rsidR="00B2180F">
              <w:tab/>
            </w:r>
            <w:r w:rsidR="00B2180F">
              <w:rPr>
                <w:spacing w:val="-10"/>
              </w:rPr>
              <w:t>3</w:t>
            </w:r>
          </w:hyperlink>
        </w:p>
        <w:p w:rsidR="002C65FF" w:rsidRDefault="00B2180F">
          <w:pPr>
            <w:pStyle w:val="TOC1"/>
            <w:tabs>
              <w:tab w:val="left" w:leader="dot" w:pos="9208"/>
            </w:tabs>
          </w:pPr>
          <w:r>
            <w:t>Розділ1.Теоретичнізасади</w:t>
          </w:r>
          <w:r>
            <w:rPr>
              <w:spacing w:val="-2"/>
            </w:rPr>
            <w:t>дослідження</w:t>
          </w:r>
          <w:r>
            <w:tab/>
          </w:r>
          <w:r>
            <w:rPr>
              <w:spacing w:val="-10"/>
            </w:rPr>
            <w:t>9</w:t>
          </w:r>
        </w:p>
        <w:p w:rsidR="002C65FF" w:rsidRDefault="00B2180F">
          <w:pPr>
            <w:pStyle w:val="TOC1"/>
            <w:tabs>
              <w:tab w:val="left" w:leader="dot" w:pos="9006"/>
            </w:tabs>
            <w:spacing w:line="360" w:lineRule="auto"/>
            <w:ind w:right="191"/>
          </w:pPr>
          <w:r>
            <w:t>Розділ2.Стратегіїгеополітичнихакторіввбезпековомусередовищі</w:t>
          </w:r>
          <w:r>
            <w:rPr>
              <w:spacing w:val="-2"/>
            </w:rPr>
            <w:t>регіонів</w:t>
          </w:r>
          <w:r>
            <w:tab/>
          </w:r>
          <w:r>
            <w:rPr>
              <w:spacing w:val="-5"/>
            </w:rPr>
            <w:t>26</w:t>
          </w:r>
        </w:p>
        <w:p w:rsidR="002C65FF" w:rsidRDefault="00B2180F">
          <w:pPr>
            <w:pStyle w:val="TOC1"/>
            <w:tabs>
              <w:tab w:val="left" w:leader="dot" w:pos="9000"/>
            </w:tabs>
            <w:spacing w:before="0" w:line="360" w:lineRule="auto"/>
            <w:ind w:right="191"/>
          </w:pPr>
          <w:r>
            <w:t>Розділ 3. Трансформація регіональних конфліктів та нові виклики безпеці: інфраструктурнийтаідеологічний</w:t>
          </w:r>
          <w:r>
            <w:rPr>
              <w:spacing w:val="-2"/>
            </w:rPr>
            <w:t>виміри</w:t>
          </w:r>
          <w:r>
            <w:tab/>
          </w:r>
          <w:r>
            <w:rPr>
              <w:spacing w:val="-5"/>
            </w:rPr>
            <w:t>42</w:t>
          </w:r>
        </w:p>
        <w:p w:rsidR="002C65FF" w:rsidRDefault="008476BE">
          <w:pPr>
            <w:pStyle w:val="TOC1"/>
            <w:tabs>
              <w:tab w:val="left" w:leader="dot" w:pos="9008"/>
            </w:tabs>
            <w:spacing w:before="0"/>
          </w:pPr>
          <w:hyperlink w:anchor="_TOC_250001" w:history="1">
            <w:r w:rsidR="00B2180F">
              <w:rPr>
                <w:spacing w:val="-2"/>
              </w:rPr>
              <w:t>Висновки</w:t>
            </w:r>
            <w:r w:rsidR="00B2180F">
              <w:tab/>
            </w:r>
            <w:r w:rsidR="00B2180F">
              <w:rPr>
                <w:spacing w:val="-5"/>
              </w:rPr>
              <w:t>65</w:t>
            </w:r>
          </w:hyperlink>
        </w:p>
        <w:p w:rsidR="002C65FF" w:rsidRDefault="008476BE">
          <w:pPr>
            <w:pStyle w:val="TOC1"/>
            <w:tabs>
              <w:tab w:val="left" w:leader="dot" w:pos="8998"/>
            </w:tabs>
          </w:pPr>
          <w:hyperlink w:anchor="_TOC_250000" w:history="1">
            <w:r w:rsidR="00B2180F">
              <w:t>Список</w:t>
            </w:r>
            <w:r w:rsidR="00B2180F">
              <w:rPr>
                <w:spacing w:val="-2"/>
              </w:rPr>
              <w:t>посилань</w:t>
            </w:r>
            <w:r w:rsidR="00B2180F">
              <w:tab/>
            </w:r>
            <w:r w:rsidR="00B2180F">
              <w:rPr>
                <w:spacing w:val="-5"/>
              </w:rPr>
              <w:t>69</w:t>
            </w:r>
          </w:hyperlink>
        </w:p>
      </w:sdtContent>
    </w:sdt>
    <w:p w:rsidR="002C65FF" w:rsidRDefault="002C65FF">
      <w:pPr>
        <w:pStyle w:val="TOC1"/>
        <w:sectPr w:rsidR="002C65FF">
          <w:headerReference w:type="default" r:id="rId8"/>
          <w:pgSz w:w="11920" w:h="16840"/>
          <w:pgMar w:top="1040" w:right="708" w:bottom="280" w:left="1700" w:header="732" w:footer="0" w:gutter="0"/>
          <w:pgNumType w:start="2"/>
          <w:cols w:space="720"/>
        </w:sectPr>
      </w:pPr>
    </w:p>
    <w:p w:rsidR="002C65FF" w:rsidRDefault="00B2180F">
      <w:pPr>
        <w:pStyle w:val="Heading1"/>
      </w:pPr>
      <w:bookmarkStart w:id="0" w:name="_TOC_250002"/>
      <w:bookmarkEnd w:id="0"/>
      <w:r>
        <w:rPr>
          <w:spacing w:val="-2"/>
        </w:rPr>
        <w:t>ВСТУП</w:t>
      </w:r>
    </w:p>
    <w:p w:rsidR="002C65FF" w:rsidRDefault="002C65FF">
      <w:pPr>
        <w:pStyle w:val="a3"/>
        <w:ind w:left="0"/>
        <w:jc w:val="left"/>
        <w:rPr>
          <w:b/>
        </w:rPr>
      </w:pPr>
    </w:p>
    <w:p w:rsidR="002C65FF" w:rsidRDefault="002C65FF">
      <w:pPr>
        <w:pStyle w:val="a3"/>
        <w:ind w:left="0"/>
        <w:jc w:val="left"/>
        <w:rPr>
          <w:b/>
        </w:rPr>
      </w:pPr>
    </w:p>
    <w:p w:rsidR="002C65FF" w:rsidRDefault="00B2180F">
      <w:pPr>
        <w:pStyle w:val="a3"/>
        <w:spacing w:line="360" w:lineRule="auto"/>
        <w:ind w:right="156" w:firstLine="720"/>
      </w:pPr>
      <w:r>
        <w:rPr>
          <w:b/>
        </w:rPr>
        <w:t xml:space="preserve">Темою дослідження </w:t>
      </w:r>
      <w:r>
        <w:t xml:space="preserve">цієї магістерської роботи є «Регіональні виміри безпеки Південного Кавказу та Центральної Азії», якабулаобраназметою комплексного аналізу специфіки безпекових процесів у зазначених регіонах, визначення їхнього впливу на загальносвітову та регіональну систему безпеки, а також вивчення динаміки регіональних викликів і </w:t>
      </w:r>
      <w:r>
        <w:rPr>
          <w:spacing w:val="-2"/>
        </w:rPr>
        <w:t>загроз.</w:t>
      </w:r>
    </w:p>
    <w:p w:rsidR="002C65FF" w:rsidRDefault="00B2180F">
      <w:pPr>
        <w:pStyle w:val="a3"/>
        <w:spacing w:line="360" w:lineRule="auto"/>
        <w:ind w:right="156" w:firstLine="720"/>
      </w:pPr>
      <w:r>
        <w:rPr>
          <w:b/>
        </w:rPr>
        <w:t xml:space="preserve">Актуальність теми </w:t>
      </w:r>
      <w:r>
        <w:t xml:space="preserve">зумовлена зростанням геополітичної конкуренції за вплив на Південному Кавказі та в Центральній Азії, значенням цих регіонівякключовихтранзитнихпросторівміжЄвропоюта Азією, а також наявністю широкого спектру проблем – відетнополітичних конфліктів і терористичних загроз до енергетичної та кібербезпеки. У цьомуконтекстідослідженняспрямованенавивченнянауково-теоретичних підходів до регіональної безпеки, аналіз практичних аспектів політики провідних акторів (як регіональних, так і глобальних), а також визначення можливих сценаріїв розвитку безпекової ситуації наПівденномуКавказіта в Центральній Азії в умовах трансформації сучасної міжнародної системи, у тому числі виявлення і аналіз ризиків та можливостей для цих регіонів. </w:t>
      </w:r>
      <w:r>
        <w:rPr>
          <w:b/>
        </w:rPr>
        <w:t xml:space="preserve">Наукова актуальність </w:t>
      </w:r>
      <w:r>
        <w:t>дослідження зумовлена необхідністю заповнити прогалини в науковому дискурсі щодо еволюції суб’єктності держав Центральної Азії та Південного Кавказу, переходячи від розгляду їх виключно як об’єктів впливу до аналізу їхньої ролі яксамостійнихтворців регіональної архітектури безпеки.</w:t>
      </w:r>
    </w:p>
    <w:p w:rsidR="002C65FF" w:rsidRDefault="00B2180F">
      <w:pPr>
        <w:pStyle w:val="a3"/>
        <w:spacing w:line="360" w:lineRule="auto"/>
        <w:ind w:right="157" w:firstLine="720"/>
      </w:pPr>
      <w:r>
        <w:t>В обох регіонах спостерігається високий рівень геополітичної напруги, спричиненої як історичними конфліктами, так і сучасними викликами, такими як тероризм, етнічнісуперечки,втручанняглобальнихі регіональних сил. Це дослідження спрямоване на глибше розуміння регіональної безпеки у науковому контексті. Недостатнє дослідження сучасних проблем безпеки Південного Кавказу і Центральної Азії та їхній</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8"/>
      </w:pPr>
      <w:r>
        <w:t>вплив на глобальну безпеку підкреслює потребу в критичному переосмисленні існуючих підходів для кращого розуміння їхньої динаміки та потенціалу врегулювання. З практичної точки зору, зокрема для розробки політичних стратегій і міжнародних відносин України з державами цих регіонів.</w:t>
      </w:r>
    </w:p>
    <w:p w:rsidR="002C65FF" w:rsidRDefault="00B2180F">
      <w:pPr>
        <w:pStyle w:val="a3"/>
        <w:spacing w:line="360" w:lineRule="auto"/>
        <w:ind w:right="155" w:firstLine="720"/>
      </w:pPr>
      <w:r>
        <w:rPr>
          <w:b/>
        </w:rPr>
        <w:t xml:space="preserve">Методологічна стратегія </w:t>
      </w:r>
      <w:r>
        <w:t>даної магістерської роботи ґрунтується на принципах емпіризму, щодозволяєзосередитисянавиявленнітапоясненні об’єктивних причинно-наслідкових зв’язків (каузальності) у сфері міжнародної безпеки в контексті досліджуваної теми. Вибір саме емпіричного типу дослідження зумовлений специфікою безпекового середовища Південного Кавказу та Центральної Азії, яке євкрайчутливим до матеріальних чинників та зовнішнього втручання, а отже, вимагає аналізу реальних політичнихдій,анелишеїхінтерпретацій,знаходженняі простеження відповідних причинно-наслідкових зв’язків.</w:t>
      </w:r>
    </w:p>
    <w:p w:rsidR="002C65FF" w:rsidRDefault="00B2180F">
      <w:pPr>
        <w:pStyle w:val="a3"/>
        <w:spacing w:line="360" w:lineRule="auto"/>
        <w:ind w:right="155" w:firstLine="720"/>
      </w:pPr>
      <w:r>
        <w:t>Застосування емпіричного підходу уможливлює розгляд архітектури безпеки зазначених регіонів як похідноївідвпливуконкретнихнезалежних змінних, насамперед стратегій глобальних та регіональних держав. У контексті дослідження це дозволяє простежити прямий вплив одного явища на інше: як саме активізація або, навпаки, самоусунення зовнішніх акторів детермінує рівень стабільності чи конфліктогенності в регіоні. Такий підхід переводить фокус з опису сприйняття загроз на аналіз фактичних механізмів взаємодії, де зміна балансу сил або перерозподіл ресурсів розглядаються як причини, що призводять до трансформації регіональних систем безпеки як закономірного наслідку.</w:t>
      </w:r>
    </w:p>
    <w:p w:rsidR="002C65FF" w:rsidRDefault="00B2180F">
      <w:pPr>
        <w:pStyle w:val="a3"/>
        <w:spacing w:line="360" w:lineRule="auto"/>
        <w:ind w:right="157" w:firstLine="720"/>
      </w:pPr>
      <w:r>
        <w:rPr>
          <w:b/>
        </w:rPr>
        <w:t xml:space="preserve">Дослідницьке питання </w:t>
      </w:r>
      <w:r>
        <w:t>полягає у з’ясуванні характеру впливу стратегій глобальних і регіональних акторів (незалежна змінна) на трансформацію архітектури безпеки Південного Кавказу та Центральної Азії (залежна змінна). Цей запит спрямовує дослідження на виявлення стійких причинно-наслідкових зв’язків між змінами геополітичної кон’юнктуритадинамікоюрегіональноїстабільності.Умежахцього</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6"/>
      </w:pPr>
      <w:r>
        <w:t>питання передбачається визначити ключові внутрішні чинники, що формують безпекову ситуацію в зазначених регіонах, простежити роль зовнішніх акторів – таких як Російська Федерація, Китайська Народна Республіка, Турецька Республіка, Ісламська Республіка Іран та Європейський Союз – у конструюванні регіональних вимірів безпеки, а також проаналізувати вплив сучасних глобальних викликів, серед яких тероризм, енергетична залежність, кіберзагрози та локальні конфлікти, на трансформацію підходів до забезпечення регіональної стійкості.</w:t>
      </w:r>
    </w:p>
    <w:p w:rsidR="002C65FF" w:rsidRDefault="00B2180F">
      <w:pPr>
        <w:pStyle w:val="a3"/>
        <w:spacing w:line="360" w:lineRule="auto"/>
        <w:ind w:right="155" w:firstLine="720"/>
      </w:pPr>
      <w:r>
        <w:rPr>
          <w:b/>
        </w:rPr>
        <w:t xml:space="preserve">Метою дослідження </w:t>
      </w:r>
      <w:r>
        <w:t xml:space="preserve">є виявлення закономірностей трансформації регіональних систем безпеки Південного Кавказу та Центральної Азії під впливом стратегічної конкуренції глобальних і регіональних акторів в умовах зміни світовогопорядку.Відповіднодопоставленоїметивизначено такі </w:t>
      </w:r>
      <w:r>
        <w:rPr>
          <w:b/>
        </w:rPr>
        <w:t xml:space="preserve">завдання </w:t>
      </w:r>
      <w:r>
        <w:t xml:space="preserve">дослідження: 1) </w:t>
      </w:r>
      <w:r>
        <w:rPr>
          <w:b/>
        </w:rPr>
        <w:t xml:space="preserve">узагальнити </w:t>
      </w:r>
      <w:r>
        <w:t>теоретико-методологічні засади вивчення регіональної безпеки та проаналізувати стан наукової розробки проблеми; 2)</w:t>
      </w:r>
      <w:r>
        <w:rPr>
          <w:b/>
        </w:rPr>
        <w:t>визначити</w:t>
      </w:r>
      <w:r>
        <w:t xml:space="preserve">ключовізовнішнітавнутрішнічинники, що детермінують динаміку безпекового середовища та архітектуру відносин у досліджуваних регіонах; 3) </w:t>
      </w:r>
      <w:r>
        <w:rPr>
          <w:b/>
        </w:rPr>
        <w:t xml:space="preserve">розкрити </w:t>
      </w:r>
      <w:r>
        <w:t>специфіку стратегій та інструментів впливу провідних геополітичних гравців на процеси стабілізації та/або дестабілізації уПівденномуКавказітаЦентральнійАзії;</w:t>
      </w:r>
    </w:p>
    <w:p w:rsidR="002C65FF" w:rsidRDefault="00B2180F">
      <w:pPr>
        <w:pStyle w:val="a3"/>
        <w:spacing w:line="360" w:lineRule="auto"/>
        <w:ind w:right="157"/>
      </w:pPr>
      <w:r>
        <w:t xml:space="preserve">4) </w:t>
      </w:r>
      <w:r>
        <w:rPr>
          <w:b/>
        </w:rPr>
        <w:t xml:space="preserve">проаналізувати </w:t>
      </w:r>
      <w:r>
        <w:t xml:space="preserve">сучасний стан регіональних конфліктів, загроз енергетичній безпеці та викликів для транспортно-логістичних коридорів як наслідків геополітичного протистояння; 5) </w:t>
      </w:r>
      <w:r>
        <w:rPr>
          <w:b/>
        </w:rPr>
        <w:t xml:space="preserve">окреслити </w:t>
      </w:r>
      <w:r>
        <w:t>перспективи та ймовірні сценарії розвитку безпекової ситуації у регіонах з урахуванням нових геополітичних реалій.</w:t>
      </w:r>
    </w:p>
    <w:p w:rsidR="002C65FF" w:rsidRDefault="00B2180F">
      <w:pPr>
        <w:pStyle w:val="a3"/>
        <w:spacing w:line="360" w:lineRule="auto"/>
        <w:ind w:right="158" w:firstLine="720"/>
      </w:pPr>
      <w:r>
        <w:rPr>
          <w:b/>
        </w:rPr>
        <w:t xml:space="preserve">Об’єктом дослідження </w:t>
      </w:r>
      <w:r>
        <w:t xml:space="preserve">є геополітичні процеси та функціонування систем безпеки у регіонах Південного Кавказу та Центральної Азії в умовах посилення геополітичного суперництва та турбулентності безпекового середовища. </w:t>
      </w:r>
      <w:r>
        <w:rPr>
          <w:b/>
        </w:rPr>
        <w:t xml:space="preserve">Предметом дослідження </w:t>
      </w:r>
      <w:r>
        <w:t>є регіональні виміри безпеки Південного Кавказу та Центральної Азії, а також динаміка їх трансформації під впливом стратегій глобальних і регіональних акторів.</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tabs>
          <w:tab w:val="left" w:pos="1395"/>
          <w:tab w:val="left" w:pos="1689"/>
          <w:tab w:val="left" w:pos="1734"/>
          <w:tab w:val="left" w:pos="1835"/>
          <w:tab w:val="left" w:pos="1892"/>
          <w:tab w:val="left" w:pos="1928"/>
          <w:tab w:val="left" w:pos="2430"/>
          <w:tab w:val="left" w:pos="2514"/>
          <w:tab w:val="left" w:pos="2907"/>
          <w:tab w:val="left" w:pos="3557"/>
          <w:tab w:val="left" w:pos="3978"/>
          <w:tab w:val="left" w:pos="4264"/>
          <w:tab w:val="left" w:pos="4396"/>
          <w:tab w:val="left" w:pos="4672"/>
          <w:tab w:val="left" w:pos="5487"/>
          <w:tab w:val="left" w:pos="5847"/>
          <w:tab w:val="left" w:pos="6007"/>
          <w:tab w:val="left" w:pos="6065"/>
          <w:tab w:val="left" w:pos="6163"/>
          <w:tab w:val="left" w:pos="6393"/>
          <w:tab w:val="left" w:pos="7346"/>
          <w:tab w:val="left" w:pos="7794"/>
          <w:tab w:val="left" w:pos="7912"/>
          <w:tab w:val="left" w:pos="8037"/>
          <w:tab w:val="left" w:pos="8273"/>
          <w:tab w:val="left" w:pos="8487"/>
          <w:tab w:val="left" w:pos="8834"/>
          <w:tab w:val="left" w:pos="8995"/>
          <w:tab w:val="left" w:pos="9103"/>
        </w:tabs>
        <w:spacing w:before="78" w:line="360" w:lineRule="auto"/>
        <w:ind w:right="154" w:firstLine="720"/>
        <w:jc w:val="right"/>
      </w:pPr>
      <w:r>
        <w:rPr>
          <w:spacing w:val="-10"/>
        </w:rPr>
        <w:t>В</w:t>
      </w:r>
      <w:r>
        <w:tab/>
        <w:t>основудослідженняпокладено</w:t>
      </w:r>
      <w:r>
        <w:rPr>
          <w:b/>
        </w:rPr>
        <w:t>гіпотезу</w:t>
      </w:r>
      <w:r>
        <w:t xml:space="preserve">проте,щосучасна </w:t>
      </w:r>
      <w:r>
        <w:rPr>
          <w:spacing w:val="-2"/>
        </w:rPr>
        <w:t>трансформація</w:t>
      </w:r>
      <w:r>
        <w:tab/>
        <w:t>безпекового</w:t>
      </w:r>
      <w:r>
        <w:tab/>
      </w:r>
      <w:r>
        <w:tab/>
      </w:r>
      <w:r>
        <w:rPr>
          <w:spacing w:val="-2"/>
        </w:rPr>
        <w:t>середовища</w:t>
      </w:r>
      <w:r>
        <w:tab/>
      </w:r>
      <w:r>
        <w:tab/>
      </w:r>
      <w:r>
        <w:tab/>
      </w:r>
      <w:r>
        <w:rPr>
          <w:spacing w:val="-2"/>
        </w:rPr>
        <w:t>Південного</w:t>
      </w:r>
      <w:r>
        <w:tab/>
      </w:r>
      <w:r>
        <w:rPr>
          <w:spacing w:val="-2"/>
        </w:rPr>
        <w:t>Кавказу</w:t>
      </w:r>
      <w:r>
        <w:tab/>
      </w:r>
      <w:r>
        <w:tab/>
      </w:r>
      <w:r>
        <w:tab/>
      </w:r>
      <w:r>
        <w:rPr>
          <w:spacing w:val="-6"/>
        </w:rPr>
        <w:t xml:space="preserve">та </w:t>
      </w:r>
      <w:r>
        <w:t xml:space="preserve">Центральної Азії зумовлена послабленням гегемонії традиційно присутніх акторів,насампередРФ,тазаповненнямгеополітичноговакуумуновими альтернативнимиакторами(Туреччиною,КНР,ЄС).Передбачається,що існуєпрямакореляціяміжзростаннямконкуренціїзовнішніхгравцівза </w:t>
      </w:r>
      <w:r>
        <w:rPr>
          <w:spacing w:val="-2"/>
        </w:rPr>
        <w:t>контроль</w:t>
      </w:r>
      <w:r>
        <w:tab/>
      </w:r>
      <w:r>
        <w:tab/>
      </w:r>
      <w:r>
        <w:rPr>
          <w:spacing w:val="-4"/>
        </w:rPr>
        <w:t>над</w:t>
      </w:r>
      <w:r>
        <w:tab/>
      </w:r>
      <w:r>
        <w:rPr>
          <w:spacing w:val="-2"/>
        </w:rPr>
        <w:t>транспортно-енергетичними</w:t>
      </w:r>
      <w:r>
        <w:tab/>
      </w:r>
      <w:r>
        <w:tab/>
      </w:r>
      <w:r>
        <w:tab/>
      </w:r>
      <w:r>
        <w:tab/>
      </w:r>
      <w:r>
        <w:rPr>
          <w:spacing w:val="-2"/>
        </w:rPr>
        <w:t>коридорами</w:t>
      </w:r>
      <w:r>
        <w:tab/>
      </w:r>
      <w:r>
        <w:tab/>
      </w:r>
      <w:r>
        <w:rPr>
          <w:spacing w:val="-6"/>
        </w:rPr>
        <w:t>та</w:t>
      </w:r>
      <w:r>
        <w:tab/>
      </w:r>
      <w:r>
        <w:tab/>
      </w:r>
      <w:r>
        <w:rPr>
          <w:spacing w:val="-2"/>
        </w:rPr>
        <w:t xml:space="preserve">зміною </w:t>
      </w:r>
      <w:r>
        <w:t xml:space="preserve">архітектурирегіональноїбезпеки:відмоноцентричноїмоделізалежності додиверсифікованоїсистемиситуативнихальянсів,дедержавирегіону </w:t>
      </w:r>
      <w:r>
        <w:rPr>
          <w:spacing w:val="-2"/>
        </w:rPr>
        <w:t>виступають</w:t>
      </w:r>
      <w:r>
        <w:tab/>
      </w:r>
      <w:r>
        <w:tab/>
      </w:r>
      <w:r>
        <w:tab/>
      </w:r>
      <w:r>
        <w:tab/>
      </w:r>
      <w:r>
        <w:tab/>
      </w:r>
      <w:r>
        <w:rPr>
          <w:spacing w:val="-6"/>
        </w:rPr>
        <w:t>не</w:t>
      </w:r>
      <w:r>
        <w:tab/>
      </w:r>
      <w:r>
        <w:rPr>
          <w:spacing w:val="-2"/>
        </w:rPr>
        <w:t>пасивними</w:t>
      </w:r>
      <w:r>
        <w:tab/>
      </w:r>
      <w:r>
        <w:rPr>
          <w:spacing w:val="-2"/>
        </w:rPr>
        <w:t>об’єктами,</w:t>
      </w:r>
      <w:r>
        <w:tab/>
      </w:r>
      <w:r>
        <w:rPr>
          <w:spacing w:val="-10"/>
        </w:rPr>
        <w:t>а</w:t>
      </w:r>
      <w:r>
        <w:tab/>
      </w:r>
      <w:r>
        <w:rPr>
          <w:spacing w:val="-2"/>
        </w:rPr>
        <w:t>активними</w:t>
      </w:r>
      <w:r>
        <w:tab/>
        <w:t>суб’єктами,</w:t>
      </w:r>
      <w:r>
        <w:tab/>
      </w:r>
      <w:r>
        <w:tab/>
      </w:r>
      <w:r>
        <w:rPr>
          <w:spacing w:val="-6"/>
        </w:rPr>
        <w:t xml:space="preserve">що </w:t>
      </w:r>
      <w:r>
        <w:t xml:space="preserve">використовуютьглобальніпротиріччядлязміцненнявласногосуверенітету. </w:t>
      </w:r>
      <w:r>
        <w:rPr>
          <w:b/>
        </w:rPr>
        <w:t>Хронологічнірамки</w:t>
      </w:r>
      <w:r>
        <w:t xml:space="preserve">роботиохоплюютьперіодз1991рокупо </w:t>
      </w:r>
      <w:r>
        <w:rPr>
          <w:spacing w:val="-2"/>
        </w:rPr>
        <w:t>теперішній</w:t>
      </w:r>
      <w:r>
        <w:tab/>
      </w:r>
      <w:r>
        <w:tab/>
      </w:r>
      <w:r>
        <w:tab/>
      </w:r>
      <w:r>
        <w:rPr>
          <w:spacing w:val="-4"/>
        </w:rPr>
        <w:t>час.</w:t>
      </w:r>
      <w:r>
        <w:tab/>
      </w:r>
      <w:r>
        <w:tab/>
      </w:r>
      <w:r>
        <w:rPr>
          <w:spacing w:val="-2"/>
        </w:rPr>
        <w:t>Нижня</w:t>
      </w:r>
      <w:r>
        <w:tab/>
      </w:r>
      <w:r>
        <w:rPr>
          <w:spacing w:val="-4"/>
        </w:rPr>
        <w:t>межа</w:t>
      </w:r>
      <w:r>
        <w:tab/>
      </w:r>
      <w:r>
        <w:tab/>
      </w:r>
      <w:r>
        <w:rPr>
          <w:spacing w:val="-2"/>
        </w:rPr>
        <w:t>обумовлена</w:t>
      </w:r>
      <w:r>
        <w:tab/>
      </w:r>
      <w:r>
        <w:tab/>
      </w:r>
      <w:r>
        <w:rPr>
          <w:spacing w:val="-2"/>
        </w:rPr>
        <w:t>розпадом</w:t>
      </w:r>
      <w:r>
        <w:tab/>
      </w:r>
      <w:r>
        <w:rPr>
          <w:spacing w:val="-2"/>
        </w:rPr>
        <w:t>СРСР,</w:t>
      </w:r>
      <w:r>
        <w:tab/>
      </w:r>
      <w:r>
        <w:rPr>
          <w:spacing w:val="-6"/>
        </w:rPr>
        <w:t>що</w:t>
      </w:r>
      <w:r>
        <w:tab/>
      </w:r>
      <w:r>
        <w:rPr>
          <w:spacing w:val="-4"/>
        </w:rPr>
        <w:t xml:space="preserve">став </w:t>
      </w:r>
      <w:r>
        <w:rPr>
          <w:spacing w:val="-2"/>
        </w:rPr>
        <w:t>вихідною</w:t>
      </w:r>
      <w:r>
        <w:tab/>
      </w:r>
      <w:r>
        <w:tab/>
      </w:r>
      <w:r>
        <w:rPr>
          <w:spacing w:val="-2"/>
        </w:rPr>
        <w:t>точкою</w:t>
      </w:r>
      <w:r>
        <w:tab/>
      </w:r>
      <w:r>
        <w:rPr>
          <w:spacing w:val="-2"/>
        </w:rPr>
        <w:t>формування</w:t>
      </w:r>
      <w:r>
        <w:tab/>
      </w:r>
      <w:r>
        <w:tab/>
      </w:r>
      <w:r>
        <w:rPr>
          <w:spacing w:val="-2"/>
        </w:rPr>
        <w:t>незалежних</w:t>
      </w:r>
      <w:r>
        <w:tab/>
      </w:r>
      <w:r>
        <w:tab/>
      </w:r>
      <w:r>
        <w:tab/>
      </w:r>
      <w:r>
        <w:rPr>
          <w:spacing w:val="-2"/>
        </w:rPr>
        <w:t>безпекових</w:t>
      </w:r>
      <w:r>
        <w:tab/>
      </w:r>
      <w:r>
        <w:tab/>
      </w:r>
      <w:r>
        <w:tab/>
      </w:r>
      <w:r>
        <w:rPr>
          <w:spacing w:val="-4"/>
        </w:rPr>
        <w:t xml:space="preserve">комплексів </w:t>
      </w:r>
      <w:r>
        <w:rPr>
          <w:spacing w:val="-2"/>
        </w:rPr>
        <w:t>Південного</w:t>
      </w:r>
      <w:r>
        <w:tab/>
      </w:r>
      <w:r>
        <w:tab/>
      </w:r>
      <w:r>
        <w:tab/>
      </w:r>
      <w:r>
        <w:tab/>
        <w:t>КавказутаЦентральноїАзіїіпоявиновихсуб’єктів міжнароднихвідносин.Кінцеваждатадослідженнядозволяє проаналізуватинайновішіданітатенденціїщодотрансформації регіональноїбезпекипідвпливомглобальних зрушень, зокрема наслідків російсько-українськоївійнитазмінибалансусилміжключовими</w:t>
      </w:r>
    </w:p>
    <w:p w:rsidR="002C65FF" w:rsidRDefault="00B2180F">
      <w:pPr>
        <w:pStyle w:val="a3"/>
      </w:pPr>
      <w:r>
        <w:rPr>
          <w:spacing w:val="-2"/>
        </w:rPr>
        <w:t>геополітичнимигравцями.</w:t>
      </w:r>
    </w:p>
    <w:p w:rsidR="002C65FF" w:rsidRDefault="00B2180F">
      <w:pPr>
        <w:pStyle w:val="a3"/>
        <w:spacing w:before="161" w:line="360" w:lineRule="auto"/>
        <w:ind w:right="156" w:firstLine="720"/>
      </w:pPr>
      <w:r>
        <w:t>Методологічну основу дослідження становить комплекс взаємопов’язаних методів, обраних відповідно до емпіричного характеру роботи та необхідності виявлення причинно-наслідкових зв’язків у сфері регіональної безпеки. Центральне місце у дослідженні посідає системний підхід. Його застосування дозволяє представити Південний Кавказ та Центральну Азію як регіональні комплекси безпеки, що функціонують у динамічному взаємозв’язку з глобальним середовищем. Цей підхід уможливив визначення співвідношення впливу внутрішніх вразливостей регіонів та зовнішнього тиску глобальних гравців на формування архітектурибезпеки.Дляреалізаціїзавданьдослідженнявикористано</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7"/>
      </w:pPr>
      <w:r>
        <w:t>компаративний (порівняльний) метод, що дозволяє здійснити зіставлення безпекових динамік двох регіонів. За допомогою порівняння може бути виокремлені спільні тенденції та відмінні риси, а також проаналізовано ефективністьрізнихстратегійзовнішніхакторівуцихпросторах.Метод</w:t>
      </w:r>
    </w:p>
    <w:p w:rsidR="002C65FF" w:rsidRDefault="00B2180F">
      <w:pPr>
        <w:pStyle w:val="a3"/>
        <w:spacing w:line="360" w:lineRule="auto"/>
        <w:ind w:right="154"/>
      </w:pPr>
      <w:r>
        <w:t>«кейс-стаді» є інструментом для детального вивчення окремих безпекових ситуацій та конфліктів, відповідаючи на питання «чому відбуваються зміни?» і «чому саме такі зміни?». Аналіз конкретних кейсів дозволяє в межах дослідження верифікувати гіпотезу про вплив геополітичної конкуренції на регіональну стабільність та виявити конкретні механізми цьоговпливу.Додатковозастосовуєтьсяаналіздокументів– формально-юридичний метод – для опрацювання стратегій національної безпеки, концепцій зовнішньої політики та нормативно-правових актів міжнародних організацій, що є основою для оцінки офіційних позицій та намірів держав.</w:t>
      </w:r>
    </w:p>
    <w:p w:rsidR="002C65FF" w:rsidRDefault="00B2180F">
      <w:pPr>
        <w:pStyle w:val="a3"/>
        <w:spacing w:line="360" w:lineRule="auto"/>
        <w:ind w:right="154" w:firstLine="720"/>
      </w:pPr>
      <w:r>
        <w:rPr>
          <w:b/>
        </w:rPr>
        <w:t xml:space="preserve">Наукова новизна дослідження </w:t>
      </w:r>
      <w:r>
        <w:t>полягає у тому, що впершенаоснові порівняльного аналізу виявлено та систематизовано стійкі каузальні зв’язки між зміною стратегій глобального домінування великих держав і трансформацією локальних безпекових комплексів Південного Кавказу та Центральної Азії. У роботі удосконалено аналітичний підхід до вивчення регіональної безпеки шляхом інтеграції енергетичних та логістичних чинниківякключовихзмінних,щовизначаютьдинамікувійськово-політичних союзів. Також набуло подальшого розвитку обґрунтування зростаючої суб’єктності держав регіону, доведено, що їхня здатність маневрувати між центрами сили стає визначальним чинником стабільності в умовах кризи існуючої системи міжнародних відносин.</w:t>
      </w:r>
    </w:p>
    <w:p w:rsidR="002C65FF" w:rsidRDefault="00B2180F">
      <w:pPr>
        <w:pStyle w:val="Heading2"/>
        <w:ind w:left="1004"/>
        <w:jc w:val="both"/>
      </w:pPr>
      <w:r>
        <w:t>Апробаціярезультатівдослідженнята</w:t>
      </w:r>
      <w:r>
        <w:rPr>
          <w:spacing w:val="-2"/>
        </w:rPr>
        <w:t>публікації.</w:t>
      </w:r>
    </w:p>
    <w:p w:rsidR="002C65FF" w:rsidRDefault="00B2180F">
      <w:pPr>
        <w:pStyle w:val="a3"/>
        <w:spacing w:before="161"/>
        <w:ind w:left="1004"/>
      </w:pPr>
      <w:r>
        <w:t>Вмежахпідсекції«Міжнароднівідносини»</w:t>
      </w:r>
      <w:r>
        <w:rPr>
          <w:spacing w:val="-2"/>
        </w:rPr>
        <w:t>секції</w:t>
      </w:r>
    </w:p>
    <w:p w:rsidR="002C65FF" w:rsidRDefault="00B2180F">
      <w:pPr>
        <w:pStyle w:val="a3"/>
        <w:spacing w:before="161" w:line="360" w:lineRule="auto"/>
        <w:ind w:right="161"/>
      </w:pPr>
      <w:r>
        <w:t xml:space="preserve">«Соціально-політичні науки» </w:t>
      </w:r>
      <w:r>
        <w:rPr>
          <w:color w:val="212121"/>
        </w:rPr>
        <w:t xml:space="preserve">81-ої звітної студентської наукової конференції Одеського національного університету імені І. І. Мечникова </w:t>
      </w:r>
      <w:r>
        <w:t>було, в контексті дослідження, представлено моюдоповідьнатему«</w:t>
      </w:r>
      <w:r>
        <w:rPr>
          <w:color w:val="212121"/>
        </w:rPr>
        <w:t>Вплив</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68"/>
      </w:pPr>
      <w:r>
        <w:rPr>
          <w:color w:val="212121"/>
        </w:rPr>
        <w:t xml:space="preserve">російських, турецьких та західних медіа на безпекові наративи Південного </w:t>
      </w:r>
      <w:r>
        <w:rPr>
          <w:color w:val="212121"/>
          <w:spacing w:val="-2"/>
        </w:rPr>
        <w:t>Кавказу</w:t>
      </w:r>
      <w:r>
        <w:rPr>
          <w:spacing w:val="-2"/>
        </w:rPr>
        <w:t>».</w:t>
      </w:r>
    </w:p>
    <w:p w:rsidR="002C65FF" w:rsidRDefault="00B2180F">
      <w:pPr>
        <w:pStyle w:val="a3"/>
        <w:spacing w:line="360" w:lineRule="auto"/>
        <w:ind w:right="155" w:firstLine="720"/>
      </w:pPr>
      <w:r>
        <w:t xml:space="preserve">Основні положення і результати дослідження були представлені на VII науковій конференції для викладачів, студентів PhD та магістрів, які навчаються за спеціальністю № 291 «Міжнародні відносини, суспільні комунікації та регіональні студії», яка відбулася 28 травня 2025 року на ФМВПС ОНУ імені І. І. Мечникова. За результатами роботи конференції було опубліковано тези у збірці – Зейналов, Д. (2025). Регіоналізм на Південному Кавказі: драйвери, виклики та перспективи інтеграції. VIІ наукова конференція. </w:t>
      </w:r>
      <w:r>
        <w:rPr>
          <w:i/>
        </w:rPr>
        <w:t>Політичні проблеми міжнародних систем та глобальногорозвитку:збіркатезVIІнауковоїконференції(28травня2025, м. Одеса)</w:t>
      </w:r>
      <w:r>
        <w:t>. С. 9-10.</w:t>
      </w:r>
    </w:p>
    <w:p w:rsidR="002C65FF" w:rsidRDefault="00B2180F">
      <w:pPr>
        <w:pStyle w:val="a3"/>
        <w:spacing w:line="360" w:lineRule="auto"/>
        <w:ind w:right="162" w:firstLine="720"/>
      </w:pPr>
      <w:r>
        <w:t>Зміст дослідження також було висвітлено під час роботи XXVI науково-практичноїстудентськоїконференціїзпроблем світової політики</w:t>
      </w:r>
    </w:p>
    <w:p w:rsidR="002C65FF" w:rsidRDefault="00B2180F">
      <w:pPr>
        <w:spacing w:line="360" w:lineRule="auto"/>
        <w:ind w:left="284" w:right="161"/>
        <w:jc w:val="both"/>
        <w:rPr>
          <w:sz w:val="28"/>
        </w:rPr>
      </w:pPr>
      <w:r>
        <w:rPr>
          <w:sz w:val="28"/>
        </w:rPr>
        <w:t>«Локальна політика в умовах глобальних перетворень» з подальшою публікацією відповідної статті – Зейналов, Д. (2025). Центральна Азія як потенційний простір розширення військової агресії РФ:оцінкаконкуренції завпливзКитаємізростаючігібриднізагрози.</w:t>
      </w:r>
      <w:r>
        <w:rPr>
          <w:i/>
          <w:sz w:val="28"/>
        </w:rPr>
        <w:t xml:space="preserve">Соціально-політичністудії. Науковий альманах. Праці молодих науковців. </w:t>
      </w:r>
      <w:r>
        <w:rPr>
          <w:sz w:val="28"/>
        </w:rPr>
        <w:t>2025. Вип. 9. С. 73-82.</w:t>
      </w:r>
    </w:p>
    <w:p w:rsidR="002C65FF" w:rsidRDefault="00B2180F">
      <w:pPr>
        <w:pStyle w:val="a3"/>
        <w:spacing w:line="360" w:lineRule="auto"/>
        <w:ind w:right="155" w:firstLine="720"/>
      </w:pPr>
      <w:r>
        <w:rPr>
          <w:b/>
        </w:rPr>
        <w:t xml:space="preserve">Структура роботи </w:t>
      </w:r>
      <w:r>
        <w:t xml:space="preserve">обумовлена метою та завданнями дослідження, що передбачають послідовний перехід від вивчення теоретичних засад до аналізу реальних політичних процесів. Перший розділ розкриває теоретичні засадитастаннауковоїрозробкипроблеми,другийфокусується на стратегіях ключових геополітичних гравців, а третій присвячено порівняльному аналізу регіональних викликів та моделюванню сценаріїв майбутнього розвитку ситуації на Південному Кавказі та в Центральній </w:t>
      </w:r>
      <w:r>
        <w:rPr>
          <w:spacing w:val="-2"/>
        </w:rPr>
        <w:t>Азії.</w:t>
      </w:r>
    </w:p>
    <w:p w:rsidR="002C65FF" w:rsidRDefault="00B2180F">
      <w:pPr>
        <w:pStyle w:val="a3"/>
        <w:spacing w:line="360" w:lineRule="auto"/>
        <w:ind w:right="155" w:firstLine="720"/>
      </w:pPr>
      <w:r>
        <w:rPr>
          <w:b/>
        </w:rPr>
        <w:t xml:space="preserve">Обсяг роботи. </w:t>
      </w:r>
      <w:r>
        <w:t>Магістерська робота складається із вступу, розділів, висновків і списку посилань. Кількість сторінок без списку посилань – 68. Кількість посилань – 80.</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Heading1"/>
      </w:pPr>
      <w:r>
        <w:rPr>
          <w:spacing w:val="-2"/>
        </w:rPr>
        <w:t>РОЗДІЛ</w:t>
      </w:r>
      <w:r>
        <w:rPr>
          <w:spacing w:val="-10"/>
        </w:rPr>
        <w:t>І</w:t>
      </w:r>
    </w:p>
    <w:p w:rsidR="002C65FF" w:rsidRDefault="00B2180F">
      <w:pPr>
        <w:spacing w:before="161"/>
        <w:ind w:left="157" w:right="30"/>
        <w:jc w:val="center"/>
        <w:rPr>
          <w:b/>
          <w:sz w:val="28"/>
        </w:rPr>
      </w:pPr>
      <w:r>
        <w:rPr>
          <w:b/>
          <w:spacing w:val="-2"/>
          <w:sz w:val="28"/>
        </w:rPr>
        <w:t>ТЕОРЕТИЧНІЗАСАДИДОСЛІДЖЕННЯ</w:t>
      </w:r>
    </w:p>
    <w:p w:rsidR="002C65FF" w:rsidRDefault="002C65FF">
      <w:pPr>
        <w:pStyle w:val="a3"/>
        <w:ind w:left="0"/>
        <w:jc w:val="left"/>
        <w:rPr>
          <w:b/>
        </w:rPr>
      </w:pPr>
    </w:p>
    <w:p w:rsidR="002C65FF" w:rsidRDefault="002C65FF">
      <w:pPr>
        <w:pStyle w:val="a3"/>
        <w:ind w:left="0"/>
        <w:jc w:val="left"/>
        <w:rPr>
          <w:b/>
        </w:rPr>
      </w:pPr>
    </w:p>
    <w:p w:rsidR="002C65FF" w:rsidRDefault="00B2180F">
      <w:pPr>
        <w:pStyle w:val="Heading2"/>
        <w:numPr>
          <w:ilvl w:val="1"/>
          <w:numId w:val="3"/>
        </w:numPr>
        <w:tabs>
          <w:tab w:val="left" w:pos="815"/>
        </w:tabs>
        <w:spacing w:line="360" w:lineRule="auto"/>
        <w:ind w:right="158"/>
      </w:pPr>
      <w:r>
        <w:t>Теоретико-методологічніпідходидо аналізу регіональної безпеки: структурний реалізм та теорія регіональних комплексів безпеки</w:t>
      </w:r>
    </w:p>
    <w:p w:rsidR="002C65FF" w:rsidRDefault="002C65FF">
      <w:pPr>
        <w:pStyle w:val="a3"/>
        <w:spacing w:before="161"/>
        <w:ind w:left="0"/>
        <w:jc w:val="left"/>
        <w:rPr>
          <w:b/>
        </w:rPr>
      </w:pPr>
    </w:p>
    <w:p w:rsidR="002C65FF" w:rsidRDefault="00B2180F">
      <w:pPr>
        <w:pStyle w:val="a3"/>
        <w:spacing w:line="360" w:lineRule="auto"/>
        <w:ind w:right="155" w:firstLine="720"/>
      </w:pPr>
      <w:r>
        <w:t>Для комплексного розкриття теми магістерської роботи, аналізу причинно-наслідкових зв’язків та верифікації висунутої гіпотези в якості теоретичного фундаменту дослідження обрано школу структурного реалізму, себто неореалізму.Вибірцієїпарадигмизумовленийспецифікою об’єкта дослідження – безпекового середовища Південного Кавказу та Центральної Азії, яке характеризується високим рівнемконфліктогенності, боротьбою за владу та ресурси, а також визначальним впливом матеріальних чинників (військового потенціалу, географічногоположення, енергетичних ресурсів).</w:t>
      </w:r>
    </w:p>
    <w:p w:rsidR="002C65FF" w:rsidRDefault="00B2180F">
      <w:pPr>
        <w:pStyle w:val="a3"/>
        <w:spacing w:line="360" w:lineRule="auto"/>
        <w:ind w:right="155" w:firstLine="720"/>
      </w:pPr>
      <w:r>
        <w:t>Фундаментальною основою дослідження виступають положення, викладеніКеннетомУолцомупраці«Теоріяміжнародноїполітики»(1979). Згідно з його підходом, визначальним чинником поведінки держав є анархічна структура міжнародної системи, тобто відсутність цілісної єдиної централізованої верховної влади, здатної гарантувати безпеку. Для держав Південного Кавказу та Центральної Азії цей постулат є об’єктивною реальністю: слабкість регіональних безпекових інституцій та неефективність міжнародних механізмів врегулювання конфліктів змушує акторів діяти по принципу «кожен сам за себе». У контексті даного дослідження цей підхід дозволяє пояснити прагнення держав регіону до нарощування власного оборонного потенціалу та пошук ситуативних союзників не як вибір ідеологічних уподобань, аякімперативвиживанняв умовах структурної незахищеності.</w:t>
      </w:r>
    </w:p>
    <w:p w:rsidR="002C65FF" w:rsidRDefault="00B2180F">
      <w:pPr>
        <w:pStyle w:val="a3"/>
        <w:spacing w:line="360" w:lineRule="auto"/>
        <w:ind w:right="161" w:firstLine="720"/>
      </w:pPr>
      <w:r>
        <w:t>Зважаючи на активну роль зовнішніх акторів у регіонах, методологічнийкаркасроботипосиленотеорієюнаступальногореалізму</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5"/>
      </w:pPr>
      <w:r>
        <w:t>Джона Міршаймера («Трагедія політики великих держав», 2001). Цей підхід є критично важливим для аналізу стратегій Російської Федерації та Китайської Народної Республіки. Міршаймер стверджує, що великі держави завжди прагнуть до регіональної гегемонії як єдиного надійного гаранта власної безпеки. Застосування цієї теорії дає змогу інтерпретувати агресивну зовнішню політику РФ на пострадянському просторі та економічну експансію Китаю не як ситуативні дії, а як закономірну стратегічну конкуренцію за домінування в Євразії. Це безпосередньо корелює з гіпотезою роботи про заповнення «геополітичного вакууму» новими центрами сили.</w:t>
      </w:r>
    </w:p>
    <w:p w:rsidR="002C65FF" w:rsidRDefault="00B2180F">
      <w:pPr>
        <w:pStyle w:val="a3"/>
        <w:spacing w:line="360" w:lineRule="auto"/>
        <w:ind w:right="155" w:firstLine="720"/>
      </w:pPr>
      <w:r>
        <w:t>Для аналізу механізмів взаємодії малих та середніх держав регіону з глобальними гравцями використано концепцію «балансу загроз» Стівена Уолта («Походження альянсів», 1987). На відміну від класичного балансу сил, Уолт доводить, що держави вступають у союзи для протидії тому актору, який становить найбільшу безпосередню загрозу. І в цьому контексті важливим є пояснення феномену багатовекторності у зовнішній політиці країн регіону: зближення з Туреччиною, час-від-часу з ЄС або США, розглядається як реакція на сприйняття загрози з боку традиційних гегемонів, що підтверджує тезу про намагання диверсифікувати архітектуру безпеки.</w:t>
      </w:r>
    </w:p>
    <w:p w:rsidR="002C65FF" w:rsidRDefault="00B2180F">
      <w:pPr>
        <w:pStyle w:val="a3"/>
        <w:spacing w:line="360" w:lineRule="auto"/>
        <w:ind w:right="156" w:firstLine="720"/>
      </w:pPr>
      <w:r>
        <w:t>Оскільки структурний реалізм фокусується переважно на глобальному рівні, для його адаптації до регіональної специфіки у дослідженні застосовано теорію регіональних комплексів безпеки (regional security complex theory), розроблену Баррі Бузаном та Оле Вейвером («Регіони та держави: структура міжнародної безпеки», 2003). Відповідно до цієї теорії, Південний Кавказ та Центральна Азія розглядаються як окремі регіональні комплекси безпеки – групи держав, чиї основні занепокоєння настільки тісно пов’язані, що їхню національну безпеку неможливо розглядати ізольовано.</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6" w:firstLine="720"/>
      </w:pPr>
      <w:r>
        <w:t>Використання теорії регіональних комплексів безпеки є обґрунтованим з огляду на необхідність аналізу фактору «проникнення» (penetration) – терміну, який Б. Бузан вводить для опису ситуації, коли зовнішні великі держави втручаються у справи регіонального комплексу, використовуючи внутрішні регіональніпротиріччядляпросуваннявласних інтересів. Це поняття є ключовим для даної магістерськоїроботи,оскільки воно пояснює причинно-наслідковий зв’язок між глобальною конкуренцією (незалежна змінна) та трансформацією регіональних конфліктів (залежна змінна). Поєднання неореалізму з теорією регіональних комплексів безпеки дозволяє сфокусуватися на матеріальних чинниках безпеки – контролі над енергетичними ресурсами та транспортними коридорами, що є визначальнимидляархітектуривідносин у досліджуваних регіонах.</w:t>
      </w:r>
    </w:p>
    <w:p w:rsidR="002C65FF" w:rsidRDefault="00B2180F">
      <w:pPr>
        <w:pStyle w:val="a3"/>
        <w:spacing w:line="360" w:lineRule="auto"/>
        <w:ind w:right="159" w:firstLine="720"/>
      </w:pPr>
      <w:r>
        <w:t>Завдяки синтезу цих підходів в дослідженні вдається не просто констатувати факти, а аналізувати механізми боротьби за вплив врегіонах. Це дозволяє довести, що трансформація безпеки в досліджуваних регіональних комплексах відбувається не випадково, а через перерозподіл сили між ключовими державами.</w:t>
      </w:r>
    </w:p>
    <w:p w:rsidR="002C65FF" w:rsidRDefault="00B2180F">
      <w:pPr>
        <w:pStyle w:val="a3"/>
        <w:spacing w:line="360" w:lineRule="auto"/>
        <w:ind w:right="157" w:firstLine="720"/>
      </w:pPr>
      <w:r>
        <w:t>Такий методологічний симбіоз дає можливість уникнути однобічності аналізу: з одного боку, не зводити регіональні процеси виключно до пасивної проекції інтересів великих держав (що є ризиком при використанні лише структурного реалізму), а з іншого – не ігнорувати глобальний контекст при розгляді локальних етнополітичних конфліктів. Важливим елементом використаного підходу є також врахування «дилеми безпеки», яка в умовах Південного Кавказу та Центральної Азії набуває багаторівневого, «матрьошкового» характеру: дії однієї держави щодо зміцнення власної обороноздатності сприймаються як екзистенційна загроза не лише безпосередніми сусідами, а й зовнішніми акторами конкуруючими за вплив врегіоні.Обранийдляроботизцимдослідженням теоретико-методологічнийінструментарійформуєціліснуаналітичну</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64"/>
      </w:pPr>
      <w:r>
        <w:t>рамку, необхідну для виявлення глибинних причин вразливості регіональної безпекової архітектури та прогнозування сценаріїв її подальшого розвитку.</w:t>
      </w:r>
    </w:p>
    <w:p w:rsidR="002C65FF" w:rsidRDefault="002C65FF">
      <w:pPr>
        <w:pStyle w:val="a3"/>
        <w:spacing w:before="161"/>
        <w:ind w:left="0"/>
        <w:jc w:val="left"/>
      </w:pPr>
    </w:p>
    <w:p w:rsidR="002C65FF" w:rsidRDefault="00B2180F">
      <w:pPr>
        <w:pStyle w:val="Heading2"/>
        <w:numPr>
          <w:ilvl w:val="1"/>
          <w:numId w:val="3"/>
        </w:numPr>
        <w:tabs>
          <w:tab w:val="left" w:pos="770"/>
        </w:tabs>
        <w:ind w:left="770" w:hanging="486"/>
      </w:pPr>
      <w:r>
        <w:rPr>
          <w:spacing w:val="-2"/>
        </w:rPr>
        <w:t>Характеристиканауковоїрозробкипроблеми</w:t>
      </w:r>
    </w:p>
    <w:p w:rsidR="002C65FF" w:rsidRDefault="002C65FF">
      <w:pPr>
        <w:pStyle w:val="a3"/>
        <w:ind w:left="0"/>
        <w:jc w:val="left"/>
        <w:rPr>
          <w:b/>
        </w:rPr>
      </w:pPr>
    </w:p>
    <w:p w:rsidR="002C65FF" w:rsidRDefault="002C65FF">
      <w:pPr>
        <w:pStyle w:val="a3"/>
        <w:ind w:left="0"/>
        <w:jc w:val="left"/>
        <w:rPr>
          <w:b/>
        </w:rPr>
      </w:pPr>
    </w:p>
    <w:p w:rsidR="002C65FF" w:rsidRDefault="00B2180F">
      <w:pPr>
        <w:pStyle w:val="a3"/>
        <w:spacing w:line="360" w:lineRule="auto"/>
        <w:ind w:right="158" w:firstLine="720"/>
      </w:pPr>
      <w:r>
        <w:rPr>
          <w:color w:val="1F1F1F"/>
        </w:rPr>
        <w:t>Аналіз стану наукової розробки проблеми регіональної безпеки Південного Кавказу та Центральної Азії дозволяє стверджувати, що ця тематика перебуває в центрі уваги як вітчизняної, так і світової політичної науки.Цезумовленонелишетрадиційнимзначеннямцихрегіонів</w:t>
      </w:r>
      <w:r>
        <w:rPr>
          <w:color w:val="1F1F1F"/>
          <w:spacing w:val="-5"/>
        </w:rPr>
        <w:t>як</w:t>
      </w:r>
    </w:p>
    <w:p w:rsidR="002C65FF" w:rsidRDefault="00B2180F">
      <w:pPr>
        <w:pStyle w:val="a3"/>
      </w:pPr>
      <w:r>
        <w:rPr>
          <w:color w:val="1F1F1F"/>
        </w:rPr>
        <w:t>«євразійськихБалкан»(завизначеннямЗ.Бжезінськоговйого</w:t>
      </w:r>
      <w:r>
        <w:rPr>
          <w:color w:val="1F1F1F"/>
          <w:spacing w:val="-2"/>
        </w:rPr>
        <w:t>роботі</w:t>
      </w:r>
    </w:p>
    <w:p w:rsidR="002C65FF" w:rsidRDefault="00B2180F">
      <w:pPr>
        <w:pStyle w:val="a3"/>
        <w:spacing w:before="161" w:line="360" w:lineRule="auto"/>
        <w:ind w:right="156"/>
      </w:pPr>
      <w:r>
        <w:rPr>
          <w:color w:val="1F1F1F"/>
        </w:rPr>
        <w:t>«Велика шахівниця»), але й кардинальною трансформацією безпекового ландшафту, що відбулася внаслідок серії кризових подій 2020-2025 років: політичних турбулентностей в Казахстані та Грузії, Другої Карабахської війни, виведення військ США з Афганістану та повномасштабного вторгнення Росії в Україну.</w:t>
      </w:r>
    </w:p>
    <w:p w:rsidR="002C65FF" w:rsidRDefault="00B2180F">
      <w:pPr>
        <w:pStyle w:val="a3"/>
        <w:spacing w:line="360" w:lineRule="auto"/>
        <w:ind w:right="155" w:firstLine="720"/>
      </w:pPr>
      <w:r>
        <w:rPr>
          <w:color w:val="1F1F1F"/>
        </w:rPr>
        <w:t xml:space="preserve">З метою систематизації наявного масиву джерел та виявлення основних тенденцій у дослідженні теми, в даній роботі застосовано проблемно-тематичний підхід до групування літератури. Такий вибір методології огляду дозволяє не просто хронологічно (історіографічно) перелічити праці дослідників, а простежити еволюцію наукових наративів довкола ключових безпекових дилем, що досліджуються. Весь масив опрацьованої літератури можна умовно поділити на три великі тематичні </w:t>
      </w:r>
      <w:r>
        <w:rPr>
          <w:color w:val="1F1F1F"/>
          <w:spacing w:val="-2"/>
        </w:rPr>
        <w:t>кластери.</w:t>
      </w:r>
    </w:p>
    <w:p w:rsidR="002C65FF" w:rsidRDefault="00B2180F">
      <w:pPr>
        <w:pStyle w:val="a3"/>
        <w:spacing w:line="360" w:lineRule="auto"/>
        <w:ind w:right="155" w:firstLine="720"/>
      </w:pPr>
      <w:r>
        <w:rPr>
          <w:color w:val="1F1F1F"/>
        </w:rPr>
        <w:t>Перший кластер: геополітична конкуренція глобальних гравців, трансформація балансу сил та феномен «вакууму безпеки». Ця тематична група є найбільш масивною у джерельній структурі, що цілком закономірно відображає домінування реалістичної парадигмивосмисленні процесів на пострадянськомупросторі,вконтекстідосліджуванихрегіонів. Центральнимстрижнемнауковоїдискусіївцьомукластерівиступає</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6"/>
      </w:pPr>
      <w:r>
        <w:rPr>
          <w:color w:val="1F1F1F"/>
        </w:rPr>
        <w:t>переоцінка ролі та потенціалу Російської Федерації. Якщо проаналізувати науковий доробок до 2014 року, зокрема праці О. Осмоловської (2010, 2012), В. Кузнєцова та О. Резнікової (2011), можна простежити сталий наратив про Росію як безальтернативного архітектора регіональної безпеки. У цих роботах Організація Договору про колективну безпеку (ОДКБ) розглядалася як ключовий, хоча й недосконалий, інструмент стабілізації, а російська військова присутність (зокрема у Вірменії та Таджикистані) – як гарантія від зовнішніх загроз.</w:t>
      </w:r>
    </w:p>
    <w:p w:rsidR="002C65FF" w:rsidRDefault="00B2180F">
      <w:pPr>
        <w:pStyle w:val="a3"/>
        <w:spacing w:line="360" w:lineRule="auto"/>
        <w:ind w:right="155" w:firstLine="720"/>
      </w:pPr>
      <w:r>
        <w:rPr>
          <w:color w:val="1F1F1F"/>
        </w:rPr>
        <w:t>Однак новітня історіографія пропонує кардинальну ревізію цих підходів. Сучасні українські дослідники О. Авдєєв (2023) та В. Ярмоленко (2025) у своїх фундаментальних аналітичних працях констатують, що повномасштабна агресія РФ проти України стала каталізатором делегітимізації російської присутності на Південному Кавказі та в Центральній Азії. Вчені акцентують увагу на конкретних проявах цієї слабкості: нездатності Москви виконати взяті на себе союзницькі зобов’язання перед Вірменією та вимушеному перекиданні військових ресурсів з «миротворчих» контингентів на український фронт.</w:t>
      </w:r>
    </w:p>
    <w:p w:rsidR="002C65FF" w:rsidRDefault="00B2180F">
      <w:pPr>
        <w:pStyle w:val="a3"/>
        <w:spacing w:line="360" w:lineRule="auto"/>
        <w:ind w:right="155" w:firstLine="720"/>
      </w:pPr>
      <w:r>
        <w:rPr>
          <w:color w:val="1F1F1F"/>
        </w:rPr>
        <w:t>ОсобливоїтеоретичноївагинабуваєдослідженняФ.Біндерата С. Малеріуса (2025), опубліковане під егідою Фонду Конрада Аденауера. АвторипропонуютьрозглядатисучаснуполітикуРФчерезоптику</w:t>
      </w:r>
    </w:p>
    <w:p w:rsidR="002C65FF" w:rsidRDefault="00B2180F">
      <w:pPr>
        <w:pStyle w:val="a3"/>
        <w:spacing w:line="360" w:lineRule="auto"/>
        <w:ind w:right="155"/>
      </w:pPr>
      <w:r>
        <w:rPr>
          <w:color w:val="1F1F1F"/>
        </w:rPr>
        <w:t>«неоколоніалізму» та «імперського ресентименту». Вони аргументовано доводять, що сприйняття Росії національними елітами регіонів, нехай і не явно та відверто, проте трансформувалося з образу «стратегічного партнера» на образ «екзистенційної загрози». Це дослідження є вкрай цінним для цієї кваліфікаційної роботи, оскільки пояснює мотивацію держав до пошуку альтернативних гарантів безпеки не як «зраду», а як раціональну стратегію виживання.</w:t>
      </w:r>
    </w:p>
    <w:p w:rsidR="002C65FF" w:rsidRDefault="00B2180F">
      <w:pPr>
        <w:pStyle w:val="a3"/>
        <w:spacing w:line="360" w:lineRule="auto"/>
        <w:ind w:right="157" w:firstLine="720"/>
      </w:pPr>
      <w:r>
        <w:rPr>
          <w:color w:val="1F1F1F"/>
        </w:rPr>
        <w:t>Окремим, критично важливимвекторомдослідженьуцьомукластері є аналіз китайської експансії. Науковий дискурс щодо ролі КНР пройшов складнуеволюцію.Ранніроботи(А.Гончарук,2017;П.Стронскі,Н.Нг,</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7"/>
      </w:pPr>
      <w:r>
        <w:rPr>
          <w:color w:val="1F1F1F"/>
        </w:rPr>
        <w:t xml:space="preserve">2018) базувались на концепції стратегічного поділу, де Москва відповідає за «жорстку» безпеку, а Пекін – за економічний розвиток. Проте новітні дослідженняформуютьальтернативний, дещо розбалансований погляд.М. Гесс (2024), І. Зуєнко (2025) (варто зауважити, що останній це російський дослідник, який визнає китайську спроможність політичного характеру) та Р. Гамільтон (2024) на основі простеження та встановлення причинно-наслідкових зв’язків стверджують, що Китай починає активно конвертувати свій економічний вплив у політичний та безпековий капітал. Б. Аллен-Ебрагімян(2024)усвоємудослідженні«Електричногошовкового шляху» демонструє, як технологічна залежність країн ЦентральноїАзіївід КНР (інфраструктура, цифровізація, системиспостереження)створюєнову реальність,делояльністьмісцевихелітпереорієнтовуєтьсянаПекін. Е. Гусейнов (2025) йде ще далі, стверджуючи,щозбігінтересівРФтаКНР є тактичним, тоді як стратегічно Китай заповнює вакуум сили, витісняючи </w:t>
      </w:r>
      <w:r>
        <w:rPr>
          <w:color w:val="1F1F1F"/>
          <w:spacing w:val="-2"/>
        </w:rPr>
        <w:t>Росію.</w:t>
      </w:r>
    </w:p>
    <w:p w:rsidR="002C65FF" w:rsidRDefault="00B2180F">
      <w:pPr>
        <w:pStyle w:val="a3"/>
        <w:spacing w:line="360" w:lineRule="auto"/>
        <w:ind w:right="156" w:firstLine="720"/>
      </w:pPr>
      <w:r>
        <w:rPr>
          <w:color w:val="1F1F1F"/>
        </w:rPr>
        <w:t>Третім стовпом цього кластеру є праці, присвячені зростанню суб’єктностісередніхдержав–ТуреччинитаІрану.Дослідження О. Воловича (2020), М. Замікули (2022) та О. Махна (2023) ґрунтовно аналізуютьфеноментурецькоїгеополітики.О.Махновводитьважливутезу про те, що Туреччинапісля2020рокусталаголовнимбенефіціаромзмінна Південному Кавказі. Аналізуючи «Шушинську декларацію», дослідники доходять висновку, що формат турецько-азербайджанського союзу стає прообразом нової архітектури безпеки для всього тюркського світу, включаючи Центральну Азію, що прямо кидає виклик традиційним інтеграційнимпроєктампідегідоюРФ.ЩодороліІрану,товпрацях В. Карвацького (2019), М. Замікули та В. Ярмоленка (2022) розглядається складний баланс між Тегераном, Анкарою та Москвою. Автори підкреслюють деструктивну роль Ірану, який, до речі, через це і не сприймається як однозначно надійний партнер.</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5" w:firstLine="720"/>
      </w:pPr>
      <w:r>
        <w:rPr>
          <w:color w:val="1F1F1F"/>
        </w:rPr>
        <w:t>Західний вектор політики (ЄС та США) піддається глибокому критичному аналізу та переосмисленню в працях С. Майстера (2021,2023, 2024), Б. Діна, В. Зверса, К. Ліндер(2023)таЛ.Делькур,К.Гофман(2018). Основний висновок цих дослідниківполягаєвтому,що«нормативнасила» Європи (спроба експорту демократії та верховенства права) виявляється неефективною в умовах жорсткої конфронтації.Традиційнізасобивпливу, з якими звикли працювати західні демократії, не спрацювали ні на Південному Кавказі, ні в Центральній Азії. С. Майстер вказує на перехід Заходу до більш прагматичної моделі відносин, де пріоритетом стають енергетичні ресурси та логістика,анецінності.Цеважливеспостереження для цього дослідження, оскільки воно пояснює обмеженість західного впливу на врегулювання конфліктів.</w:t>
      </w:r>
    </w:p>
    <w:p w:rsidR="002C65FF" w:rsidRDefault="00B2180F">
      <w:pPr>
        <w:pStyle w:val="a3"/>
        <w:spacing w:line="360" w:lineRule="auto"/>
        <w:ind w:right="156" w:firstLine="720"/>
      </w:pPr>
      <w:r>
        <w:rPr>
          <w:color w:val="1F1F1F"/>
        </w:rPr>
        <w:t>І, доречі,самепрагматичністьунауковійрозробціцієїтематикинині видається найбільш оптимальним, виваженим та обґрунтованим підходом для дослідження проблематики. Натомість, так звані, традиційні або ж ціннісно-ідеологічні постулатитежзберігаютьсвоюроль,протевконтексті досліджуваних регіонів не дозволяють в повній мірі розкрити сутність взаємовідносин держав всередині регіонів та їхніх взаємовідносин із зовнішніми акторами.</w:t>
      </w:r>
    </w:p>
    <w:p w:rsidR="002C65FF" w:rsidRDefault="00B2180F">
      <w:pPr>
        <w:pStyle w:val="a3"/>
        <w:spacing w:line="360" w:lineRule="auto"/>
        <w:ind w:right="155" w:firstLine="720"/>
      </w:pPr>
      <w:r>
        <w:rPr>
          <w:color w:val="1F1F1F"/>
        </w:rPr>
        <w:t>Варто зауважити, що усі дослідження та наукові розробкизцієїтеми в контексті описуваного кластеру, були в своїй природі новими, себто досліджень на цю тему, саме з точки зору глобалістики (з погляду глобальних акторів) раніше не робили. Навіть роки видань говорять нам про те, що ця тема стала актуальною не так давно і у зв’язку з цим цікаво зробити порівняння цього відносно нового кластеру з дослідженнями з інших тематичних блоків, які переважно були зроблені місцевими та регіональними дослідниками (дослідниками, які безпосередньо перебувають в досліджуванихрегіонах).</w:t>
      </w:r>
    </w:p>
    <w:p w:rsidR="002C65FF" w:rsidRDefault="00B2180F">
      <w:pPr>
        <w:pStyle w:val="a3"/>
        <w:spacing w:line="360" w:lineRule="auto"/>
        <w:ind w:right="155" w:firstLine="720"/>
      </w:pPr>
      <w:r>
        <w:rPr>
          <w:color w:val="1F1F1F"/>
        </w:rPr>
        <w:t>Другий кластер: регіональна динаміка конфліктів, безпекова архітектуратаінфраструктурнийвимір.Цягрупаджерелфокусується на</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6"/>
      </w:pPr>
      <w:r>
        <w:rPr>
          <w:color w:val="1F1F1F"/>
        </w:rPr>
        <w:t xml:space="preserve">внутрішніх процесах у регіональних комплексах безпеки.Фундаментальне значення має звіт Інституту Крістіана Мікельсена (2023) за авторством колективу авторів (М. Айдін, К. Какачія та ін.). Їхня праця є ключовимдля розуміння переходу від епохи заморожених конфліктів до динамічного вирішення територіальних спорів військовим шляхом. Автори вводять в обіг концепцію пост-карабахського порядку, де право сили домінує над силою права, а міжнародні інститути та платформи, такі як Мінська група ОБСЄ демонструють недієздатність. Дослідження вирізняється тим, що пропонує перший комплексний міждисциплінарний аналіз геополітичних трансформацій Південного Кавказу після війни 2020 року, поєднуючи експертні та статистичні дані, регіональний контекст і глобальні політичні зміни, включаючи російсько-українську війну. Робота дає унікальне розуміння нового балансу сил у регіоні, перспектив інтеграції та ролі зовнішніх акторів, що робить її особливо цінним джерелом для цього </w:t>
      </w:r>
      <w:r>
        <w:rPr>
          <w:color w:val="1F1F1F"/>
          <w:spacing w:val="-2"/>
        </w:rPr>
        <w:t>дослідження.</w:t>
      </w:r>
    </w:p>
    <w:p w:rsidR="002C65FF" w:rsidRDefault="00B2180F">
      <w:pPr>
        <w:pStyle w:val="a3"/>
        <w:spacing w:line="360" w:lineRule="auto"/>
        <w:ind w:right="156" w:firstLine="720"/>
      </w:pPr>
      <w:r>
        <w:rPr>
          <w:color w:val="1F1F1F"/>
        </w:rPr>
        <w:t>Важливим внеском у знаходження зв’язку між економікою та безпекою є роботи М. Гончара (2023) та В. Гусейнова (2023). Дослідники розглядають транспортні коридори (зокрема, Транскаспійський міжнародний транспортний маршрут або «Серединний коридор») не як суто логістичні проєкти, а як інструменти геополітичної емансипації регіону. Аналіз, проведений М. Гончаром, показує, як розвиток альтернативних маршрутів знижує транзитну залежність від РФ, що є передумовоюдлясправжньогополітичногосуверенітетукраїнЦентральної Азії. Історичний бекграунд конфліктогенності регіону детально розкрито у працях Т. Гіуашвілі (2025), С. Джорджеску (2013) та Р. Вробеля (2023). Дослідники сходяться на думці, що коріння сучасної безпекової турбулентності лежить у специфіці радянської національної політики та довільному накресленні адміністративних кордонів, які після 1991 року перетворилися на лінії міждержавних,аінодійцивілізаційних,розломів.У їхніхроботахобґрунтовуєтьсятезапроте,щоескалаціянапругив</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5"/>
      </w:pPr>
      <w:r>
        <w:rPr>
          <w:color w:val="1F1F1F"/>
        </w:rPr>
        <w:t>Карабасі, АбхазіїтаПівденнійОсетіїбуланепростолокальнимиетнічними зіткненнями, а наслідком системного вакууму безпеки, який виник після колапсу біполярної системи.</w:t>
      </w:r>
    </w:p>
    <w:p w:rsidR="002C65FF" w:rsidRDefault="00B2180F">
      <w:pPr>
        <w:pStyle w:val="a3"/>
        <w:spacing w:line="360" w:lineRule="auto"/>
        <w:ind w:right="157" w:firstLine="720"/>
      </w:pPr>
      <w:r>
        <w:rPr>
          <w:color w:val="1F1F1F"/>
        </w:rPr>
        <w:t>Зокрема, Р. Вробель (2023) та Т. Гіуашвілі (2025) акцентують увагу на еволюції цих конфліктів: від статусу «заморожених» інструментів російського впливу до фази активної трансформації, спричиненої новою геополітичною реальністю – російсько-українською війною та зростанням ролі Туреччини й Китаю. Саме повернення до історичного дискурсу та переоцінка його по-новому дозволяє зрозуміти, чому регіональна безпека залишається крихкою: вона будується на незавершених процесах державотворення та невирішених територіальних суперечках минулого століття, які сьогодні стають плацдармом, тобто, інструментарієм для глобальної конкуренції великих держав.</w:t>
      </w:r>
    </w:p>
    <w:p w:rsidR="002C65FF" w:rsidRDefault="00B2180F">
      <w:pPr>
        <w:pStyle w:val="a3"/>
        <w:spacing w:line="360" w:lineRule="auto"/>
        <w:ind w:right="157" w:firstLine="720"/>
      </w:pPr>
      <w:r>
        <w:rPr>
          <w:color w:val="1F1F1F"/>
        </w:rPr>
        <w:t>Третій кластер: соціокультурні трансформації, релігійний чинник та внутрішньополітична динаміка режимів. Цей кластер наукової розробки фокусується на внутрішньому вимірі безпеки, розглядаючи державу не як</w:t>
      </w:r>
    </w:p>
    <w:p w:rsidR="002C65FF" w:rsidRDefault="00B2180F">
      <w:pPr>
        <w:pStyle w:val="a3"/>
        <w:spacing w:line="360" w:lineRule="auto"/>
        <w:ind w:right="160"/>
      </w:pPr>
      <w:r>
        <w:rPr>
          <w:color w:val="1F1F1F"/>
        </w:rPr>
        <w:t>«чорну скриньку» (замкнену і незмінну), а як складну систему, де стабільність залежить від суспільних настроїв, ідеології та ефективності владних інститутів. Науковий дискурс у цьому кластері зміщується від геополітики до аналізу того, як процеси модернізації, націоналізму та релігійного відродження впливають на архітектуру регіональної безпеки.</w:t>
      </w:r>
    </w:p>
    <w:p w:rsidR="002C65FF" w:rsidRDefault="00B2180F">
      <w:pPr>
        <w:pStyle w:val="a3"/>
        <w:spacing w:line="360" w:lineRule="auto"/>
        <w:ind w:right="157" w:firstLine="720"/>
      </w:pPr>
      <w:r>
        <w:rPr>
          <w:color w:val="1F1F1F"/>
        </w:rPr>
        <w:t>Вагоме місце у цьому блоці посідають дослідження, присвячені проблематиці націєтворення та історичної пам’яті. Робота С. Абдуллазаде, А. Мелікяна та ін. (2018) повертає нас до витоків сучасних конфліктів, аналізуючи сплеск «нового націоналізму» в пізньорадянський період. Дослідники доводять, що саме незавершеність процесів формування національної ідентичності в 1980-90-х роках заклала фундамент для поточної конфліктогенності. Цю тезу розвиває Г. Алієв (2014), який досліджуєвпливрадянськоїспадщининаформуваннягромадянського</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5"/>
      </w:pPr>
      <w:r>
        <w:rPr>
          <w:color w:val="1F1F1F"/>
        </w:rPr>
        <w:t>суспільства, стверджуючи, що слабкість низових інституцій робить держави регіону вразливими до маніпуляцій ззовні.</w:t>
      </w:r>
    </w:p>
    <w:p w:rsidR="002C65FF" w:rsidRDefault="00B2180F">
      <w:pPr>
        <w:pStyle w:val="a3"/>
        <w:spacing w:line="360" w:lineRule="auto"/>
        <w:ind w:right="155" w:firstLine="720"/>
      </w:pPr>
      <w:r>
        <w:rPr>
          <w:color w:val="1F1F1F"/>
        </w:rPr>
        <w:t>Окремим, критично важливим напрямом сучасних досліджень Південного Кавказу та Центральної Азії є аналіз феномену популізму та трансформаціїполітичнихрежимів.ПраціД.Дуванової(2025)та С. Коскіної (2024) пропонують погляд на безпеку через призму стійкості політичних систем. Автори розглядають «синдром популізму» як загрозу демократичному транзиту, що призводить до прийняття ірраціональних зовнішньополітичних рішень. Особливо показовим у контексті даного дослідження є кейс Вірменії, розібраний у роботах Р. Еламіряна (2024), а також Г. Нікогосяна та В. Тер-Матевосяна (2022). Науковці демонструють травмативний погляд на події останніх років та вважають, що має місце прямий зв’язокміж,наїхпогляд,«популістськоюриторикою»лідерівпісля</w:t>
      </w:r>
    </w:p>
    <w:p w:rsidR="002C65FF" w:rsidRDefault="00B2180F">
      <w:pPr>
        <w:pStyle w:val="a3"/>
        <w:spacing w:line="360" w:lineRule="auto"/>
        <w:ind w:right="157"/>
      </w:pPr>
      <w:r>
        <w:rPr>
          <w:color w:val="1F1F1F"/>
        </w:rPr>
        <w:t>«Оксамитової революції» та «катастрофічними наслідками» у сфері безпеки, що призвели до війни 2020 року. Цікаво, що самі по собі ці дослідження також носять академічний характер, однак з дуже яскраво вираженими популістськими висловлюваннями та маніпулюванням фактами. Це свідчить про проявлення реваншизму й повернення деяких експертів до старих поглядів без прийняття сучасної політичної дійсності.</w:t>
      </w:r>
    </w:p>
    <w:p w:rsidR="002C65FF" w:rsidRDefault="00B2180F">
      <w:pPr>
        <w:pStyle w:val="a3"/>
        <w:spacing w:line="360" w:lineRule="auto"/>
        <w:ind w:right="155" w:firstLine="720"/>
      </w:pPr>
      <w:r>
        <w:rPr>
          <w:color w:val="1F1F1F"/>
        </w:rPr>
        <w:t>Значний масив літератури присвячено релігійному чиннику, який в умовах Південного Кавказу та Центральної Азії виступає як інструментом м’якої сили, так і маркером ідентичності. С. Кійомпур (2014), С. Звіададзе (2021), Б. Пан’єр (2024), С. Багіров (2024), дослідження Human Rights Watch (2023) та інші проводять компаративний аналіз статусу релігії в конституціях та суспільному житті країн регіонів, виявляючи відмінності між секулярними моделями та моделями з особливим статусом релігійних установ та громад.</w:t>
      </w:r>
    </w:p>
    <w:p w:rsidR="002C65FF" w:rsidRDefault="00B2180F">
      <w:pPr>
        <w:pStyle w:val="a3"/>
        <w:spacing w:line="360" w:lineRule="auto"/>
        <w:ind w:right="159" w:firstLine="720"/>
      </w:pPr>
      <w:r>
        <w:rPr>
          <w:color w:val="1F1F1F"/>
        </w:rPr>
        <w:t>Завершують цей кластер роботи, що аналізують суспільну модернізаціютазміниусприйняттібезпекирізнимипоколіннями. А.Бульвінський,О.ВасильєвіА.Добровольська(2017)вказуютьна</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6"/>
      </w:pPr>
      <w:r>
        <w:rPr>
          <w:color w:val="1F1F1F"/>
        </w:rPr>
        <w:t>складнощі переходу від пострадянських практик до сучасних моделей управління.ВодночасновітнєдослідженняФ.Краватцеката В. Пфайльшифтера (2025), присвячене молоді Південного Кавказу, фіксує важливий ціннісний розлам – молоде покоління все менше орієнтуєтьсяна радянське минуле та російський вектор, що у довгостроковій перспективі неминуче призведе, а в певних аспектах вже призвело, до переформатування зовнішньополітичних орієнтацій держав регіону та зміни безпекових альянсів.</w:t>
      </w:r>
    </w:p>
    <w:p w:rsidR="002C65FF" w:rsidRDefault="002C65FF">
      <w:pPr>
        <w:pStyle w:val="a3"/>
        <w:spacing w:before="161"/>
        <w:ind w:left="0"/>
        <w:jc w:val="left"/>
      </w:pPr>
    </w:p>
    <w:p w:rsidR="002C65FF" w:rsidRDefault="00B2180F">
      <w:pPr>
        <w:pStyle w:val="Heading2"/>
        <w:numPr>
          <w:ilvl w:val="1"/>
          <w:numId w:val="3"/>
        </w:numPr>
        <w:tabs>
          <w:tab w:val="left" w:pos="770"/>
        </w:tabs>
        <w:ind w:left="770" w:hanging="486"/>
        <w:rPr>
          <w:color w:val="1F1F1F"/>
        </w:rPr>
      </w:pPr>
      <w:r>
        <w:rPr>
          <w:color w:val="1F1F1F"/>
          <w:spacing w:val="-2"/>
        </w:rPr>
        <w:t>Категоріальний апарат дослідження</w:t>
      </w:r>
    </w:p>
    <w:p w:rsidR="002C65FF" w:rsidRDefault="002C65FF">
      <w:pPr>
        <w:pStyle w:val="a3"/>
        <w:ind w:left="0"/>
        <w:jc w:val="left"/>
        <w:rPr>
          <w:b/>
        </w:rPr>
      </w:pPr>
    </w:p>
    <w:p w:rsidR="002C65FF" w:rsidRDefault="002C65FF">
      <w:pPr>
        <w:pStyle w:val="a3"/>
        <w:ind w:left="0"/>
        <w:jc w:val="left"/>
        <w:rPr>
          <w:b/>
        </w:rPr>
      </w:pPr>
    </w:p>
    <w:p w:rsidR="002C65FF" w:rsidRDefault="00B2180F">
      <w:pPr>
        <w:pStyle w:val="a3"/>
        <w:spacing w:line="360" w:lineRule="auto"/>
        <w:ind w:right="156" w:firstLine="720"/>
      </w:pPr>
      <w:r>
        <w:rPr>
          <w:color w:val="1F1F1F"/>
        </w:rPr>
        <w:t>Виходячи з обраної методологічної стратегії емпіризму та теоретичної рамки структурного реалізму, для забезпечення наукової точності та верифікованості результатів дослідження необхідною є чітка операціоналізація базових понять. Специфіка теми, що охоплює аналіз складних геополітичних трансформацій на Південному Кавказі та в Центральній Азії, вимагає виходу за межі загальних дефініцій теорії міжнародних відносин. Для цілей цієї магістерської роботи виокремлено чотири ключові категорії, які становлять концептуальне ядро дослідження:</w:t>
      </w:r>
    </w:p>
    <w:p w:rsidR="002C65FF" w:rsidRDefault="00B2180F">
      <w:pPr>
        <w:pStyle w:val="a3"/>
        <w:spacing w:line="360" w:lineRule="auto"/>
        <w:ind w:right="163"/>
      </w:pPr>
      <w:r>
        <w:rPr>
          <w:color w:val="1F1F1F"/>
        </w:rPr>
        <w:t>«регіональний комплекс безпеки», «геополітичний вакуум», «архітектура безпеки» та «геополітична суб’єктність». Їхнє тлумачення в межах даної роботи адаптовано до реалій досліджуваних регіонів та завдань, поставлених у дослідженні для досягнення його мети.</w:t>
      </w:r>
    </w:p>
    <w:p w:rsidR="002C65FF" w:rsidRDefault="00B2180F">
      <w:pPr>
        <w:pStyle w:val="a3"/>
        <w:ind w:left="1004"/>
      </w:pPr>
      <w:r>
        <w:rPr>
          <w:color w:val="1F1F1F"/>
        </w:rPr>
        <w:t>Першоютасистемоутворюючоюкатегорієюдослідження</w:t>
      </w:r>
      <w:r>
        <w:rPr>
          <w:color w:val="1F1F1F"/>
          <w:spacing w:val="-10"/>
        </w:rPr>
        <w:t>є</w:t>
      </w:r>
    </w:p>
    <w:p w:rsidR="002C65FF" w:rsidRDefault="00B2180F">
      <w:pPr>
        <w:pStyle w:val="a3"/>
        <w:spacing w:before="161" w:line="360" w:lineRule="auto"/>
        <w:ind w:right="157"/>
      </w:pPr>
      <w:r>
        <w:rPr>
          <w:color w:val="1F1F1F"/>
        </w:rPr>
        <w:t>«регіональний комплекс безпеки». У контексті даної роботи це поняття, запозичене з теорії Б. Бузана та О. Вейвера, трактується не просто як географічна сукупність держав, а як стійка структура взаємозалежності у сфері безпеки, де національні загрози та вразливості однієї держави не можуть бути проаналізовані або вирішені окремо від інших. Для ПівденногоКавказутаЦентральноїАзіївизначенняїхякрегіонального</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5"/>
      </w:pPr>
      <w:r>
        <w:rPr>
          <w:color w:val="1F1F1F"/>
        </w:rPr>
        <w:t>комплексу безпеки дозволяє змістити фокус з двосторонніх відносин на системний рівень. У цьому дослідженні ця категорія використовується для пояснення того, чому конфлікт в одній точці (наприклад, у Нагірному Карабасі) автоматично дестабілізує весь регіон, змінюючи безпекові розрахунки навіть тих країн, що не є безпосередніми учасниками протистояння. Важливим елементом мого трактування регіонального комплексу безпеки є врахування фактору «проникнення», коли зовнішні актори стають невід’ємною частиною внутрішньої динаміки комплексу, пов’язуючи регіональну стабільність із глобальним балансом сил – геополітичною грою більшого масштабу.</w:t>
      </w:r>
    </w:p>
    <w:p w:rsidR="002C65FF" w:rsidRDefault="00B2180F">
      <w:pPr>
        <w:pStyle w:val="a3"/>
        <w:spacing w:line="360" w:lineRule="auto"/>
        <w:ind w:right="155" w:firstLine="720"/>
      </w:pPr>
      <w:r>
        <w:rPr>
          <w:color w:val="1F1F1F"/>
        </w:rPr>
        <w:t>Другою критично важливою категорією є«геополітичнийвакуум».В академічному дискурсі це поняття часто піддається критиці як метафоричне, проте в межах даного дослідження воно набуває чіткого функціонального змісту. Під «геополітичним вакуумом» у роботі розуміється не відсутність сили як такої, а стан тимчасової втрати спроможності традиційного гегемона (у даному випадку – Російської Федерації) ефективно виконувати функції арбітра та гаранта безпеки, що призводить до порушення існуючого статусу-кво. Ця категорія є інструментальною для підтвердження гіпотези дослідження. Вона описує специфічний проміжок часу та політичний простір, що виникає внаслідок відволікання ресурсів РФ на війну проти України. У цьому контексті вакуум розглядається як активне середовище, що провокує «втягування» нових гравців (Туреччини, Китаю, ЄС) та, відповідно, загострення конкуренції. Це стан дисбалансу, якийзмушуєрегіональнідержавишукати нові точки опори, трансформуючи систему альянсів і шукаючи більш надійних партнерів.</w:t>
      </w:r>
    </w:p>
    <w:p w:rsidR="002C65FF" w:rsidRDefault="00B2180F">
      <w:pPr>
        <w:pStyle w:val="a3"/>
        <w:spacing w:line="360" w:lineRule="auto"/>
        <w:ind w:right="157" w:firstLine="720"/>
      </w:pPr>
      <w:r>
        <w:rPr>
          <w:color w:val="1F1F1F"/>
        </w:rPr>
        <w:t>Третьою категорією, що визначає об’єкт роботи, є «архітектура безпеки». Навідмінувідстатичногоібільштрадиційноусталеногопоняття</w:t>
      </w:r>
    </w:p>
    <w:p w:rsidR="002C65FF" w:rsidRDefault="00B2180F">
      <w:pPr>
        <w:pStyle w:val="a3"/>
        <w:spacing w:line="360" w:lineRule="auto"/>
        <w:ind w:right="161"/>
      </w:pPr>
      <w:r>
        <w:rPr>
          <w:color w:val="1F1F1F"/>
        </w:rPr>
        <w:t>«система безпеки», категорія архітектури у цьому дослідженні акцентує увагунаконструюванні,динаміцітаієрархіївідносин.Підархітектурою</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6"/>
      </w:pPr>
      <w:r>
        <w:rPr>
          <w:color w:val="1F1F1F"/>
        </w:rPr>
        <w:t>безпеки Південного Кавказу та Центральної Азії розуміється сукупність інституційних механізмів (наприклад, ОДКБ, ОТД), двосторонніх військово-політичних угод, неформальних домовленостей та фактичного розподілу військових потенціалів, що регулюють взаємодію акторів. У роботі ця категорія використовується для відстеження еволюції регіонального порядку: від моноцентричної моделі, що базувалася на домінуванні Москви, до поліцентричної мережевої структури. Саме використання категорії архітектури безпеки дозволяє розглядати досліджувані регіони більш гнучко – виявляти причинно-наслідкові зв'язки, які при класичному підході, наприклад, з точки зору «системи безпеки» виявити не вдалося б.</w:t>
      </w:r>
    </w:p>
    <w:p w:rsidR="002C65FF" w:rsidRDefault="00B2180F">
      <w:pPr>
        <w:pStyle w:val="a3"/>
        <w:spacing w:line="360" w:lineRule="auto"/>
        <w:ind w:right="157" w:firstLine="720"/>
      </w:pPr>
      <w:r>
        <w:rPr>
          <w:color w:val="1F1F1F"/>
        </w:rPr>
        <w:t>Четвертою категорією, необхідною для розкриття наукової новизни роботи, є «геополітична суб’єктність». Традиційно, неореалізм схильний розглядати малі та середні держави як об’єкти впливу великих держав. Однак, емпіричний аналіз подій у досліджуваних регіонах вимагає перегляду цього підходу. У даному дослідженні під «геополітичною суб’єктністю» розуміється здатність держав регіону (насамперед, йдеться про Азербайджан і Казахстан) формувати власний порядок денний, використовуючи протиріччя між глобальними гравцями для реалізації національних інтересів. Ця категорія дозволяє описати перехід держав Південного Кавказу та Центральної Азії від ролі пасивних споживачів безпеки до ролі активних контрибуторів або навіть архітекторів регіональної стабільності. Суб’єктність тут вимірюється не лише військовою силою, а й здатністю ініціювати інтеграційні проєкти (як-от Транскаспійський маршрут) без санкції традиційного гегемона, а також проводити багатовекторну політику в умовах жорсткої поляризації міжнародної системи.</w:t>
      </w:r>
    </w:p>
    <w:p w:rsidR="002C65FF" w:rsidRDefault="00B2180F">
      <w:pPr>
        <w:pStyle w:val="a3"/>
        <w:spacing w:line="360" w:lineRule="auto"/>
        <w:ind w:right="159" w:firstLine="720"/>
      </w:pPr>
      <w:r>
        <w:rPr>
          <w:color w:val="1F1F1F"/>
        </w:rPr>
        <w:t>Такий виокремлений категоріальний апарат створює необхідну аналітичну матрицюдляподальшогодослідження.Взаємодіяцихкатегорій формуєлогікуроботи:послабленнягегемонастворює«геополітичний</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9"/>
      </w:pPr>
      <w:r>
        <w:rPr>
          <w:color w:val="1F1F1F"/>
        </w:rPr>
        <w:t>вакуум», який активізує «геополітичну суб’єктність» регіональних держав, що, в свою чергу, призводить до трансформації «регіонального комплексу безпеки» та формування нової «архітектури безпеки». Такий підхід дозволяє уникнути описовості та зосередитися на виявленні каузальних зв’язків, що є ключовою метою дослідження.</w:t>
      </w:r>
    </w:p>
    <w:p w:rsidR="002C65FF" w:rsidRDefault="002C65FF">
      <w:pPr>
        <w:pStyle w:val="a3"/>
        <w:spacing w:before="161"/>
        <w:ind w:left="0"/>
        <w:jc w:val="left"/>
      </w:pPr>
    </w:p>
    <w:p w:rsidR="002C65FF" w:rsidRDefault="00B2180F">
      <w:pPr>
        <w:pStyle w:val="Heading2"/>
        <w:numPr>
          <w:ilvl w:val="1"/>
          <w:numId w:val="3"/>
        </w:numPr>
        <w:tabs>
          <w:tab w:val="left" w:pos="770"/>
        </w:tabs>
        <w:ind w:left="770" w:hanging="486"/>
        <w:rPr>
          <w:color w:val="1F1F1F"/>
        </w:rPr>
      </w:pPr>
      <w:r>
        <w:rPr>
          <w:color w:val="1F1F1F"/>
        </w:rPr>
        <w:t>Характеристикаджерельноїбази</w:t>
      </w:r>
      <w:r>
        <w:rPr>
          <w:color w:val="1F1F1F"/>
          <w:spacing w:val="-2"/>
        </w:rPr>
        <w:t>дослідження</w:t>
      </w:r>
    </w:p>
    <w:p w:rsidR="002C65FF" w:rsidRDefault="002C65FF">
      <w:pPr>
        <w:pStyle w:val="a3"/>
        <w:ind w:left="0"/>
        <w:jc w:val="left"/>
        <w:rPr>
          <w:b/>
        </w:rPr>
      </w:pPr>
    </w:p>
    <w:p w:rsidR="002C65FF" w:rsidRDefault="002C65FF">
      <w:pPr>
        <w:pStyle w:val="a3"/>
        <w:ind w:left="0"/>
        <w:jc w:val="left"/>
        <w:rPr>
          <w:b/>
        </w:rPr>
      </w:pPr>
    </w:p>
    <w:p w:rsidR="002C65FF" w:rsidRDefault="00B2180F">
      <w:pPr>
        <w:pStyle w:val="a3"/>
        <w:spacing w:line="360" w:lineRule="auto"/>
        <w:ind w:right="157" w:firstLine="720"/>
      </w:pPr>
      <w:r>
        <w:rPr>
          <w:color w:val="1F1F1F"/>
        </w:rPr>
        <w:t>Джерельна база магістерської роботи є репрезентативною, комплексною та різноплановою, що дозволяє всебічно розкрити тему дослідження, верифікувати гіпотезу та виконати поставлені завдання. Загальний масив використаних джерел налічує 80 найменувань, які за видовою класифікацією та функціональним призначенням можна розподілити на кілька основних груп.</w:t>
      </w:r>
    </w:p>
    <w:p w:rsidR="002C65FF" w:rsidRDefault="00B2180F">
      <w:pPr>
        <w:pStyle w:val="a3"/>
        <w:spacing w:line="360" w:lineRule="auto"/>
        <w:ind w:right="155" w:firstLine="720"/>
      </w:pPr>
      <w:r>
        <w:rPr>
          <w:color w:val="1F1F1F"/>
        </w:rPr>
        <w:t>Першу групу складають офіційні нормативно-правові документи та актиміжнародногоправа.Цягрупаджерелєосновоюдляформально-юридичного аналізу офіційних позицій держав та правового статусу регіональних конфліктів. Ключове значення длядослідженнянової архітектури безпеки на Південному Кавказі має «Шушинська декларація про союзницькі відносини між Турецькою Республікою та Азербайджанською Республікою» (2021), яка юридично закріпила військово-політичний альянс двох держав і змінила баланс сил у регіоні. Для аналізу національних інтересів та сприйняття загроз використано доктринальні документи, зокрема «Концепцію національної безпеки Грузії». Важливим для розуміння міжнародно-правового контексту конфліктів є Резолюції Генеральної Асамблеї ООН, зокрема щодо ситуації на окупованих територіях Азербайджану (2008), що дозволяє співставити міжнародне право з реальною політикою.</w:t>
      </w:r>
    </w:p>
    <w:p w:rsidR="002C65FF" w:rsidRDefault="00B2180F">
      <w:pPr>
        <w:pStyle w:val="a3"/>
        <w:spacing w:line="360" w:lineRule="auto"/>
        <w:ind w:right="155" w:firstLine="720"/>
      </w:pPr>
      <w:r>
        <w:rPr>
          <w:color w:val="1F1F1F"/>
        </w:rPr>
        <w:t>Другу групу формують теоретичні монографії та фундаментальні працікласиківміжнароднихвідносин.ЦероботиК.Уолца(1979),</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4"/>
      </w:pPr>
      <w:r>
        <w:rPr>
          <w:color w:val="1F1F1F"/>
        </w:rPr>
        <w:t xml:space="preserve">Дж. Міршаймера (2001), Б. Бузана та О. Вейвера (2003). Вони не лише слугують методологічним підґрунтям для застосування теорії неореалізму та регіональних комплексів безпеки, але й містять концептуальні моделі, необхідні для аналізу поведінки великих держав в умовах анархії. Їхня цінність полягає у забезпеченні наукового інструментарію для інтерпретації даних отриманих в ході вивчення інших джерельних </w:t>
      </w:r>
      <w:r>
        <w:rPr>
          <w:color w:val="1F1F1F"/>
          <w:spacing w:val="-2"/>
        </w:rPr>
        <w:t>матеріалів.</w:t>
      </w:r>
    </w:p>
    <w:p w:rsidR="002C65FF" w:rsidRDefault="00B2180F">
      <w:pPr>
        <w:pStyle w:val="a3"/>
        <w:spacing w:line="360" w:lineRule="auto"/>
        <w:ind w:right="156" w:firstLine="720"/>
      </w:pPr>
      <w:r>
        <w:rPr>
          <w:color w:val="1F1F1F"/>
        </w:rPr>
        <w:t>Третю, найчисельнішу групу, складають аналітичні звіти провідних аналітичних центрів, університетів, «мозкових центрів» та наукові статті. Ця група джерел є критично важливою для роботи, оскільки містить актуальні дані та оцінки подій останніх 5 років.</w:t>
      </w:r>
    </w:p>
    <w:p w:rsidR="002C65FF" w:rsidRDefault="00B2180F">
      <w:pPr>
        <w:pStyle w:val="a3"/>
        <w:spacing w:line="360" w:lineRule="auto"/>
        <w:ind w:right="155" w:firstLine="720"/>
      </w:pPr>
      <w:r>
        <w:rPr>
          <w:color w:val="1F1F1F"/>
        </w:rPr>
        <w:t>Західна аналітика: роботи експертів Німецької ради з міжнародних відносин (DGAP), зокрема С. Майстера (2021, 2023, 2024), звіти Інституту Крістіана Мікельсена (М. Айдін та ін., 2023) та Фонду Конрада Аденауера (Ф. Біндер, С. Малеріус, 2025). Ці матеріали дозволяють проаналізувати погляд ЄС та США на регіональні процеси, зокрема еволюцію сприйняття Росії як загрози та переоцінку ефективності «м’якої сили».</w:t>
      </w:r>
    </w:p>
    <w:p w:rsidR="002C65FF" w:rsidRDefault="00B2180F">
      <w:pPr>
        <w:pStyle w:val="a3"/>
        <w:spacing w:line="360" w:lineRule="auto"/>
        <w:ind w:right="154" w:firstLine="720"/>
      </w:pPr>
      <w:r>
        <w:rPr>
          <w:color w:val="1F1F1F"/>
        </w:rPr>
        <w:t>Українська аналітика: праці дослідників Національного інституту стратегічних досліджень (В. Ярмоленко, М. Замікула, 2022; А. Гончарук, 2017)тааналітичногоцентру«БорисфенІнтел»(О.Волович,2020; О. Махно,2023).Цінністьцихджерелполягаєуфокусуваннінабезпекових викликах,щоєспільнимидляУкраїнитадосліджуванихрегіонів,атакожу глибокому аналізі російської гібридної агресії.</w:t>
      </w:r>
    </w:p>
    <w:p w:rsidR="002C65FF" w:rsidRDefault="00B2180F">
      <w:pPr>
        <w:pStyle w:val="a3"/>
        <w:spacing w:line="360" w:lineRule="auto"/>
        <w:ind w:right="155" w:firstLine="720"/>
      </w:pPr>
      <w:r>
        <w:rPr>
          <w:color w:val="1F1F1F"/>
        </w:rPr>
        <w:t>Регіональні дослідження: роботи авторів з Південного Кавказу та Центральної Азії (В. Гусейнов, 2023; Г. Нікогосян, 2022; Т. Гіуашвілі, 2025). Вони надають погляд «зсередини», розкриваючи локальну специфіку мотивації політичних еліт, яка часто залишається поза увагою західних оглядачів.</w:t>
      </w:r>
    </w:p>
    <w:p w:rsidR="002C65FF" w:rsidRDefault="00B2180F">
      <w:pPr>
        <w:pStyle w:val="a3"/>
        <w:spacing w:line="360" w:lineRule="auto"/>
        <w:ind w:right="156" w:firstLine="720"/>
      </w:pPr>
      <w:r>
        <w:rPr>
          <w:color w:val="1F1F1F"/>
        </w:rPr>
        <w:t>Четверта група включає матеріали періодичних видань та медіа, такихякFinancialTimes(C.Cook,M.Seddon, 2025), а також публікації на</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6"/>
      </w:pPr>
      <w:r>
        <w:rPr>
          <w:color w:val="1F1F1F"/>
        </w:rPr>
        <w:t xml:space="preserve">спеціалізованих порталах (Eurasianet, Adastra). Ці джерела забезпечують фактологічну базу для опису динамічних поточних подій (оперативна інформація про військові навчання, дипломатичні візити, інфраструктурні проєкти), які ще не знайшли відображення у фундаментальних наукових </w:t>
      </w:r>
      <w:r>
        <w:rPr>
          <w:color w:val="1F1F1F"/>
          <w:spacing w:val="-2"/>
        </w:rPr>
        <w:t>працях.</w:t>
      </w:r>
    </w:p>
    <w:p w:rsidR="002C65FF" w:rsidRDefault="00B2180F">
      <w:pPr>
        <w:pStyle w:val="a3"/>
        <w:spacing w:line="360" w:lineRule="auto"/>
        <w:ind w:right="155" w:firstLine="720"/>
      </w:pPr>
      <w:r>
        <w:rPr>
          <w:color w:val="1F1F1F"/>
        </w:rPr>
        <w:t>Окремо варто виділити спеціалізовані звіти міжнародних правозахисних організацій (Human Rights Watch, 2023) та соціологічні дослідження (Ф. Краватцек, В. Пфайльшифтер, 2025), які дозволяють інтегрувати у дослідження суспільний вимір безпеки, зокрема питання релігійних свобод та настроїв молоді.</w:t>
      </w:r>
    </w:p>
    <w:p w:rsidR="002C65FF" w:rsidRDefault="00B2180F">
      <w:pPr>
        <w:pStyle w:val="a3"/>
        <w:spacing w:line="360" w:lineRule="auto"/>
        <w:ind w:right="158" w:firstLine="720"/>
      </w:pPr>
      <w:r>
        <w:rPr>
          <w:color w:val="1F1F1F"/>
        </w:rPr>
        <w:t>Зазначена джерельна база характеризується високим рівнем актуальності (значна частина джерел опублікована у 2023-2025 роках) та репрезентативністю (опрацьованітапроаналізованіджереларізнихсторін), що дозволяє уникнути однобічності та забезпечити об’єктивний аналіз регіональних вимірів безпеки Південного Кавказу та Центральної Азії. Суттєву увагу приділено і більш старшим публікаціям, з метою простеження динаміки та еволюції наукової розробки досліджуваної теми та змін поглядів і підходів в контексті роботи з Південним Кавказом та Центральною Азією.</w:t>
      </w:r>
    </w:p>
    <w:p w:rsidR="002C65FF" w:rsidRDefault="002C65FF">
      <w:pPr>
        <w:pStyle w:val="a3"/>
        <w:spacing w:before="161"/>
        <w:ind w:left="0"/>
        <w:jc w:val="left"/>
      </w:pPr>
    </w:p>
    <w:p w:rsidR="002C65FF" w:rsidRDefault="00B2180F">
      <w:pPr>
        <w:pStyle w:val="a3"/>
        <w:spacing w:line="360" w:lineRule="auto"/>
        <w:ind w:right="155" w:firstLine="720"/>
      </w:pPr>
      <w:r>
        <w:rPr>
          <w:color w:val="1F1F1F"/>
        </w:rPr>
        <w:t>Отже, найбільш релевантною теоретичною рамкою для вивчення безпекових процесів у зазначених регіонах є синтез структурного реалізму (неореалізму) та теорії регіональних комплексів безпеки. Такий підхід дозволяє довести, що Південний Кавказ та Центральна Азія функціонують як взаємозалежні безпекові простори, динаміка яких визначається не ідеологічними конструктами, а жорстким розподілом матеріальної сили, географічним детермінізмом та анархічною природою міжнародних відносин. Використання цього методологічного інструментарію уможливлюєрозглядрегіональноїархітектурибезпекиякпохідноївід</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61"/>
      </w:pPr>
      <w:r>
        <w:rPr>
          <w:color w:val="1F1F1F"/>
        </w:rPr>
        <w:t>глобальної конкуренції великих держав, де внутрішні конфлікти стають точками входу для зовнішнього втручання.</w:t>
      </w:r>
    </w:p>
    <w:p w:rsidR="002C65FF" w:rsidRDefault="00B2180F">
      <w:pPr>
        <w:pStyle w:val="a3"/>
        <w:spacing w:line="360" w:lineRule="auto"/>
        <w:ind w:right="158" w:firstLine="720"/>
      </w:pPr>
      <w:r>
        <w:rPr>
          <w:color w:val="1F1F1F"/>
        </w:rPr>
        <w:t>По-друге, аналіз стану наукової розробки проблеми засвідчив кардинальну зміну академічного дискурсу протягом останніх років. Виявлено тенденцію до переосмислення ролі Російської Федерації: від сприйняття її як безальтернативного гаранта стабільності до визнання джерелом загроз та дестабілізації. Водночас наукова література фіксує зростання суб’єктності регіональних держав (зокрема Азербайджану та Казахстану) та появу нових центрів сили (Туреччини, Китаю), що підтверджує актуальність теми дослідження. Встановлено, що внауковому обігу недостатньо робіт, які б комплексно, через призму емпіризму, порівнювали безпекову динаміку обох регіонів в умовах після 2022 року, що обумовлює наукову новизну даної роботи.</w:t>
      </w:r>
    </w:p>
    <w:p w:rsidR="002C65FF" w:rsidRDefault="00B2180F">
      <w:pPr>
        <w:pStyle w:val="a3"/>
        <w:spacing w:line="360" w:lineRule="auto"/>
        <w:ind w:right="155" w:firstLine="720"/>
      </w:pPr>
      <w:r>
        <w:rPr>
          <w:color w:val="1F1F1F"/>
        </w:rPr>
        <w:t>По-третє, розробленийтаопераціоналізованийкатегоріальнийапарат дослідження, що включає поняття «геополітичний вакуум», «регіональний комплекс безпеки», «архітектура безпеки» та «геополітична суб’єктність», створює надійну аналітичну матрицю для подальшого аналізу. Визначення цих категорій дозволяє чітко ідентифікувати причинно-наслідкові зв’язки між послабленням впливу традиційного гегемона та трансформацією системи альянсів у регіонах.</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Heading1"/>
        <w:ind w:left="4162" w:right="0"/>
        <w:jc w:val="left"/>
      </w:pPr>
      <w:r>
        <w:rPr>
          <w:color w:val="1F1F1F"/>
          <w:spacing w:val="-2"/>
        </w:rPr>
        <w:t>РОЗДІЛ</w:t>
      </w:r>
      <w:r>
        <w:rPr>
          <w:color w:val="1F1F1F"/>
          <w:spacing w:val="-5"/>
        </w:rPr>
        <w:t>ІІ</w:t>
      </w:r>
    </w:p>
    <w:p w:rsidR="002C65FF" w:rsidRDefault="00B2180F">
      <w:pPr>
        <w:spacing w:before="161" w:line="360" w:lineRule="auto"/>
        <w:ind w:left="1837" w:right="1708" w:firstLine="256"/>
        <w:rPr>
          <w:b/>
          <w:sz w:val="28"/>
        </w:rPr>
      </w:pPr>
      <w:r>
        <w:rPr>
          <w:b/>
          <w:color w:val="1F1F1F"/>
          <w:sz w:val="28"/>
        </w:rPr>
        <w:t>СТРАТЕГІЇ ГЕОПОЛІТИЧНИХ АКТОРІВ ВБЕЗПЕКОВОМУСЕРЕДОВИЩІРЕГІОНІВ</w:t>
      </w:r>
    </w:p>
    <w:p w:rsidR="002C65FF" w:rsidRDefault="002C65FF">
      <w:pPr>
        <w:pStyle w:val="a3"/>
        <w:spacing w:before="161"/>
        <w:ind w:left="0"/>
        <w:jc w:val="left"/>
        <w:rPr>
          <w:b/>
        </w:rPr>
      </w:pPr>
    </w:p>
    <w:p w:rsidR="002C65FF" w:rsidRDefault="00B2180F">
      <w:pPr>
        <w:pStyle w:val="Heading2"/>
        <w:numPr>
          <w:ilvl w:val="1"/>
          <w:numId w:val="2"/>
        </w:numPr>
        <w:tabs>
          <w:tab w:val="left" w:pos="890"/>
        </w:tabs>
        <w:ind w:left="890" w:hanging="606"/>
      </w:pPr>
      <w:r>
        <w:t>ТрансформаціявпливуРосійськоїФедерації:відгегемонії</w:t>
      </w:r>
      <w:r>
        <w:rPr>
          <w:spacing w:val="-5"/>
        </w:rPr>
        <w:t>до</w:t>
      </w:r>
    </w:p>
    <w:p w:rsidR="002C65FF" w:rsidRDefault="00B2180F">
      <w:pPr>
        <w:spacing w:before="161"/>
        <w:ind w:left="284"/>
        <w:jc w:val="both"/>
        <w:rPr>
          <w:b/>
          <w:sz w:val="28"/>
        </w:rPr>
      </w:pPr>
      <w:r>
        <w:rPr>
          <w:b/>
          <w:spacing w:val="-2"/>
          <w:sz w:val="28"/>
        </w:rPr>
        <w:t>«геополітичноговакууму»</w:t>
      </w:r>
    </w:p>
    <w:p w:rsidR="002C65FF" w:rsidRDefault="002C65FF">
      <w:pPr>
        <w:pStyle w:val="a3"/>
        <w:ind w:left="0"/>
        <w:jc w:val="left"/>
        <w:rPr>
          <w:b/>
        </w:rPr>
      </w:pPr>
    </w:p>
    <w:p w:rsidR="002C65FF" w:rsidRDefault="002C65FF">
      <w:pPr>
        <w:pStyle w:val="a3"/>
        <w:ind w:left="0"/>
        <w:jc w:val="left"/>
        <w:rPr>
          <w:b/>
        </w:rPr>
      </w:pPr>
    </w:p>
    <w:p w:rsidR="002C65FF" w:rsidRDefault="00B2180F">
      <w:pPr>
        <w:pStyle w:val="a3"/>
        <w:spacing w:line="360" w:lineRule="auto"/>
        <w:ind w:right="156" w:firstLine="720"/>
      </w:pPr>
      <w:r>
        <w:rPr>
          <w:color w:val="1F1F1F"/>
        </w:rPr>
        <w:t>Протягом десятиліть після розпаду Радянського Союзу Російська Федерація утримувала статус безальтернативного архітектора безпеки на просторі Південного Кавказу та Центральної Азії. Цей статус базувався на концепції «сфери привілейованих інтересів», де безпека сусідніх держав розглядалася Москвою виключно як похідна від власної національної безпеки. Інструментарій цього впливу був комплексним і включав розгалужену систему військових баз, домінування в енергетичній інфраструктурі та інституційний контроль через такі структури, як Організація Договору про колективну безпеку та Євразійський економічний союз. Проте, сучасні геополітичні реалії, каталізатором яких стало повномасштабне вторгнення Росії в Україну, призвели до фундаментальної ерозії російського впливу, формуючи феномен, який у цьому дослідженні визначено як «геополітичний вакуум».</w:t>
      </w:r>
    </w:p>
    <w:p w:rsidR="002C65FF" w:rsidRDefault="00B2180F">
      <w:pPr>
        <w:pStyle w:val="a3"/>
        <w:spacing w:line="360" w:lineRule="auto"/>
        <w:ind w:right="155" w:firstLine="720"/>
      </w:pPr>
      <w:r>
        <w:rPr>
          <w:color w:val="1F1F1F"/>
        </w:rPr>
        <w:t>Традиційно стратегія РФ полягала у використанні «заморожених конфліктів» як важеля політичного тиску для збереження лояльності регіональних еліт (Wrobel, 2023). Однак події 2020-2025 років продемонстрували вичерпаність цієї моделі. На Південному Кавказі криза легітимностіРосіїсягнулаапогеючерезнездатністьвиконати</w:t>
      </w:r>
      <w:r>
        <w:rPr>
          <w:color w:val="1F1F1F"/>
          <w:spacing w:val="-2"/>
        </w:rPr>
        <w:t>зобов’язання</w:t>
      </w:r>
    </w:p>
    <w:p w:rsidR="002C65FF" w:rsidRDefault="00B2180F">
      <w:pPr>
        <w:pStyle w:val="a3"/>
      </w:pPr>
      <w:r>
        <w:rPr>
          <w:color w:val="1F1F1F"/>
        </w:rPr>
        <w:t>«гарантабезпеки»,щонайяскравішепроявилосяпідчас</w:t>
      </w:r>
      <w:r>
        <w:rPr>
          <w:color w:val="1F1F1F"/>
          <w:spacing w:val="-2"/>
        </w:rPr>
        <w:t>згортання</w:t>
      </w:r>
    </w:p>
    <w:p w:rsidR="002C65FF" w:rsidRDefault="00B2180F">
      <w:pPr>
        <w:pStyle w:val="a3"/>
        <w:spacing w:before="161" w:line="360" w:lineRule="auto"/>
        <w:ind w:right="156"/>
      </w:pPr>
      <w:r>
        <w:rPr>
          <w:color w:val="1F1F1F"/>
        </w:rPr>
        <w:t>«миротворчої місії» в Нагірному Карабасі та пасивної реакції ОДКБ на звернення Вірменії. Як зазначають Ф. Біндер та С. Малеріус (2025),сучаснаполітикаРФсприймаєтьсяврегіонівженечерезпризму</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8"/>
      </w:pPr>
      <w:r>
        <w:rPr>
          <w:color w:val="1F1F1F"/>
        </w:rPr>
        <w:t>партнерства, а як прояв неоколоніалізму та імперського ресентименту, що змушує держави шукати альтернативні безпекові парасольки.</w:t>
      </w:r>
    </w:p>
    <w:p w:rsidR="002C65FF" w:rsidRDefault="00B2180F">
      <w:pPr>
        <w:pStyle w:val="a3"/>
        <w:spacing w:line="360" w:lineRule="auto"/>
        <w:ind w:right="157" w:firstLine="720"/>
      </w:pPr>
      <w:r>
        <w:rPr>
          <w:color w:val="1F1F1F"/>
        </w:rPr>
        <w:t>Особливої гостроти питання трансформації російського впливу набуває в Центральній Азії, яка розглядається Кремлем як стратегічний тил. Росія зберігає тут потужну військову інфраструктуру, закріплену двосторонніми угодами: 201-ша військова база в Таджикистані з контингентом до 7000 осіб та авіабаза «Кант» у Киргизстані (Omelicheva, 2018). Ці об’єкти, разом із механізмами ОДКБ, слугують не лише для формального захисту від зовнішніх загроз (зокрема з боку Афганістану), а й як інструмент легітимації російськоїполітичноїприсутностітаконтролю над місцевими режимами (Hoagland, Repass &amp; Wolkov, 2021).</w:t>
      </w:r>
    </w:p>
    <w:p w:rsidR="002C65FF" w:rsidRDefault="00B2180F">
      <w:pPr>
        <w:pStyle w:val="a3"/>
        <w:spacing w:line="360" w:lineRule="auto"/>
        <w:ind w:right="165" w:firstLine="720"/>
      </w:pPr>
      <w:r>
        <w:rPr>
          <w:color w:val="1F1F1F"/>
        </w:rPr>
        <w:t>Втім, концентрація військових ресурсів РФ на українському фронті створило ризик оголення південних флангів, що змушує Москву покладатися на агресивну риторику та демонстрацію сили, аби приховати реальне послаблення своїх конвенційних можливостей.</w:t>
      </w:r>
    </w:p>
    <w:p w:rsidR="002C65FF" w:rsidRDefault="00B2180F">
      <w:pPr>
        <w:pStyle w:val="a3"/>
        <w:spacing w:line="360" w:lineRule="auto"/>
        <w:ind w:left="989" w:right="156"/>
      </w:pPr>
      <w:r>
        <w:t>Традиційно основним «експортом» Росії в країни Центральної Азії з моментунезалежностідержаврегіонубуладопомогаусферібезпеки, а також військова присутність у стратегічних точках регіону. У разі заморожування війни в Україні стратегічна увага Москви дедалі більше зміщуватиметься в бік Центральної Азії, і зростаюча присутність Китаю може викликати роздратування у російських еліт, які побоюються втрати своєї значущості для регіону. Особливо це стосується контролю над сферою військового співробітництва та впливу в питаннях безпеки. (Гусейнов, 2025)</w:t>
      </w:r>
    </w:p>
    <w:p w:rsidR="002C65FF" w:rsidRDefault="00B2180F">
      <w:pPr>
        <w:pStyle w:val="a3"/>
        <w:spacing w:line="360" w:lineRule="auto"/>
        <w:ind w:right="155" w:firstLine="720"/>
      </w:pPr>
      <w:r>
        <w:rPr>
          <w:color w:val="1F1F1F"/>
        </w:rPr>
        <w:t>Ситуація ускладнюється динамічною конкуренцією з Китаєм. Через ініціативу «Один пояс, один шлях» Пекін фактично перебрав на себе роль економічного лідера регіону, інвестувавши колосальні кошти в модернізаціютранспортноїінфраструктури(залізниці,автомагістралі,порт Актау), що суттєво змінило логістичну карту Євразії (Нестеренко, 2022). Цестворюєхиткийбаланс,деКитайдомінуєекономічно,аРосія</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68"/>
      </w:pPr>
      <w:r>
        <w:rPr>
          <w:color w:val="1F1F1F"/>
        </w:rPr>
        <w:t>намагається утримати першість у сфері безпеки, хоча ця монополія поступово розмивається (Stronski &amp; Ng, 2018).</w:t>
      </w:r>
    </w:p>
    <w:p w:rsidR="002C65FF" w:rsidRDefault="00B2180F">
      <w:pPr>
        <w:pStyle w:val="a3"/>
        <w:spacing w:line="360" w:lineRule="auto"/>
        <w:ind w:right="155" w:firstLine="720"/>
      </w:pPr>
      <w:r>
        <w:rPr>
          <w:color w:val="1F1F1F"/>
        </w:rPr>
        <w:t>Намагаючись компенсувати втрату економічних позицій, Росія використовує енергетичний шантаж та контроль над транзитом. Через механізми ЄАЕС та контроль над трубопровідною системою «Центральна Азія – Центр», Кремль обмежує можливості експорту енергоносіїв з регіону в обхід РФ. Водночас Москва активно просуває проєкти будівництва атомних електростанцій в Узбекистані та Казахстані, що експерти (Hess, 2024) розцінюють як спробу довгострокової технологічної та політичної прив’язки регіону до Росії.</w:t>
      </w:r>
    </w:p>
    <w:p w:rsidR="002C65FF" w:rsidRDefault="00B2180F">
      <w:pPr>
        <w:pStyle w:val="a3"/>
        <w:spacing w:line="355" w:lineRule="auto"/>
        <w:ind w:right="155" w:firstLine="720"/>
      </w:pPr>
      <w:r>
        <w:rPr>
          <w:color w:val="1F1F1F"/>
        </w:rPr>
        <w:t xml:space="preserve">В умовах дефіциту «м’якої сили», Росія дедалі активніше використовує гібридні інструменти, спираючись на потужний інформаційний апарат. </w:t>
      </w:r>
      <w:r>
        <w:t>Спільна історична спадщина (переважно нав’язана) з Російською імперією й Радянським Союзом надала регіонам міцний проросійський культурно</w:t>
      </w:r>
      <w:r>
        <w:rPr>
          <w:rFonts w:ascii="SimSun-ExtB" w:hAnsi="SimSun-ExtB"/>
        </w:rPr>
        <w:t>‐</w:t>
      </w:r>
      <w:r>
        <w:t xml:space="preserve">мовний фундамент: російська мова у деяких державах (особливо, в Казахстані, КиргизстанітаВірменії)сталафактично лінгва франка, а спільні цінності й традиції – «чинником єдності». Вже в перші роки після здобуття незалежності центральноазійські країни проявили високу медійну залежність від Москви. </w:t>
      </w:r>
      <w:r>
        <w:rPr>
          <w:color w:val="1F1F1F"/>
        </w:rPr>
        <w:t>У регіоні продовжують домінуватиросійськімедіа(телеканали«Первыйканал», «РТР», видання</w:t>
      </w:r>
    </w:p>
    <w:p w:rsidR="002C65FF" w:rsidRDefault="00B2180F">
      <w:pPr>
        <w:pStyle w:val="a3"/>
        <w:spacing w:before="10" w:line="360" w:lineRule="auto"/>
        <w:ind w:right="158"/>
      </w:pPr>
      <w:r>
        <w:rPr>
          <w:color w:val="1F1F1F"/>
        </w:rPr>
        <w:t>«Комсомольская правда», «Sputnik»), які формують вигідні Кремлю наративи та підтримують високий рівень проросійських настроїв серед населення(Supyaldiyarov,2024).Мережапредставництв</w:t>
      </w:r>
    </w:p>
    <w:p w:rsidR="002C65FF" w:rsidRDefault="00B2180F">
      <w:pPr>
        <w:pStyle w:val="a3"/>
        <w:spacing w:line="360" w:lineRule="auto"/>
        <w:ind w:right="162"/>
      </w:pPr>
      <w:r>
        <w:rPr>
          <w:color w:val="1F1F1F"/>
        </w:rPr>
        <w:t xml:space="preserve">«Россотрудничества» та філії російських ВНЗ працюють на закріплення культурної домінанти. </w:t>
      </w:r>
      <w:r>
        <w:t>Москва посилює присутність в регіонах серйозного лобі, задачею якого є, в тому числі, переконування у «корисній безальтернативності» шляху інтеграції з РФ.</w:t>
      </w:r>
    </w:p>
    <w:p w:rsidR="002C65FF" w:rsidRDefault="00B2180F">
      <w:pPr>
        <w:pStyle w:val="a3"/>
        <w:spacing w:line="360" w:lineRule="auto"/>
        <w:ind w:right="159" w:firstLine="720"/>
      </w:pPr>
      <w:r>
        <w:rPr>
          <w:color w:val="1F1F1F"/>
        </w:rPr>
        <w:t xml:space="preserve">Однак, цей вплив зустрічає зростаючий опір. </w:t>
      </w:r>
      <w:r>
        <w:t>Але варто наголосити, що зменшення російського впливу в регіонах може відбутися лише у разі переконливої військової поразки Росії в Україні, або у випадку приходу до</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4"/>
      </w:pPr>
      <w:r>
        <w:t>влади в країнах регіону політичних сил, які розглядатимуть Росію виключно як загрозу національній безпеці своїх країн. Натомість, як зазначає Пойта (2023), зростання ролі Китаю в регіоні та витіснення Росії значно перебільшені.</w:t>
      </w:r>
    </w:p>
    <w:p w:rsidR="002C65FF" w:rsidRDefault="00B2180F">
      <w:pPr>
        <w:pStyle w:val="a3"/>
        <w:spacing w:line="360" w:lineRule="auto"/>
        <w:ind w:right="158" w:firstLine="720"/>
      </w:pPr>
      <w:r>
        <w:t>Очевидно, що Китай робить і робитиме надалі значний акцент на нормальних відносинах з Москвою. Тому, навіть з огляду на певну конкуренцію в Центральній Азії, Пекін не робитиме кроків, які бпоставили під загрозу російськіінтересиврегіонітазіпсувалибвідносини з Москвою.</w:t>
      </w:r>
    </w:p>
    <w:p w:rsidR="002C65FF" w:rsidRDefault="00B2180F">
      <w:pPr>
        <w:pStyle w:val="a3"/>
        <w:spacing w:line="360" w:lineRule="auto"/>
        <w:ind w:right="156" w:firstLine="720"/>
      </w:pPr>
      <w:r>
        <w:t>Самі ж центральноазійські актори не здійснюють рішучих спроб до того, щоб позбутись російського неоколоніального впливу. Звісно, намагання здійснювати політику дистанціювання мають місце. Але вони носять несистемний тактичний характер і чуттєві до окремих ситуативних складових. Наприклад, після збиття Росією літака Азербайджанських авіаліній наприкінці грудня 2024 року, який впав поблизу міста Актау в Казахстані, центральноазійські авіакомпанії різко скоротили свою присутність в російському повітряному просторі. Але вже через кілька місяців рівень перевезень повернувся майже до того ж обсягу, що був до грудня 2024 року. Спроби Москви натиснути на казахських слідчих були різко відкинуті і Астана, попри тиск, забезпечує прозорий процес розслідування трагедії.</w:t>
      </w:r>
    </w:p>
    <w:p w:rsidR="002C65FF" w:rsidRDefault="00B2180F">
      <w:pPr>
        <w:pStyle w:val="a3"/>
        <w:spacing w:line="360" w:lineRule="auto"/>
        <w:ind w:right="155" w:firstLine="720"/>
      </w:pPr>
      <w:r>
        <w:rPr>
          <w:color w:val="1F1F1F"/>
        </w:rPr>
        <w:t>Н</w:t>
      </w:r>
      <w:r>
        <w:t>авесні 2025 року уряд Республіки Казахстан ухвалив рішення про заборону на в’їзд на територію країни ряду російських громадян, серед яких російські депутати, діючі та колишні політичні діячі, пропагандисти та працівники російських медіа. Основним аргументом на користь такого рішення, стали висловлювання і заклики від таких осіб, що піддавали сумніву чи напряму заперечували державність і незалежність Казахстану.</w:t>
      </w:r>
    </w:p>
    <w:p w:rsidR="002C65FF" w:rsidRDefault="00B2180F">
      <w:pPr>
        <w:pStyle w:val="a3"/>
        <w:spacing w:line="360" w:lineRule="auto"/>
        <w:ind w:right="164" w:firstLine="720"/>
      </w:pPr>
      <w:r>
        <w:t>Ще один наочний приклад: під час відвідання меморіалу в Самарканді очільник російського МЗС з подивом для себе з’ясував, що на меморіалі написи лише узбекською та англійською мовами. Російською ж</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7"/>
      </w:pPr>
      <w:r>
        <w:t xml:space="preserve">написи відсутні, що викликало обурення Лаврова. Узбекистанський депутат Одилжон Тожиєв відповів на такі претензії Лаврова: «Якщо на головній площі Москви з’явиться напис узбекською мовою, ми </w:t>
      </w:r>
      <w:r>
        <w:rPr>
          <w:spacing w:val="-2"/>
        </w:rPr>
        <w:t>подумаємо».</w:t>
      </w:r>
    </w:p>
    <w:p w:rsidR="002C65FF" w:rsidRDefault="00B2180F">
      <w:pPr>
        <w:pStyle w:val="a3"/>
        <w:ind w:left="1004"/>
      </w:pPr>
      <w:r>
        <w:rPr>
          <w:color w:val="1F1F1F"/>
        </w:rPr>
        <w:t>Протекритичнаекономічназалежністьтарольрегіонівякхабів</w:t>
      </w:r>
      <w:r>
        <w:rPr>
          <w:color w:val="1F1F1F"/>
          <w:spacing w:val="-5"/>
        </w:rPr>
        <w:t>для</w:t>
      </w:r>
    </w:p>
    <w:p w:rsidR="002C65FF" w:rsidRDefault="00B2180F">
      <w:pPr>
        <w:pStyle w:val="a3"/>
        <w:spacing w:before="161" w:line="360" w:lineRule="auto"/>
        <w:ind w:right="161"/>
      </w:pPr>
      <w:r>
        <w:rPr>
          <w:color w:val="1F1F1F"/>
        </w:rPr>
        <w:t>«паралельного імпорту» в РФ змушують держави Південного Кавказу та Центральної Азії балансувати: не визнавати окупацію українських територій, але й уникати повного розриву з Москвою (Габер, Васадзе &amp; Пойта, 2022).</w:t>
      </w:r>
    </w:p>
    <w:p w:rsidR="002C65FF" w:rsidRDefault="00B2180F">
      <w:pPr>
        <w:pStyle w:val="a3"/>
        <w:spacing w:line="360" w:lineRule="auto"/>
        <w:ind w:right="156" w:firstLine="720"/>
      </w:pPr>
      <w:r>
        <w:rPr>
          <w:color w:val="1F1F1F"/>
        </w:rPr>
        <w:t>Найбільшою загрозою в умовах «геополітичного вакууму» залишається потенційна готовністьРФдосиловихсценаріївуразіреальної загрозиповноївтративпливу.Зберігаєтьсявисокийризикзастосування</w:t>
      </w:r>
    </w:p>
    <w:p w:rsidR="002C65FF" w:rsidRDefault="00B2180F">
      <w:pPr>
        <w:pStyle w:val="a3"/>
        <w:spacing w:line="360" w:lineRule="auto"/>
        <w:ind w:right="154"/>
      </w:pPr>
      <w:r>
        <w:rPr>
          <w:color w:val="1F1F1F"/>
        </w:rPr>
        <w:t>«миротворчих» інтервенцій під егідою ОДКБ. Приводом для цього може стати «захист російськомовного населення» або «стабілізація ситуації» в етнічно вразливих зонах, таких як Ферганська долина або північні області Казахстану (Волохов, 2019). Ю. Пойта (2023) підкреслює, що Росія може використати свої військові бази як плацдарм для гібридних операцій, підтримки сепаратистських рухів або кібератак на критичну інфраструктуру, аби утримати країни регіонів в своїй орбіті.</w:t>
      </w:r>
    </w:p>
    <w:p w:rsidR="002C65FF" w:rsidRDefault="00B2180F">
      <w:pPr>
        <w:pStyle w:val="a3"/>
        <w:spacing w:line="360" w:lineRule="auto"/>
        <w:ind w:right="156" w:firstLine="720"/>
      </w:pPr>
      <w:r>
        <w:rPr>
          <w:color w:val="1F1F1F"/>
        </w:rPr>
        <w:t>Отже, трансформація впливу РФ характеризується переходом від системноїгегемоніїдоагресивноїреактивноїполітикивумовах</w:t>
      </w:r>
    </w:p>
    <w:p w:rsidR="002C65FF" w:rsidRDefault="00B2180F">
      <w:pPr>
        <w:pStyle w:val="a3"/>
        <w:spacing w:line="360" w:lineRule="auto"/>
        <w:ind w:right="160"/>
      </w:pPr>
      <w:r>
        <w:rPr>
          <w:color w:val="1F1F1F"/>
        </w:rPr>
        <w:t>«геополітичного вакууму». Втрачаючи економічну привабливість на користь Китаю та політичну довіру еліт, Москва робить ставку нагібридні загрози та військовий шантаж. Для держав регіону це створює екзистенційну дилему: необхідність дистанціюватися від токсичного партнера вступає в конфлікт із ризиками прямої дестабілізації, змушуючи їх проводити складну політику балансування.</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Heading2"/>
        <w:numPr>
          <w:ilvl w:val="1"/>
          <w:numId w:val="2"/>
        </w:numPr>
        <w:tabs>
          <w:tab w:val="left" w:pos="908"/>
          <w:tab w:val="left" w:pos="2436"/>
          <w:tab w:val="left" w:pos="3167"/>
          <w:tab w:val="left" w:pos="5432"/>
          <w:tab w:val="left" w:pos="6609"/>
          <w:tab w:val="left" w:pos="7511"/>
          <w:tab w:val="left" w:pos="9063"/>
        </w:tabs>
        <w:spacing w:before="78" w:line="360" w:lineRule="auto"/>
        <w:ind w:right="166"/>
      </w:pPr>
      <w:r>
        <w:rPr>
          <w:spacing w:val="-2"/>
        </w:rPr>
        <w:t>Зростання</w:t>
      </w:r>
      <w:r>
        <w:tab/>
      </w:r>
      <w:r>
        <w:rPr>
          <w:spacing w:val="-4"/>
        </w:rPr>
        <w:t>ролі</w:t>
      </w:r>
      <w:r>
        <w:tab/>
      </w:r>
      <w:r>
        <w:rPr>
          <w:spacing w:val="-2"/>
        </w:rPr>
        <w:t>альтернативних</w:t>
      </w:r>
      <w:r>
        <w:tab/>
      </w:r>
      <w:r>
        <w:rPr>
          <w:spacing w:val="-2"/>
        </w:rPr>
        <w:t>центрів</w:t>
      </w:r>
      <w:r>
        <w:tab/>
      </w:r>
      <w:r>
        <w:rPr>
          <w:spacing w:val="-2"/>
        </w:rPr>
        <w:t>сили:</w:t>
      </w:r>
      <w:r>
        <w:tab/>
      </w:r>
      <w:r>
        <w:rPr>
          <w:spacing w:val="-2"/>
        </w:rPr>
        <w:t>турецький</w:t>
      </w:r>
      <w:r>
        <w:tab/>
      </w:r>
      <w:r>
        <w:rPr>
          <w:spacing w:val="-6"/>
        </w:rPr>
        <w:t xml:space="preserve">та </w:t>
      </w:r>
      <w:r>
        <w:t>китайський вектори</w:t>
      </w:r>
    </w:p>
    <w:p w:rsidR="002C65FF" w:rsidRDefault="002C65FF">
      <w:pPr>
        <w:pStyle w:val="a3"/>
        <w:spacing w:before="161"/>
        <w:ind w:left="0"/>
        <w:jc w:val="left"/>
        <w:rPr>
          <w:b/>
        </w:rPr>
      </w:pPr>
    </w:p>
    <w:p w:rsidR="002C65FF" w:rsidRDefault="00B2180F">
      <w:pPr>
        <w:pStyle w:val="a3"/>
        <w:ind w:left="1004"/>
      </w:pPr>
      <w:r>
        <w:rPr>
          <w:color w:val="1F1F1F"/>
        </w:rPr>
        <w:t>ОслабленняпозиційРосійськоїФедераціїта</w:t>
      </w:r>
      <w:r>
        <w:rPr>
          <w:color w:val="1F1F1F"/>
          <w:spacing w:val="-2"/>
        </w:rPr>
        <w:t>виникнення</w:t>
      </w:r>
    </w:p>
    <w:p w:rsidR="002C65FF" w:rsidRDefault="00B2180F">
      <w:pPr>
        <w:pStyle w:val="a3"/>
        <w:spacing w:before="161" w:line="360" w:lineRule="auto"/>
        <w:ind w:right="157"/>
      </w:pPr>
      <w:r>
        <w:rPr>
          <w:color w:val="1F1F1F"/>
        </w:rPr>
        <w:t>«геополітичного вакууму» в регіонах Південного Кавказу та Центральної Азії створило структурні передумови для активізації альтернативних центрів сили. Ключовими архітекторами нової регіональної реальності виступають Турецька Республіка та Китайська Народна Республіка. Їхні стратегії, хоч і відрізняються за ідеологічним наповненням та інструментарієм, однак спрямовані на системне заміщення російського впливу, пропонуючи державам регіону нові моделі інтеграції та міждержавної взаємодії – від етнокультурної солідарності до геоекономічного прагматизму.</w:t>
      </w:r>
    </w:p>
    <w:p w:rsidR="002C65FF" w:rsidRDefault="00B2180F">
      <w:pPr>
        <w:pStyle w:val="a3"/>
        <w:spacing w:line="360" w:lineRule="auto"/>
        <w:ind w:right="155" w:firstLine="720"/>
      </w:pPr>
      <w:r>
        <w:rPr>
          <w:color w:val="1F1F1F"/>
        </w:rPr>
        <w:t>Зовнішньополітична стратегія Анкари в досліджуваних регіонах зазнала суттєвої еволюції, поєднавши в собі м’яку силу і жорстке проєктування військово-політичних інтересів. І тут варто наголосити, що самій Туреччині знадобилось досить багато часу для того, щоб дійти до власного розуміння щодо того, яким має бути змістовне наповнення цієї м’якої сили, як вона має подаватися в регіонах впливу і, найголовніше, як це пояснити внутрішньому політичному споживачеві. Фундаментом цієї стратегії стала концепція «неопантюркізму», яка передбачає об’єднання тюркомовнихнародівуєдинийгеополітичнийпростір.Якзазначає В.Волохов(2020),Туреччинапослідовноформуєідеологічнуплатформу</w:t>
      </w:r>
    </w:p>
    <w:p w:rsidR="002C65FF" w:rsidRDefault="00B2180F">
      <w:pPr>
        <w:pStyle w:val="a3"/>
        <w:spacing w:line="360" w:lineRule="auto"/>
        <w:ind w:right="159"/>
      </w:pPr>
      <w:r>
        <w:rPr>
          <w:color w:val="1F1F1F"/>
        </w:rPr>
        <w:t>«тюркського світу», інституалізовану через Організаціютюркськихдержав та гуманітарні структури на кшталт TIKA (Турецька агенція зі співробітництва та координації).</w:t>
      </w:r>
    </w:p>
    <w:p w:rsidR="002C65FF" w:rsidRDefault="00B2180F">
      <w:pPr>
        <w:pStyle w:val="a3"/>
        <w:spacing w:line="360" w:lineRule="auto"/>
        <w:ind w:right="155" w:firstLine="720"/>
      </w:pPr>
      <w:r>
        <w:rPr>
          <w:color w:val="1F1F1F"/>
        </w:rPr>
        <w:t>Варто визнати, що інституційні, фінансові, економічні, людські можливості Туреччини в цьому контексті єнебільшими,ніжуРосії.Проте перерозподіл цих ресурсів, засоби і методи їх використання, інструментарій,якийзастосовуєтьсяпри роботі з регіонами відрізняється</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6"/>
      </w:pPr>
      <w:r>
        <w:rPr>
          <w:color w:val="1F1F1F"/>
        </w:rPr>
        <w:t>відросійськогонакористьТуреччини.Ісаметомумиможемоговоритипро формування стійкої сильної альтернативи, яка складає неабияку конкуренцію російському продукту.</w:t>
      </w:r>
    </w:p>
    <w:p w:rsidR="002C65FF" w:rsidRDefault="00B2180F">
      <w:pPr>
        <w:pStyle w:val="a3"/>
        <w:spacing w:line="360" w:lineRule="auto"/>
        <w:ind w:right="156" w:firstLine="720"/>
      </w:pPr>
      <w:r>
        <w:rPr>
          <w:color w:val="1F1F1F"/>
        </w:rPr>
        <w:t>На Південному Кавказі ця стратегія отримала найбільш виразне втілення. Азербайджан став для Туреччини ключовим стратегічним партнером і «вікном» у регіон. Ба більше, не лише вікном в регіон Південного Кавказу, а й містком який з’єднує Туреччину з Центральною Азією через Каспійське море та далі із Китаєм, що до речі взаємовигідно, як для Туреччини, так і для Китаю. Держави Південного Кавказу і Центральної Азії є бенефіціарами в транзитній складовій між двома більшими акторами.</w:t>
      </w:r>
    </w:p>
    <w:p w:rsidR="002C65FF" w:rsidRDefault="00B2180F">
      <w:pPr>
        <w:pStyle w:val="a3"/>
        <w:spacing w:line="360" w:lineRule="auto"/>
        <w:ind w:right="156" w:firstLine="720"/>
      </w:pPr>
      <w:r>
        <w:rPr>
          <w:color w:val="1F1F1F"/>
        </w:rPr>
        <w:t>Переломним моментом стала Друга Карабахська війна 2020 року, де пряма військово-технічна підтримка Анкари (постачання ударних БПЛА BayraktarTB2,розвідданихіучастьрадників)забезпечилаБакувирішальну перевагу.Кульмінацієюзближеннясталопідписанняу2021році</w:t>
      </w:r>
    </w:p>
    <w:p w:rsidR="002C65FF" w:rsidRDefault="00B2180F">
      <w:pPr>
        <w:pStyle w:val="a3"/>
        <w:spacing w:line="360" w:lineRule="auto"/>
        <w:ind w:right="158"/>
      </w:pPr>
      <w:r>
        <w:rPr>
          <w:color w:val="1F1F1F"/>
        </w:rPr>
        <w:t>«Шушинської декларації», яка де-юре закріпила військовий союз двох держав, створивши нову безпекову вісь, незалежну від Москви (Türkiye Cumhuriyeti ile Azerbaycan Cumhuriyeti Arasında Müttefiklik İlişkileri Hakkında. Şuşa Beyannamesi. (Про союзницькі відносини між Турецькою Республікою та Азербайджанською Республікою. Шушинськадекларація), 2021). О. Махно (2023) підкреслює, що Ердоган вдало використав цей момент, щоб стати головним бенефіціаром змін, фактично витіснивши Росію з ролі одноосібного регіонального арбітра.</w:t>
      </w:r>
    </w:p>
    <w:p w:rsidR="002C65FF" w:rsidRDefault="00B2180F">
      <w:pPr>
        <w:pStyle w:val="a3"/>
        <w:spacing w:line="360" w:lineRule="auto"/>
        <w:ind w:right="161" w:firstLine="720"/>
      </w:pPr>
      <w:r>
        <w:rPr>
          <w:color w:val="1F1F1F"/>
        </w:rPr>
        <w:t>Щодо Грузії Туреччина реалізує прагматичну політику, розглядаючи її як поки безальтернативний транзитний хаб для енергетичних (нафтопровід Баку-Тбілісі-Джейхан, газопровід Баку-Тбілісі-Ерзурум) та логістичних (залізниця Баку-Тбілісі-Карс) коридорів. Нормалізація відносин з Вірменією залишаєтьсянапорядкуденному,протеАнкарачітко координує свої кроки з Баку, використовуючи можливість відкриття кордонів з Вірменією як інструмент тиску для досягнення мирної угоди на</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62"/>
      </w:pPr>
      <w:r>
        <w:rPr>
          <w:color w:val="1F1F1F"/>
        </w:rPr>
        <w:t>азербайджанських умовах. Звісно мирний процес не стоїть на місці. Зточки зору Єревану, налагодження відносин з Баку інормалізаціявідносин з Анкарою це два різних – незалежних один від одного процеси. Однак з позиції Туреччини і Азербайджану це взаємопов’язані справи, які можливі виключно у послідовному порядку – спочатку мирний процес з Азербайджаном, потім домовленості з Туреччиною.</w:t>
      </w:r>
    </w:p>
    <w:p w:rsidR="002C65FF" w:rsidRDefault="00B2180F">
      <w:pPr>
        <w:pStyle w:val="a3"/>
        <w:spacing w:line="360" w:lineRule="auto"/>
        <w:ind w:right="158" w:firstLine="720"/>
      </w:pPr>
      <w:r>
        <w:rPr>
          <w:color w:val="1F1F1F"/>
        </w:rPr>
        <w:t>У Центральній Азії турецька політика базується на поєднанні культурноїдипломатіїтаекономічногопрагматизму.Туреччинапозиціонує себе як «старший брат», пропонуючи модель модернізації без втрати національної ідентичності, що резонує з настроями місцевих еліт, які прагнуть дистанціюватися від радянської спадщини. Важливим досягненням стало залучення до орбіти тюркської інтеграції Узбекистану та поступове посиленняспівпрацізКазахстаном,якийАнкарарозглядаєяк ключового партнера та «середню державу» в регіоні (Демчишак, 2020).</w:t>
      </w:r>
    </w:p>
    <w:p w:rsidR="002C65FF" w:rsidRDefault="00B2180F">
      <w:pPr>
        <w:pStyle w:val="a3"/>
        <w:spacing w:line="360" w:lineRule="auto"/>
        <w:ind w:right="156" w:firstLine="720"/>
      </w:pPr>
      <w:r>
        <w:rPr>
          <w:color w:val="1F1F1F"/>
        </w:rPr>
        <w:t>Однак, враховуючи географічний чинник, а саме відрізаність Туреччини від Центральної Азії, налагодження і посилення співробітництва та виведення його на новий, більш високий рівень можливе саме через призму ефективності мирного процесу між Азербайджаном і Вірменією. Як альтернатива, можливе використання вже наявного маршруту через Грузію. Проте, вбачається необхідність у диверсифікації цього маршруту і прокладання паралельного шляху (без відмови від Грузії як партнера).</w:t>
      </w:r>
    </w:p>
    <w:p w:rsidR="002C65FF" w:rsidRDefault="00B2180F">
      <w:pPr>
        <w:pStyle w:val="a3"/>
        <w:ind w:left="1004"/>
      </w:pPr>
      <w:r>
        <w:rPr>
          <w:color w:val="1F1F1F"/>
        </w:rPr>
        <w:t>СтратегіяКитаюжбазуєтьсянагеоекономічнійекспансії.</w:t>
      </w:r>
      <w:r>
        <w:rPr>
          <w:color w:val="1F1F1F"/>
          <w:spacing w:val="-2"/>
        </w:rPr>
        <w:t>Ініціатива</w:t>
      </w:r>
    </w:p>
    <w:p w:rsidR="002C65FF" w:rsidRDefault="00B2180F">
      <w:pPr>
        <w:pStyle w:val="a3"/>
        <w:spacing w:before="161" w:line="360" w:lineRule="auto"/>
        <w:ind w:right="155"/>
      </w:pPr>
      <w:r>
        <w:rPr>
          <w:color w:val="1F1F1F"/>
        </w:rPr>
        <w:t>«Один пояс, один шлях», проголошена Сі Цзіньпіном у 2013 році, перетворила регіони Південного Кавказу та Центральної Азії на ключовий транзитний вузол євразійської торгівлі. За даними І. Нестеренко,китайські інвестиції покрили близько 40% потреб центральноазійського регіону в інфраструктурі,щовключаємодернізаціюавтошляхів(трасаБішкек-Торугарт), залізниць та розбудову порту Актау (Нестеренко, 2022).</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5" w:firstLine="720"/>
      </w:pPr>
      <w:r>
        <w:rPr>
          <w:color w:val="1F1F1F"/>
        </w:rPr>
        <w:t xml:space="preserve">Як зауважують П. Стронскі та Н. Нг (2018), баланс сил в регіонах після 2013 року стрімко змінюється. Пекін дедалі активніше конвертує свою економічну вагу у вплив на сферу безпеки, створюючи військові пости в Таджикистані, проводячи спільні навчання та експортуючи технології цифрового стеження («розумні міста») для контролю соціальної </w:t>
      </w:r>
      <w:r>
        <w:rPr>
          <w:color w:val="1F1F1F"/>
          <w:spacing w:val="-2"/>
        </w:rPr>
        <w:t>стабільності.</w:t>
      </w:r>
    </w:p>
    <w:p w:rsidR="002C65FF" w:rsidRDefault="00B2180F">
      <w:pPr>
        <w:pStyle w:val="a3"/>
        <w:spacing w:line="360" w:lineRule="auto"/>
        <w:ind w:right="155" w:firstLine="720"/>
      </w:pPr>
      <w:r>
        <w:rPr>
          <w:color w:val="1F1F1F"/>
        </w:rPr>
        <w:t>Е. Гусейнов (2025) аргументує, що хоча тактично РФ і КНР можуть співпрацювати для стримування Заходу, стратегічно Китай заповнює вакуум сили, якийутворюєтьсячерездеградаціюросійськогопотенціалу.В умовах ізоляції Москви, Пекін стає безальтернативним партнером для країн регіону, поступово намагаючись перетворити Центральну Азію на зону свого ексклюзивного впливу.</w:t>
      </w:r>
    </w:p>
    <w:p w:rsidR="002C65FF" w:rsidRDefault="00B2180F">
      <w:pPr>
        <w:pStyle w:val="a3"/>
        <w:spacing w:line="360" w:lineRule="auto"/>
        <w:ind w:right="155" w:firstLine="720"/>
      </w:pPr>
      <w:r>
        <w:rPr>
          <w:color w:val="1F1F1F"/>
        </w:rPr>
        <w:t>Однак є один дуже важливий нюанс. Пекін не готовий йти на відкриту конфронтацію з Москвою за лідерство в центральноазійському, а тим паче, кавказькому регіонах. Китай робить кроки пов’язані з економічною експансією, з нарощуванням нових зв’язків і нових видів співробітництва, проте, як не парадоксально, настільки наскільки це йому дозволяє Москва. А от Кремль формуєцімежізалежновідбаченняКитаю. Варто пояснити – виходить, така собі, подвійна граприякій,зодногобоку, Китай не порушує неписані домовленості, які існують між Москвою і Пекіном та, водночас, сам же формує рамки цих домовленостей, враховуючи і використовуючи ізольованість і слабкість Росії, особливо після 2022 року. Кремль, у свою чергу, вимушений йти на таку «угоду» з огляду на ризик втратити вплив у регіонах взагалі.</w:t>
      </w:r>
    </w:p>
    <w:p w:rsidR="002C65FF" w:rsidRDefault="00B2180F">
      <w:pPr>
        <w:pStyle w:val="a3"/>
        <w:spacing w:line="360" w:lineRule="auto"/>
        <w:ind w:right="159" w:firstLine="720"/>
      </w:pPr>
      <w:r>
        <w:rPr>
          <w:color w:val="1F1F1F"/>
        </w:rPr>
        <w:t>Динаміка «coopetition» (співробітництва-конкуренції)міжРФтаКНР зміщується на користь останнього, оскільки Китай пропонує реальні інвестиційні ресурси, яких у Росії більше немає (Supyaldiyarov, 2024).</w:t>
      </w:r>
    </w:p>
    <w:p w:rsidR="002C65FF" w:rsidRDefault="00B2180F">
      <w:pPr>
        <w:pStyle w:val="a3"/>
        <w:spacing w:line="360" w:lineRule="auto"/>
        <w:ind w:right="155" w:firstLine="720"/>
      </w:pPr>
      <w:r>
        <w:rPr>
          <w:color w:val="1F1F1F"/>
        </w:rPr>
        <w:t>Однак китайська присутність несе і ризикидлярегіонів.Р.Гамільтон (2024) вказує на проблему боргової пастки та посилення залежності місцевихелітвідПекіна,щовикликаєпевнийопірсереднаселення.Це</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6"/>
      </w:pPr>
      <w:r>
        <w:rPr>
          <w:color w:val="1F1F1F"/>
        </w:rPr>
        <w:t>змушує уряди країн Центральної Азії шукати баланс, використовуючи турецький та західний вектори для врівноваження китайського тиску.</w:t>
      </w:r>
    </w:p>
    <w:p w:rsidR="002C65FF" w:rsidRDefault="00B2180F">
      <w:pPr>
        <w:pStyle w:val="a3"/>
        <w:spacing w:line="360" w:lineRule="auto"/>
        <w:ind w:right="158" w:firstLine="720"/>
      </w:pPr>
      <w:r>
        <w:rPr>
          <w:color w:val="1F1F1F"/>
        </w:rPr>
        <w:t>Турецький та китайський вектори є не просто доповненням до регіональної кон’юнктури, а системною альтернативою російському домінуванню.Туреччинапропонуємодельціннісногота військово-політичногосоюзництва,ефективноконкуруючизРФусфері</w:t>
      </w:r>
    </w:p>
    <w:p w:rsidR="002C65FF" w:rsidRDefault="00B2180F">
      <w:pPr>
        <w:pStyle w:val="a3"/>
        <w:spacing w:line="360" w:lineRule="auto"/>
        <w:ind w:right="160"/>
      </w:pPr>
      <w:r>
        <w:rPr>
          <w:color w:val="1F1F1F"/>
        </w:rPr>
        <w:t>«жорсткої» безпеки на Південному Кавказі. Китай, спираючись на фінансову міць, формує нову геоекономічнуреальністьуЦентральнійАзії, поступово перебираючи на себе і безпекові функції.Длядержаврегіонуця поліцентричність відкриває простір для маневру, дозволяючи реалізувати стратегію балансування та зміцнення власної суб’єктності.</w:t>
      </w:r>
    </w:p>
    <w:p w:rsidR="002C65FF" w:rsidRDefault="00B2180F">
      <w:pPr>
        <w:pStyle w:val="a3"/>
        <w:spacing w:line="360" w:lineRule="auto"/>
        <w:ind w:right="155" w:firstLine="720"/>
      </w:pPr>
      <w:r>
        <w:rPr>
          <w:color w:val="1F1F1F"/>
        </w:rPr>
        <w:t>Водночас, така поліцентричність для регіональних акторів створює безпекові виклики сутність, яких лежить значно глибше аніж загроза, наприклад, потенційної військової інтервенції. Безпековий стержень для цих регіонів криється в їхній здатності диверсифікувати власну зовнішню політику – унезалежнити її, при цьому, не ставши заручником власних недоліків. Однак місцеві політичні еліти, судячи з усього, ставлять собі пріоритетною ціллю утримання власних режимів при владі. Та з цією метою, населенню демонструється наступна позиція: стійкість і незмінність політичного режиму = стабільність і мир у співіснуванні з іншими акторами. Подібний підхід, з одного боку є умиротворенням більших гравців (таких як Росія),азіншогостворюєзагрозу,що«апетити» цих самих гравців непропорційно зростатимуть.</w:t>
      </w:r>
    </w:p>
    <w:p w:rsidR="002C65FF" w:rsidRDefault="002C65FF">
      <w:pPr>
        <w:pStyle w:val="a3"/>
        <w:spacing w:before="161"/>
        <w:ind w:left="0"/>
        <w:jc w:val="left"/>
      </w:pPr>
    </w:p>
    <w:p w:rsidR="002C65FF" w:rsidRDefault="00B2180F">
      <w:pPr>
        <w:pStyle w:val="Heading2"/>
        <w:numPr>
          <w:ilvl w:val="1"/>
          <w:numId w:val="2"/>
        </w:numPr>
        <w:tabs>
          <w:tab w:val="left" w:pos="770"/>
        </w:tabs>
        <w:ind w:left="770" w:hanging="486"/>
        <w:rPr>
          <w:color w:val="1F1F1F"/>
        </w:rPr>
      </w:pPr>
      <w:r>
        <w:rPr>
          <w:color w:val="1F1F1F"/>
        </w:rPr>
        <w:t>Еволюціястратегійіншихпозарегіональних</w:t>
      </w:r>
      <w:r>
        <w:rPr>
          <w:color w:val="1F1F1F"/>
          <w:spacing w:val="-2"/>
        </w:rPr>
        <w:t>акторів</w:t>
      </w:r>
    </w:p>
    <w:p w:rsidR="002C65FF" w:rsidRDefault="002C65FF">
      <w:pPr>
        <w:pStyle w:val="a3"/>
        <w:ind w:left="0"/>
        <w:jc w:val="left"/>
        <w:rPr>
          <w:b/>
        </w:rPr>
      </w:pPr>
    </w:p>
    <w:p w:rsidR="002C65FF" w:rsidRDefault="002C65FF">
      <w:pPr>
        <w:pStyle w:val="a3"/>
        <w:ind w:left="0"/>
        <w:jc w:val="left"/>
        <w:rPr>
          <w:b/>
        </w:rPr>
      </w:pPr>
    </w:p>
    <w:p w:rsidR="002C65FF" w:rsidRDefault="00B2180F">
      <w:pPr>
        <w:pStyle w:val="a3"/>
        <w:spacing w:line="360" w:lineRule="auto"/>
        <w:ind w:right="156" w:firstLine="720"/>
      </w:pPr>
      <w:r>
        <w:rPr>
          <w:color w:val="1F1F1F"/>
        </w:rPr>
        <w:t>Трансформація безпекового середовища Південного Кавказу та Центральної Азії змусила не лише традиційних гегемонів, а й інших зовнішніх акторів переглянути свої підходи. Стратегії Європейського Союзу,Сполучених Штатів Америки та Ісламської Республіки Іран також</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61"/>
      </w:pPr>
      <w:r>
        <w:rPr>
          <w:color w:val="1F1F1F"/>
        </w:rPr>
        <w:t>зазнають змін – ідеологічні та ціннісні установки дедалі частіше поступаються місцем жорсткому прагматизму, продиктованому новими геополітичними реаліями.</w:t>
      </w:r>
    </w:p>
    <w:p w:rsidR="002C65FF" w:rsidRDefault="00B2180F">
      <w:pPr>
        <w:pStyle w:val="a3"/>
        <w:spacing w:line="360" w:lineRule="auto"/>
        <w:ind w:right="156" w:firstLine="720"/>
      </w:pPr>
      <w:r>
        <w:rPr>
          <w:color w:val="1F1F1F"/>
        </w:rPr>
        <w:t>Протягом тривалого часу політика Заходу в регіоні базувалась на концепції «нормативної сили» – вже класичні, просування демократії, верховенства права та прав людини як основи стабільності і запорука успіху. Інструментами цього впливу були програми «Східне партнерство» (для Кавказу) та стратегіїдляЦентральноїАзії,орієнтованінаінституційні реформи. Проте, ця модель виявилася малоефективною в умовах жорсткої конфронтації та домінування силових методів вирішення конфліктів (Meister, 2021; Deen, Linder &amp; Zweers, 2023).</w:t>
      </w:r>
    </w:p>
    <w:p w:rsidR="002C65FF" w:rsidRDefault="00B2180F">
      <w:pPr>
        <w:pStyle w:val="a3"/>
        <w:spacing w:line="360" w:lineRule="auto"/>
        <w:ind w:right="164" w:firstLine="720"/>
      </w:pPr>
      <w:r>
        <w:rPr>
          <w:color w:val="1F1F1F"/>
        </w:rPr>
        <w:t>Повномасштабне вторгнення Росії в Україну і спричинена ним енергетична кризавЄвропісталикаталізаторамипереходуЗаходудонової, більш прагматичної парадигми. Пріоритетом стає не експорт цінностей, а забезпечення енергетичної безпеки та логістичної зв’язаності.</w:t>
      </w:r>
    </w:p>
    <w:p w:rsidR="002C65FF" w:rsidRDefault="00B2180F">
      <w:pPr>
        <w:pStyle w:val="a3"/>
        <w:spacing w:line="360" w:lineRule="auto"/>
        <w:ind w:right="155" w:firstLine="720"/>
      </w:pPr>
      <w:r>
        <w:rPr>
          <w:color w:val="1F1F1F"/>
        </w:rPr>
        <w:t>Європейський Союз активно шукає альтернативи російським енергоносіям, що різко підвищило стратегічну вагу Азербайджану такраїн Центральної Азії. Підписання меморандуму про стратегічне партнерство в енергетичній сфері між ЄС та Азербайджаном у 2022 році стало яскравим свідченням цього зсуву. Брюссель готовий йти на ситуативні поступки зарадистабільнихпоставокгазу.Цесвідчитьпроформуваннянового</w:t>
      </w:r>
    </w:p>
    <w:p w:rsidR="002C65FF" w:rsidRDefault="00B2180F">
      <w:pPr>
        <w:pStyle w:val="a3"/>
        <w:spacing w:line="360" w:lineRule="auto"/>
        <w:ind w:right="159"/>
      </w:pPr>
      <w:r>
        <w:rPr>
          <w:color w:val="1F1F1F"/>
        </w:rPr>
        <w:t>«трансакційного порядку», де відносини будуються на взаємовигідному обміні ресурсами, а не на спільних цінностях (Meister, 2024). Потрібно визнати, що така співпраця в енергетичній сфері є досить взаємовигідною для всіх сторін – Європейський союз диверсифікує свою енергетичну галузь і відмовляється від російських енергоносіїв, натомість держави Південного Кавказу і Центральної Азії виходять «з тіні» Росії, будують власні енергетичні логістичні і транзитні проєкти, заробляють на цьому досить непогані кошти, отримують визнання як повноцінних гравців на міжнародній арені.</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7" w:firstLine="720"/>
      </w:pPr>
      <w:r>
        <w:rPr>
          <w:color w:val="1F1F1F"/>
        </w:rPr>
        <w:t>США та ЄС посилюють увагу до розвитку Транскаспійського міжнародного транспортного маршруту (він же «Серединний коридор») як єдиної альтернативи транзиту через Росію. Європейські та амриканські нвестиції в інфраструктуру держав регіонів потрібно розглядати не лишеяк економічні проєкти, а як інструмент геополітичної емансипації регіону від впливу Москви та Пекіна (Deen, Linder &amp; Zweers, 2023).</w:t>
      </w:r>
    </w:p>
    <w:p w:rsidR="002C65FF" w:rsidRDefault="00B2180F">
      <w:pPr>
        <w:pStyle w:val="a3"/>
        <w:spacing w:line="360" w:lineRule="auto"/>
        <w:ind w:right="157" w:firstLine="720"/>
      </w:pPr>
      <w:r>
        <w:rPr>
          <w:color w:val="1F1F1F"/>
        </w:rPr>
        <w:t>Водночас, Захід намагається зберегти певний рівень політичної присутності, зокрема через моніторингову місію ЄС у Вірменії (EUMA).Це демонструє спробу Брюсселя грати роль безпекового актора, хоча його можливості залишаються обмеженими через відсутність жорсткої сили.До того ж, подібна «присутність» останніми роками викликає особливу дратівливість у акторів регіонів через абсолютну інертність і неефективність подібних структур в контексті вирішення безпекових питань і врегулювань необхідних для регіону.Тежсамеможнасказатипро Мінську групу ОБСЄ, яка на момент написання цього дослідження перебуває на стадії фактичного розпуску.</w:t>
      </w:r>
    </w:p>
    <w:p w:rsidR="002C65FF" w:rsidRDefault="00B2180F">
      <w:pPr>
        <w:pStyle w:val="a3"/>
        <w:spacing w:line="360" w:lineRule="auto"/>
        <w:ind w:right="160" w:firstLine="720"/>
      </w:pPr>
      <w:r>
        <w:rPr>
          <w:color w:val="1F1F1F"/>
        </w:rPr>
        <w:t xml:space="preserve">Політика Ірану щодо Південного Кавказу та Центральної Азії характеризується складним поєднанням історичних амбіцій, релігійного чинника та екзистенційних побоювань. Тегеран розглядає Південний Кавказ як зону своїх життєво важливих інтересів і вкрай болісно реагуєна будь-які зміни балансу сил, особливо на посилення впливу Туреччини та </w:t>
      </w:r>
      <w:r>
        <w:rPr>
          <w:color w:val="1F1F1F"/>
          <w:spacing w:val="-2"/>
        </w:rPr>
        <w:t>Ізраїлю.</w:t>
      </w:r>
    </w:p>
    <w:p w:rsidR="002C65FF" w:rsidRDefault="00B2180F">
      <w:pPr>
        <w:pStyle w:val="a3"/>
        <w:spacing w:line="360" w:lineRule="auto"/>
        <w:ind w:right="155" w:firstLine="720"/>
      </w:pPr>
      <w:r>
        <w:rPr>
          <w:color w:val="1F1F1F"/>
        </w:rPr>
        <w:t>Іран сприймає зміцнення азербайджано-турецького тандему як загрозу власній територіальній цілісності (через наявність чисельної азербайджанської меншини в Ірані). Тегеран намагається стримувати амбіції Баку, погрожуючи військовими навчаннями на кордоні та використовуючи риторику про неприпустимість зміни кордонів у регіоні (зокрема, щодо Зангезурського коридору, який може відрізати Іран від Вірменії) (Волович, 2020; Замікула &amp; Ярмоленко, 2022). Всупереч релігійнійсолідарності з шиїтським Азербайджаном, Іран вибудовує тісні</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7"/>
      </w:pPr>
      <w:r>
        <w:rPr>
          <w:color w:val="1F1F1F"/>
        </w:rPr>
        <w:t>партнерські відносини з християнською Вірменією. Єреван потрібен Тегерану як буфер проти турецької присутності та як один із напрямків коридору «Північ-Південь».</w:t>
      </w:r>
    </w:p>
    <w:p w:rsidR="002C65FF" w:rsidRDefault="00B2180F">
      <w:pPr>
        <w:pStyle w:val="a3"/>
        <w:spacing w:line="360" w:lineRule="auto"/>
        <w:ind w:right="158" w:firstLine="720"/>
      </w:pPr>
      <w:r>
        <w:rPr>
          <w:color w:val="1F1F1F"/>
        </w:rPr>
        <w:t>В. Карвацький (2019) вказує на те, що Іран часто діє як деструктивний актор, зацікавлений у збереженні напруженості, яка не дозволяє регіонам повністю розвиватися та працювати в здоровому ключі. Тегеран також намагається використати вакуум російського впливу, пропонуючи себе як альтернативного партнера, проте його міжнародна ізоляція та санкційний тиск обмежують привабливість такої співпраці для країн регіонів.</w:t>
      </w:r>
    </w:p>
    <w:p w:rsidR="002C65FF" w:rsidRDefault="00B2180F">
      <w:pPr>
        <w:pStyle w:val="a3"/>
        <w:spacing w:line="360" w:lineRule="auto"/>
        <w:ind w:right="157" w:firstLine="720"/>
      </w:pPr>
      <w:r>
        <w:rPr>
          <w:color w:val="1F1F1F"/>
        </w:rPr>
        <w:t>Протяжний сухопутний кордон Ірану з державами регіонів, вихід до Каспійського моря, велика чисельність представників національних меншин кавказькихіцентральноазійськихнародіввІрані,змушуютьуряди держав регіонів йти на певні ситуативні компроміси з Тегераном. До того ж, побоювання стати «випадковою жертвою» в контексті ймовірної розробки зброї масового ураження Іраном представляє собою необхідність йти, нехай і неохоче, на такі контакти.</w:t>
      </w:r>
    </w:p>
    <w:p w:rsidR="002C65FF" w:rsidRDefault="00B2180F">
      <w:pPr>
        <w:pStyle w:val="a3"/>
        <w:spacing w:line="360" w:lineRule="auto"/>
        <w:ind w:right="155" w:firstLine="720"/>
      </w:pPr>
      <w:r>
        <w:rPr>
          <w:color w:val="1F1F1F"/>
        </w:rPr>
        <w:t>Для Ірану головною метою є недопущення повної ізоляції та стримуваннятурецькоговпливу,щоштовхаєйогодоситуативнихальянсів, які іноді суперечать їхнім власним ідеологічним засадам.</w:t>
      </w:r>
    </w:p>
    <w:p w:rsidR="002C65FF" w:rsidRDefault="002C65FF">
      <w:pPr>
        <w:pStyle w:val="a3"/>
        <w:spacing w:before="161"/>
        <w:ind w:left="0"/>
        <w:jc w:val="left"/>
      </w:pPr>
    </w:p>
    <w:p w:rsidR="002C65FF" w:rsidRDefault="00B2180F">
      <w:pPr>
        <w:pStyle w:val="Heading2"/>
        <w:numPr>
          <w:ilvl w:val="1"/>
          <w:numId w:val="2"/>
        </w:numPr>
        <w:tabs>
          <w:tab w:val="left" w:pos="845"/>
        </w:tabs>
        <w:spacing w:line="360" w:lineRule="auto"/>
        <w:ind w:right="165"/>
      </w:pPr>
      <w:r>
        <w:t>Соціокультурнітарелігійнічинникибезпеки:рольідеологіїта ідентичності у геополітичних стратегіях</w:t>
      </w:r>
    </w:p>
    <w:p w:rsidR="002C65FF" w:rsidRDefault="002C65FF">
      <w:pPr>
        <w:pStyle w:val="a3"/>
        <w:spacing w:before="161"/>
        <w:ind w:left="0"/>
        <w:jc w:val="left"/>
        <w:rPr>
          <w:b/>
        </w:rPr>
      </w:pPr>
    </w:p>
    <w:p w:rsidR="002C65FF" w:rsidRDefault="00B2180F">
      <w:pPr>
        <w:pStyle w:val="a3"/>
        <w:spacing w:line="360" w:lineRule="auto"/>
        <w:ind w:right="161" w:firstLine="720"/>
      </w:pPr>
      <w:r>
        <w:rPr>
          <w:color w:val="1F1F1F"/>
        </w:rPr>
        <w:t>Аналіз регіональних вимірів безпеки був би неповним без урахування соціокультурного контексту, який часто виступає як фундаментом для формуванняальянсів,такіджереломгібриднихзагроз.У регіонах Південного Кавказу та Центральної Азії питання національної ідентичності,історичноїпам’ятітарелігіївийшлизамежігуманітарної</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64"/>
      </w:pPr>
      <w:r>
        <w:rPr>
          <w:color w:val="1F1F1F"/>
        </w:rPr>
        <w:t>сфери, перетворившись на критичні елементи стратегій національної безпеки та об’єкти маніпуляцій з боку зовнішніх акторів.</w:t>
      </w:r>
    </w:p>
    <w:p w:rsidR="002C65FF" w:rsidRDefault="00B2180F">
      <w:pPr>
        <w:pStyle w:val="a3"/>
        <w:spacing w:line="360" w:lineRule="auto"/>
        <w:ind w:right="155" w:firstLine="720"/>
      </w:pPr>
      <w:r>
        <w:t>Історично роль ісламу в Центральній Азії була надзвичайно глибокою: ще з часів Середньовіччя регіон був осередком мусульманської освіти, богослов’я та культури. Самарканд і Бухара були центрами богословської думки, де діяли видатні улеми, а таджицькі та киргизькі землі зберігали традиції суфізму. Радянський період приніс радикальну секуляризацію –релігійнаосвітазаборонялася,мечетізакривалися,аімами зазнавали переслідувань. Водночас віра не зникла – вона просто перейшла в приватну сферу. Саме це «підпільне ісламське життя»сталоосновоюдля релігійного відродження після розпаду СРСР.</w:t>
      </w:r>
    </w:p>
    <w:p w:rsidR="002C65FF" w:rsidRDefault="00B2180F">
      <w:pPr>
        <w:pStyle w:val="a3"/>
        <w:spacing w:line="360" w:lineRule="auto"/>
        <w:ind w:right="155" w:firstLine="720"/>
      </w:pPr>
      <w:r>
        <w:t xml:space="preserve">Після здобуття незалежності на початку 1990-х іслам у країнах регіону почав швидко повертати свій суспільний статус. Люди масово відвідували мечеті, відновлювали релігійні обряди, виникли перші релігійні школи. Проте держави з перших років побачила в цьому не лише духовне відродження, а й потенційну загрозу власній владі. Саме тому офіційні режими (особливо узбецький і таджицький) сформували чітку політику «контрольованої релігії» </w:t>
      </w:r>
      <w:r>
        <w:rPr>
          <w:color w:val="1F1F1F"/>
        </w:rPr>
        <w:t>(Human Rights Watch, 2023)</w:t>
      </w:r>
      <w:r>
        <w:t>.</w:t>
      </w:r>
    </w:p>
    <w:p w:rsidR="002C65FF" w:rsidRDefault="00B2180F">
      <w:pPr>
        <w:pStyle w:val="a3"/>
        <w:spacing w:line="360" w:lineRule="auto"/>
        <w:ind w:right="159" w:firstLine="720"/>
      </w:pPr>
      <w:r>
        <w:rPr>
          <w:color w:val="1F1F1F"/>
        </w:rPr>
        <w:t>Для більшості населення віросповідання є ключовим маркером ідентичності. І це ускладнює ситуацію. Головним викликом залишається діяльністьтранснаціональнихрадикальнихорганізацій,такихяк«Хізб ут-Тахрір», що просувають ідеї халіфату та демонтажу існуючих кордонів. Радикальні ідеології знаходять відгук серед маргіналізованої молоді, створюючи живильне середовище для вербування бойовиків (Pannier, 2024). Це змушуєдержавирегіонубалансуватиміжвідверторепресивними заходами та спробами інтегрувати «поміркований» іслам у державну ідеологію задля зміцнення власної легітимності.</w:t>
      </w:r>
    </w:p>
    <w:p w:rsidR="002C65FF" w:rsidRDefault="00B2180F">
      <w:pPr>
        <w:pStyle w:val="a3"/>
        <w:spacing w:line="360" w:lineRule="auto"/>
        <w:ind w:right="160" w:firstLine="720"/>
      </w:pPr>
      <w:r>
        <w:rPr>
          <w:color w:val="1F1F1F"/>
        </w:rPr>
        <w:t>Зовнішні актори активно використовують релігійний чинник. Туреччина через інструменти м’якої сили просуває модель поміркованого ісламу,сумісногоздемократієютаринковоюекономікою,щорезонуєз</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7"/>
      </w:pPr>
      <w:r>
        <w:rPr>
          <w:color w:val="1F1F1F"/>
        </w:rPr>
        <w:t>прагненнями місцевих еліт. Натомість ризики експорту радикалізму з Афганістанузалишаютьсячинником,щолегітимізуєзбереженняросійської військової присутності як «гаранта стабільності» (Hoagland, Repass &amp; Wolkov, 2021).</w:t>
      </w:r>
    </w:p>
    <w:p w:rsidR="002C65FF" w:rsidRDefault="00B2180F">
      <w:pPr>
        <w:pStyle w:val="a3"/>
        <w:spacing w:line="360" w:lineRule="auto"/>
        <w:ind w:right="158" w:firstLine="720"/>
      </w:pPr>
      <w:r>
        <w:rPr>
          <w:color w:val="1F1F1F"/>
        </w:rPr>
        <w:t>Цікаво, що місцеві політичні еліти мають саме таку позицію щодо подібних загроз, в першу чергу, і, насамперед, через острах втрати влади і повалення вже усталених політичних режимів. І лише в другу чергу, через реальну загрозу державам та інституційним системам.</w:t>
      </w:r>
    </w:p>
    <w:p w:rsidR="002C65FF" w:rsidRDefault="00B2180F">
      <w:pPr>
        <w:pStyle w:val="a3"/>
        <w:spacing w:line="360" w:lineRule="auto"/>
        <w:ind w:right="159" w:firstLine="720"/>
      </w:pPr>
      <w:r>
        <w:rPr>
          <w:color w:val="1F1F1F"/>
        </w:rPr>
        <w:t>На Південному Кавказі етнонаціоналізм, що заповнив ідеологічний вакуум після розпаду СРСР, став головною мобілізаційною силою, але водночас і перешкодою для регіональної інтеграції.</w:t>
      </w:r>
    </w:p>
    <w:p w:rsidR="002C65FF" w:rsidRDefault="00B2180F">
      <w:pPr>
        <w:pStyle w:val="a3"/>
        <w:spacing w:line="360" w:lineRule="auto"/>
        <w:ind w:right="158" w:firstLine="720"/>
      </w:pPr>
      <w:r>
        <w:rPr>
          <w:color w:val="1F1F1F"/>
        </w:rPr>
        <w:t>Після поразки у Другій Карабахській війні Вірменія переживає травматичну трансформаціюідентичності.Ідеологія«Міацум»(об’єднання земель) зазнала краху, що змусило суспільство та еліти переходити до державоцентричної моделі, орієнтованої на збереження суверенітету в міжнародно визнаних кордонах. Цей процес супроводжується зростанням популізму та пошуком нових безпекових орієнтирів, оскільки сформоване раніше бачення нині не працює (Nikoghosyan &amp; Ter-Matevosyan, 2022).</w:t>
      </w:r>
    </w:p>
    <w:p w:rsidR="002C65FF" w:rsidRDefault="00B2180F">
      <w:pPr>
        <w:pStyle w:val="a3"/>
        <w:spacing w:line="360" w:lineRule="auto"/>
        <w:ind w:right="157" w:firstLine="720"/>
      </w:pPr>
      <w:r>
        <w:rPr>
          <w:color w:val="1F1F1F"/>
        </w:rPr>
        <w:t>В Азербайджані ж перемога у війні і відновлення суверенітету над Карабахомзакріпиламодельсвітськогонаціоналізму,делегітимністьвлади базується на відновленні територіальної цілісності. С. Багіров (2024) вказує, що релігійний чинник тут підпорядкований державним інтересам: іслам розглядається радше як елемент культури, ніж політики.Цедозволяє Баку бути більш гнучким у своїх зовнішньополітичних діях. До прикладу, підтримувати стратегічне партнерство з Ізраїлем та дистанціюватися від сусідньої іранської теократичної моделі.</w:t>
      </w:r>
    </w:p>
    <w:p w:rsidR="002C65FF" w:rsidRDefault="00B2180F">
      <w:pPr>
        <w:pStyle w:val="a3"/>
        <w:tabs>
          <w:tab w:val="left" w:pos="3726"/>
          <w:tab w:val="left" w:pos="6508"/>
          <w:tab w:val="left" w:pos="9097"/>
        </w:tabs>
        <w:spacing w:line="360" w:lineRule="auto"/>
        <w:ind w:right="161" w:firstLine="720"/>
      </w:pPr>
      <w:r>
        <w:rPr>
          <w:color w:val="1F1F1F"/>
        </w:rPr>
        <w:t xml:space="preserve">Політична культура Грузії ж характеризується розколом між </w:t>
      </w:r>
      <w:r>
        <w:rPr>
          <w:color w:val="1F1F1F"/>
          <w:spacing w:val="-2"/>
        </w:rPr>
        <w:t>євроатлантичними</w:t>
      </w:r>
      <w:r>
        <w:rPr>
          <w:color w:val="1F1F1F"/>
        </w:rPr>
        <w:tab/>
      </w:r>
      <w:r>
        <w:rPr>
          <w:color w:val="1F1F1F"/>
          <w:spacing w:val="-2"/>
        </w:rPr>
        <w:t>прагненнями</w:t>
      </w:r>
      <w:r>
        <w:rPr>
          <w:color w:val="1F1F1F"/>
        </w:rPr>
        <w:tab/>
      </w:r>
      <w:r>
        <w:rPr>
          <w:color w:val="1F1F1F"/>
          <w:spacing w:val="-2"/>
        </w:rPr>
        <w:t>суспільства</w:t>
      </w:r>
      <w:r>
        <w:rPr>
          <w:color w:val="1F1F1F"/>
        </w:rPr>
        <w:tab/>
      </w:r>
      <w:r>
        <w:rPr>
          <w:color w:val="1F1F1F"/>
          <w:spacing w:val="-6"/>
        </w:rPr>
        <w:t xml:space="preserve">та </w:t>
      </w:r>
      <w:r>
        <w:rPr>
          <w:color w:val="1F1F1F"/>
        </w:rPr>
        <w:t>консервативно-прагматичним поворотом влади, який ми спостерігаємо на сучасному етапі. Особливу роль посідає Грузинська православна церкваяк</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6"/>
      </w:pPr>
      <w:r>
        <w:rPr>
          <w:color w:val="1F1F1F"/>
        </w:rPr>
        <w:t xml:space="preserve">інститут, що впливає на суспільні настрої та часто виступає провідником традиціоналістських наративів, які можуть резонувати з російською пропагандою, створюючи виклики для прозахідного курсу (Zviadadze, </w:t>
      </w:r>
      <w:r>
        <w:rPr>
          <w:color w:val="1F1F1F"/>
          <w:spacing w:val="-2"/>
        </w:rPr>
        <w:t>2021).</w:t>
      </w:r>
    </w:p>
    <w:p w:rsidR="002C65FF" w:rsidRDefault="002C65FF">
      <w:pPr>
        <w:pStyle w:val="a3"/>
        <w:spacing w:before="161"/>
        <w:ind w:left="0"/>
        <w:jc w:val="left"/>
      </w:pPr>
    </w:p>
    <w:p w:rsidR="002C65FF" w:rsidRDefault="00B2180F">
      <w:pPr>
        <w:pStyle w:val="a3"/>
        <w:spacing w:line="360" w:lineRule="auto"/>
        <w:ind w:right="155" w:firstLine="720"/>
      </w:pPr>
      <w:r>
        <w:rPr>
          <w:color w:val="1F1F1F"/>
        </w:rPr>
        <w:t>Підсумовуючи аналіз стратегій геополітичних акторів, можна стверджувати, що Південний Кавказ та Центральна Азія перебувають у процесі кардинальної перебудови архітектури безпеки. По-перше, спостерігається незворотня ерозія російської гегемонії, яка призвела до утворення геополітичного вакууму. Москва,втрачаючиінструментим’якої сили та економічної привабливості,дедалібільшепокладаєтьсянагібридні загрози та дестабілізацію.</w:t>
      </w:r>
    </w:p>
    <w:p w:rsidR="002C65FF" w:rsidRDefault="00B2180F">
      <w:pPr>
        <w:pStyle w:val="a3"/>
        <w:spacing w:line="360" w:lineRule="auto"/>
        <w:ind w:right="161" w:firstLine="720"/>
      </w:pPr>
      <w:r>
        <w:rPr>
          <w:color w:val="1F1F1F"/>
        </w:rPr>
        <w:t>По-друге, цей вакуум активно заповнюється альтернативними центрами сили.Туреччинауспішнореалізуємодельвійськово-політичного союзництва на Південному Кавказі та культурної інтеграції в Центральній Азії, тоді як Китай закріплює статус економічного домінанта, поступово конвертуючи його у вплив на сферу безпеки.</w:t>
      </w:r>
    </w:p>
    <w:p w:rsidR="002C65FF" w:rsidRDefault="00B2180F">
      <w:pPr>
        <w:pStyle w:val="a3"/>
        <w:spacing w:line="360" w:lineRule="auto"/>
        <w:ind w:right="161" w:firstLine="720"/>
      </w:pPr>
      <w:r>
        <w:rPr>
          <w:color w:val="1F1F1F"/>
        </w:rPr>
        <w:t>По-третє, стратегії Заходу та Ірану набувають підкреслено прагматичного характеру, де ціннісні орієнтири поступаються місцем інтересам енергетичної безпеки та логістики.</w:t>
      </w:r>
    </w:p>
    <w:p w:rsidR="002C65FF" w:rsidRDefault="00B2180F">
      <w:pPr>
        <w:pStyle w:val="a3"/>
        <w:spacing w:line="360" w:lineRule="auto"/>
        <w:ind w:right="156" w:firstLine="720"/>
      </w:pPr>
      <w:r>
        <w:rPr>
          <w:color w:val="1F1F1F"/>
        </w:rPr>
        <w:t>Нарешті, внутрішні соціокультурні чинники – релігія, націоналізм, ідентичність – перестали бути лише фоном подій. Вони перетворилися на активні змінні рівняння безпеки, визначаючи вектор зовнішньої політики держав та ступінь їхньої резистентності до зовнішніх впливів.</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Heading1"/>
      </w:pPr>
      <w:r>
        <w:rPr>
          <w:spacing w:val="-2"/>
        </w:rPr>
        <w:t>РОЗДІЛ</w:t>
      </w:r>
      <w:r>
        <w:rPr>
          <w:spacing w:val="-5"/>
        </w:rPr>
        <w:t>ІІІ</w:t>
      </w:r>
    </w:p>
    <w:p w:rsidR="002C65FF" w:rsidRDefault="00B2180F">
      <w:pPr>
        <w:spacing w:before="161" w:line="360" w:lineRule="auto"/>
        <w:ind w:left="1279" w:right="1149" w:hanging="1"/>
        <w:jc w:val="center"/>
        <w:rPr>
          <w:b/>
          <w:sz w:val="28"/>
        </w:rPr>
      </w:pPr>
      <w:r>
        <w:rPr>
          <w:b/>
          <w:sz w:val="28"/>
        </w:rPr>
        <w:t xml:space="preserve">ТРАНСФОРМАЦІЯ РЕГІОНАЛЬНИХ КОНФЛІКТІВ ТА НОВІ ВИКЛИКИ БЕЗПЕЦІ: </w:t>
      </w:r>
      <w:r>
        <w:rPr>
          <w:b/>
          <w:spacing w:val="-2"/>
          <w:sz w:val="28"/>
        </w:rPr>
        <w:t>ІНФРАСТРУКТУРНИЙТАІДЕОЛОГІЧНИЙВИМІРИ</w:t>
      </w:r>
    </w:p>
    <w:p w:rsidR="002C65FF" w:rsidRDefault="002C65FF">
      <w:pPr>
        <w:pStyle w:val="a3"/>
        <w:spacing w:before="161"/>
        <w:ind w:left="0"/>
        <w:jc w:val="left"/>
        <w:rPr>
          <w:b/>
        </w:rPr>
      </w:pPr>
    </w:p>
    <w:p w:rsidR="002C65FF" w:rsidRDefault="00B2180F">
      <w:pPr>
        <w:pStyle w:val="Heading2"/>
        <w:numPr>
          <w:ilvl w:val="1"/>
          <w:numId w:val="1"/>
        </w:numPr>
        <w:tabs>
          <w:tab w:val="left" w:pos="998"/>
          <w:tab w:val="left" w:pos="2527"/>
          <w:tab w:val="left" w:pos="4755"/>
          <w:tab w:val="left" w:pos="6458"/>
          <w:tab w:val="left" w:pos="6893"/>
          <w:tab w:val="left" w:pos="7753"/>
        </w:tabs>
        <w:spacing w:line="360" w:lineRule="auto"/>
        <w:ind w:right="165"/>
      </w:pPr>
      <w:r>
        <w:rPr>
          <w:spacing w:val="-2"/>
        </w:rPr>
        <w:t>Еволюція</w:t>
      </w:r>
      <w:r>
        <w:tab/>
      </w:r>
      <w:r>
        <w:rPr>
          <w:spacing w:val="-2"/>
        </w:rPr>
        <w:t>«заморожених»</w:t>
      </w:r>
      <w:r>
        <w:tab/>
      </w:r>
      <w:r>
        <w:rPr>
          <w:spacing w:val="-2"/>
        </w:rPr>
        <w:t>конфліктів</w:t>
      </w:r>
      <w:r>
        <w:tab/>
      </w:r>
      <w:r>
        <w:rPr>
          <w:spacing w:val="-10"/>
        </w:rPr>
        <w:t>у</w:t>
      </w:r>
      <w:r>
        <w:tab/>
      </w:r>
      <w:r>
        <w:rPr>
          <w:spacing w:val="-4"/>
        </w:rPr>
        <w:t>фазу</w:t>
      </w:r>
      <w:r>
        <w:tab/>
      </w:r>
      <w:r>
        <w:rPr>
          <w:spacing w:val="-2"/>
        </w:rPr>
        <w:t xml:space="preserve">динамічного </w:t>
      </w:r>
      <w:r>
        <w:t>врегулювання на Південному Кавказі. Пост-карабахський порядок</w:t>
      </w:r>
    </w:p>
    <w:p w:rsidR="002C65FF" w:rsidRDefault="002C65FF">
      <w:pPr>
        <w:pStyle w:val="a3"/>
        <w:spacing w:before="161"/>
        <w:ind w:left="0"/>
        <w:jc w:val="left"/>
        <w:rPr>
          <w:b/>
        </w:rPr>
      </w:pPr>
    </w:p>
    <w:p w:rsidR="002C65FF" w:rsidRDefault="00B2180F">
      <w:pPr>
        <w:pStyle w:val="a3"/>
        <w:spacing w:line="360" w:lineRule="auto"/>
        <w:ind w:right="156" w:firstLine="720"/>
      </w:pPr>
      <w:r>
        <w:rPr>
          <w:color w:val="1F1F1F"/>
        </w:rPr>
        <w:t xml:space="preserve">Зміна безпекового ландшафту Південного Кавказу за останні 5 років стала черговим підтвердженням кризи постбіполярної системи міжнародних відносин на регіональному рівні. Період, що характеризувався станом «ні війни, ні миру» та домінуванням механізмів стримування під егідою Мінської групи ОБСЄ, завершився повним демонтажемстатусу-кво.Назмінупарадигмі«замороженихконфліктів»,де ключовим «стабілізатором» виступала зовнішня монополія РФ, прийшла фаза динамічного й силового переформатування регіональної архітектури. Цей процес, який у фаховій літературі отримав назву «пост-карабахський порядок», характеризується переходом від дипломатії консенсусу до дипломатії примусу та зміною балансу сил на користь тандему </w:t>
      </w:r>
      <w:r>
        <w:rPr>
          <w:color w:val="1F1F1F"/>
          <w:spacing w:val="-2"/>
        </w:rPr>
        <w:t>Азербайджан-Туреччина.</w:t>
      </w:r>
    </w:p>
    <w:p w:rsidR="002C65FF" w:rsidRDefault="00B2180F">
      <w:pPr>
        <w:pStyle w:val="a3"/>
        <w:spacing w:line="360" w:lineRule="auto"/>
        <w:ind w:right="155" w:firstLine="720"/>
      </w:pPr>
      <w:r>
        <w:rPr>
          <w:color w:val="1F1F1F"/>
        </w:rPr>
        <w:t>Звісно, ключовим драйвером змін стала Друга Карабахська війна восени 2020 року та локальні антитерористичні заходи здійснені Азербайджанською Республікою у 2023 році, які призвели до повного відновлення суверенітету Баку над територією Карабаху. Ці події стали кульмінацією у довгограючій і тривалій роботі по розв’язанню цього проблемного і наболілого кейсу. Війна 2020 року не лише змінила фактичну карту регіону, але й зруйнувала міф про незмінність ліній зіткнення, довівши, що в умовах паралічу міжнародного права військова сила залишається вирішальним інструментом відновлення територіальної цілісності (Aydin et al., 2023).</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7" w:firstLine="720"/>
      </w:pPr>
      <w:r>
        <w:rPr>
          <w:color w:val="1F1F1F"/>
        </w:rPr>
        <w:t>КрахМінськоїгрупиОБСЄ,заспівголовуванняРФ,СШАтаФранції, був зумовлений не лише внутрішніми протиріччями між головуючими сторонами, які загострилися після початку повномасштабного вторгнення РФ в Україну, а й фундаментальною зміною підходів регіональнихакторів. Азербайджан, спираючись на економічний ресурс та військово-технічну підтримкуТуреччини,відмовивсявіднав’язаноїззовнімоделі</w:t>
      </w:r>
    </w:p>
    <w:p w:rsidR="002C65FF" w:rsidRDefault="00B2180F">
      <w:pPr>
        <w:pStyle w:val="a3"/>
        <w:spacing w:line="360" w:lineRule="auto"/>
        <w:ind w:right="159"/>
      </w:pPr>
      <w:r>
        <w:rPr>
          <w:color w:val="1F1F1F"/>
        </w:rPr>
        <w:t>«відкладеного статусу» (Huseynov, 2023). Це створило неабиякий прецедент для всього пострадянського простору – вирішення етнополітичного конфлікту можливе без згоди глобальних арбітрів, якщо регіональна держава має достатній потенціал суб’єктності.</w:t>
      </w:r>
    </w:p>
    <w:p w:rsidR="002C65FF" w:rsidRDefault="00B2180F">
      <w:pPr>
        <w:pStyle w:val="a3"/>
        <w:spacing w:line="360" w:lineRule="auto"/>
        <w:ind w:right="155" w:firstLine="720"/>
      </w:pPr>
      <w:r>
        <w:rPr>
          <w:color w:val="1F1F1F"/>
        </w:rPr>
        <w:t>Динаміку цього конфлікту на Південному Кавказі потрібно розглядати у прямійкореляціїзпослабленнямвпливуРосійськоїФедерації. Росія, яка традиційно розглядала регіон як зону своїх привілейованих інтересів та виступала гарантом безпеки Вірменії в рамках ОДКБ, продемонструвала неспроможність виконати союзницькі зобов’язання. Пасивність Москви під час ескалацій 2020-2023 років та виведення російського миротворчого контингенту з Карабаху раніше запланованого терміну стали індикаторами того, що С. Майстер (2024) називає «кінцем російської гегемонії».</w:t>
      </w:r>
    </w:p>
    <w:p w:rsidR="002C65FF" w:rsidRDefault="00B2180F">
      <w:pPr>
        <w:pStyle w:val="a3"/>
        <w:spacing w:line="360" w:lineRule="auto"/>
        <w:ind w:right="155" w:firstLine="720"/>
      </w:pPr>
      <w:r>
        <w:rPr>
          <w:color w:val="1F1F1F"/>
        </w:rPr>
        <w:t>Причини самоусунення РФ є комплексними. По-перше, очевидно, концентраціявійськовихтадипломатичнихресурсівнавійніпротиУкраїни обмежила можливості Москви для проєкції сили на південному фланзі (Wrobel, 2023). І це було вправно використано азербайджанським керівництвом для відновлення територіальної цілісності. По-друге, в умовахзахіднихсанкційпротиРосіїАзербайджанставкритичноважливим партнеромдляРФяктранзитнийхаб,вконтекстіфункціонуваннякоридору</w:t>
      </w:r>
    </w:p>
    <w:p w:rsidR="002C65FF" w:rsidRDefault="00B2180F">
      <w:pPr>
        <w:pStyle w:val="a3"/>
        <w:spacing w:line="360" w:lineRule="auto"/>
        <w:ind w:right="156"/>
      </w:pPr>
      <w:r>
        <w:rPr>
          <w:color w:val="1F1F1F"/>
        </w:rPr>
        <w:t>«Північ-Південь». Це змусило Кремль пожертвувати інтересами свого формальногосоюзника–Вірменії(Авдєєв,2023).Зауважу,щопрокладання подібних транспортних шляхів черезВірменіюнебуломожливим,зогляду наспецифікугірськогорельєфу,відсутністьвиходудоморя(чидо</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6"/>
      </w:pPr>
      <w:r>
        <w:rPr>
          <w:color w:val="1F1F1F"/>
        </w:rPr>
        <w:t>будь-якої іншої водойми масштабу Каспійського моря) та через необхідність залучати до такої співпраці також Грузію (оскільки Вірменія не має прямого кордону з Росією). По-третє, Москва розраховувала, що перехід до тактики керованого хаосу, дозволить зберегти важелі впливу через дестабілізацію внутрішньополітичної ситуації у Вірменії та Грузії, використовуючи гібридні інструменти. А отже, призведе до лояльності з боку акторів регіону, яким буде критично необхідним «суддя» (Binder &amp; Malerius, 2025). Проте такий розрахунок виявився помилковим.</w:t>
      </w:r>
    </w:p>
    <w:p w:rsidR="002C65FF" w:rsidRDefault="00B2180F">
      <w:pPr>
        <w:pStyle w:val="a3"/>
        <w:spacing w:line="360" w:lineRule="auto"/>
        <w:ind w:right="157" w:firstLine="720"/>
      </w:pPr>
      <w:r>
        <w:rPr>
          <w:color w:val="1F1F1F"/>
        </w:rPr>
        <w:t>Туреччинавпершезастоліттяотрималаможливістьрозміщуватисвої військові об’єкти та проводити спільні операції на Кавказі, що фактично нівелює монополію Росії. Для Азербайджануцейальянсставгарантієювід можливогореваншизму,адляТуреччини–інструментомреалізаціїширшої стратегії виходу до Центральної Азії через Зангезурськийкоридор(Махно, 2023). Взаємодія у трикутнику Туреччина-Азербайджан-Пакистан створює нову вісь сили, яка конкурує з традиційною віссю Росія-Іран-Вірменія (Волович, 2020).</w:t>
      </w:r>
    </w:p>
    <w:p w:rsidR="002C65FF" w:rsidRDefault="00B2180F">
      <w:pPr>
        <w:pStyle w:val="a3"/>
        <w:spacing w:line="360" w:lineRule="auto"/>
        <w:ind w:right="163" w:firstLine="720"/>
      </w:pPr>
      <w:r>
        <w:rPr>
          <w:color w:val="1F1F1F"/>
        </w:rPr>
        <w:t>Найбільш драматичних змін зазнала безпекова стратегія Вірменії. Поразка у війні призвели до глибокої кризи ідентичності та перегляду зовнішньополітичнихорієнтирів.Зіткнувшисьз,якВірменіявважає,</w:t>
      </w:r>
    </w:p>
    <w:p w:rsidR="002C65FF" w:rsidRDefault="00B2180F">
      <w:pPr>
        <w:pStyle w:val="a3"/>
        <w:spacing w:line="360" w:lineRule="auto"/>
        <w:ind w:right="160"/>
      </w:pPr>
      <w:r>
        <w:rPr>
          <w:color w:val="1F1F1F"/>
        </w:rPr>
        <w:t>«екзистенційною загрозою» та бездіяльністю ОДКБ, Єреван розпочав процесдиверсифікаціїбезпековихпартнерів.Єспробивійськово-технічного співробітництва з Францією та Індією. Простежуються намагання прийти до нормалізаціївідносинзТуреччиною. Нехай і засобами ad hoc, на кшталт «дипломатії землетрусів», але тим не менш. Однак цей розворот стримується економічною залежністю від РФ (енергоносії, контроль над залізницею та кордонами) та загрозою прямої дестабілізації з боку Москви, яка трактує дії уряду Пашиняна як «зраду» (Nikoghosyan &amp; Ter-Matevosyan, 2022).</w:t>
      </w:r>
    </w:p>
    <w:p w:rsidR="002C65FF" w:rsidRDefault="00B2180F">
      <w:pPr>
        <w:pStyle w:val="a3"/>
        <w:spacing w:line="360" w:lineRule="auto"/>
        <w:ind w:right="156" w:firstLine="720"/>
      </w:pPr>
      <w:r>
        <w:rPr>
          <w:color w:val="1F1F1F"/>
        </w:rPr>
        <w:t>Пост-карабахський порядок змінив порядок денний переговорного процесу.ПитаннястатусуКарабаху,якебулоцентральнимпротягом30</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6"/>
      </w:pPr>
      <w:r>
        <w:rPr>
          <w:color w:val="1F1F1F"/>
        </w:rPr>
        <w:t>років, знято з порядку денного і де-факто, і де-юре. Натомість ключовими стали питання делімітації кордонів та розблокування транспортних комунікацій. І, як не парадоксально, від цього в перспективі виграють всі держави регіону. Однак для Росії та Ірану, звісно, які втрачають вплив в регіоні, такі зміни видаються не надто «райдужними». Навіть, Вірменія, яка, здавалося б, мала б бути «переможеною» і «приниженою» від розблокування регіональних комунікацій отримає лише бенефіти – починаючи від іноземних фінансових потоків і інвестицій в транзитний потенціал та закінчуючи можливістю виходу на ринки сусідніх держав.</w:t>
      </w:r>
    </w:p>
    <w:p w:rsidR="002C65FF" w:rsidRDefault="00B2180F">
      <w:pPr>
        <w:pStyle w:val="a3"/>
        <w:spacing w:line="360" w:lineRule="auto"/>
        <w:ind w:right="156" w:firstLine="720"/>
      </w:pPr>
      <w:r>
        <w:rPr>
          <w:color w:val="1F1F1F"/>
        </w:rPr>
        <w:t xml:space="preserve">Азербайджан просуває концепцію «Зангезурського коридору» – екстериторіального шляху до Нахічеваню. Звісно, реваншистам у Вірменії та Ірану це не до вподоби. Ісламська Республіка Іран розглядає цей проєкт як взагалі загрозу своїм національним інтересам, оскільки він може відрізати Тегеран від Вірменії та посилити турецький вплив (Замікула &amp; Ярмоленко, 2022). До того ж, у разі реалізації проєкту, у Азербайджану не буде необхідності використовувати сухопутний шляхдоНахічеванючерез Іран, що, в свою чергу позбавляє Тегеран серйозного інструментутискуна </w:t>
      </w:r>
      <w:r>
        <w:rPr>
          <w:color w:val="1F1F1F"/>
          <w:spacing w:val="-2"/>
        </w:rPr>
        <w:t>Баку.</w:t>
      </w:r>
    </w:p>
    <w:p w:rsidR="002C65FF" w:rsidRDefault="00B2180F">
      <w:pPr>
        <w:pStyle w:val="a3"/>
        <w:spacing w:line="360" w:lineRule="auto"/>
        <w:ind w:right="156" w:firstLine="720"/>
      </w:pPr>
      <w:r>
        <w:rPr>
          <w:color w:val="1F1F1F"/>
        </w:rPr>
        <w:t>Нині, можна констатувати, ми спостерігаємо перехід від стану замороженої стабільності до динамічної невизначеності з обережним оптимізмом щодо майбутнього. Відбувається зміна самої природи регіонального комплексу безпеки. Моноцентрична система із домінуванням РФ трансформується у біполярну – РФ vs Туреччини або ж, радше, поліцентричну. Право сили тимчасовозатьмарилосилуправа–і,як недивно,цедозволилорегіонувибратисьзтривалогобезпекового</w:t>
      </w:r>
    </w:p>
    <w:p w:rsidR="002C65FF" w:rsidRDefault="00B2180F">
      <w:pPr>
        <w:pStyle w:val="a3"/>
        <w:spacing w:line="360" w:lineRule="auto"/>
        <w:ind w:right="160"/>
      </w:pPr>
      <w:r>
        <w:rPr>
          <w:color w:val="1F1F1F"/>
        </w:rPr>
        <w:t>«застою». Безпека регіону стає невіддільною від глобальних логістичних проєктів, таких як Серединний коридор, що інтернаціоналізує локальні суперечки, а отже змушує сторони шукати компроміс, з огляду на більші можливості з отримання прибутків від подібних ініціатив.</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5" w:firstLine="720"/>
      </w:pPr>
      <w:r>
        <w:rPr>
          <w:color w:val="1F1F1F"/>
        </w:rPr>
        <w:t>Як зазначає С. Слівінські (2025), нова архітектура безпеки Південного Кавказу ще не сформована остаточно, але вона вже точно не буде базуватися на пострадянських інституціях. Регіон вступає в епоху, де суверенітет і безпека визначаються здатністю держав до гнучких альянсів та військової самодостатності.</w:t>
      </w:r>
    </w:p>
    <w:p w:rsidR="002C65FF" w:rsidRDefault="002C65FF">
      <w:pPr>
        <w:pStyle w:val="a3"/>
        <w:spacing w:before="161"/>
        <w:ind w:left="0"/>
        <w:jc w:val="left"/>
      </w:pPr>
    </w:p>
    <w:p w:rsidR="002C65FF" w:rsidRDefault="00B2180F">
      <w:pPr>
        <w:pStyle w:val="Heading2"/>
        <w:numPr>
          <w:ilvl w:val="1"/>
          <w:numId w:val="1"/>
        </w:numPr>
        <w:tabs>
          <w:tab w:val="left" w:pos="860"/>
        </w:tabs>
        <w:spacing w:line="360" w:lineRule="auto"/>
        <w:ind w:right="166"/>
        <w:rPr>
          <w:color w:val="1F1F1F"/>
        </w:rPr>
      </w:pPr>
      <w:r>
        <w:rPr>
          <w:color w:val="1F1F1F"/>
        </w:rPr>
        <w:t>ГрузіявархітектурібезпекиПівденногоКавказутаїїосновнібезпекові виміри</w:t>
      </w:r>
    </w:p>
    <w:p w:rsidR="002C65FF" w:rsidRDefault="002C65FF">
      <w:pPr>
        <w:pStyle w:val="a3"/>
        <w:spacing w:before="161"/>
        <w:ind w:left="0"/>
        <w:jc w:val="left"/>
        <w:rPr>
          <w:b/>
        </w:rPr>
      </w:pPr>
    </w:p>
    <w:p w:rsidR="002C65FF" w:rsidRDefault="00B2180F">
      <w:pPr>
        <w:pStyle w:val="a3"/>
        <w:spacing w:line="360" w:lineRule="auto"/>
        <w:ind w:right="157" w:firstLine="720"/>
      </w:pPr>
      <w:r>
        <w:rPr>
          <w:color w:val="1F1F1F"/>
        </w:rPr>
        <w:t>Грузія посідає особливе місце в системі безпеки ПівденногоКавказу. А тому її варто розглянути окремо. Це одночасно геополітичний вузол, транзитний коридор, без перебільшення, світового значення та держава, чия внутрішня політична стабільність безпосередньо впливає назагальний баланс сил у регіоні. На відміну від Республіки Вірменія та Азербайджанської Республіки, Грузія не є стороною в тому чи іншому активному міждержавному конфлікті з державою регіону, однак залишається об’єктом довготривалого воєнно-політичного тиску з боку Російської Федерації у зв’язку з фактичною окупацією грузинських регіонів – Абхазії та Південної Осетії. Це визначає асиметричний характер її безпеки та формує унікальний набір загроз, що відрізняються від безпекових викликів двох інших держав Південного Кавказу.</w:t>
      </w:r>
    </w:p>
    <w:p w:rsidR="002C65FF" w:rsidRDefault="00B2180F">
      <w:pPr>
        <w:pStyle w:val="a3"/>
        <w:spacing w:line="360" w:lineRule="auto"/>
        <w:ind w:right="159" w:firstLine="720"/>
      </w:pPr>
      <w:r>
        <w:t>Південний Кавказ це компактна субрегіональна одиниця, яка, водночас, є частиною ширших макрорегіональних і трансрегіональних утворень: пострадянського простору, Чорноморського регіону, Євразії. Водночас, варто наголосити, на геополітичній затиснутості між великими акторами – Туреччиною, Росією та Іраном, які історично змагались за контроль / вплив над регіоном, через його стратегічне значення. Саме таке географічне розташування обумовлює багатовекторний характер зовнішньої політики країн регіону, що, своєю чергою, відображається на специфіціінтеграційнихпроцесів.Багатовекторністьзумовленаприродним</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9"/>
      </w:pPr>
      <w:r>
        <w:t xml:space="preserve">бажанням держави вижити. А в умовах Південного Кавказу це завдання виконати значно складніше, у разі якщо держава віддаватиме перевагу одному великому гравцю, при цьому йдучи на відверту і гостру конфронтацію з іншим. І приклад змін політикиГрузіївцьомуконтекстіза останні роки, влучно демонструє істинні причини такої поведінки держав </w:t>
      </w:r>
      <w:r>
        <w:rPr>
          <w:spacing w:val="-2"/>
        </w:rPr>
        <w:t>регіону.</w:t>
      </w:r>
    </w:p>
    <w:p w:rsidR="002C65FF" w:rsidRDefault="00B2180F">
      <w:pPr>
        <w:pStyle w:val="a3"/>
        <w:spacing w:line="360" w:lineRule="auto"/>
        <w:ind w:right="157" w:firstLine="720"/>
      </w:pPr>
      <w:r>
        <w:rPr>
          <w:color w:val="1F1F1F"/>
        </w:rPr>
        <w:t>З одного боку, в контексті трансформації регіонального середовища, спричиненоїпослабленнямросійськоїгегемонії,активізацієюТуреччинита Китаю, а також зміною архітектури транспортно-енергетичних потоків, Грузія намагається підсилити свою суб’єктність. Вона стає ключовим елементом у забезпеченні стабільності Транскаспійського коридору. З іншого боку, внутрішньополітична поляризація і пошук балансу у зовнішній політиці роблять її більш уразливою – і в першу чергу саме від впливу Росії (Авдєєв, 2023).</w:t>
      </w:r>
    </w:p>
    <w:p w:rsidR="002C65FF" w:rsidRDefault="00B2180F">
      <w:pPr>
        <w:pStyle w:val="a3"/>
        <w:spacing w:line="360" w:lineRule="auto"/>
        <w:ind w:right="155" w:firstLine="720"/>
      </w:pPr>
      <w:r>
        <w:rPr>
          <w:color w:val="1F1F1F"/>
        </w:rPr>
        <w:t>НадвохокупованихтериторіяхГрузіїдислокованіросійськівійськові бази. Враховуючи розташування окупованих територій на висотах (фактично, в гірській місцевості),рельєфмісцевостііхарактерлогістичних шляхів за розгортання найгіршого сценарію, а саме в разі вторгнення російських військ на підконтрольну нині Тбілісі територію, є висока ймовірність швидкого захоплення рівнинних територій, у тому числі і столиці. Власне окупація Південної Осетії та Абхазії в 2008 році відбулась так само швидко і блискавично – фактично20%територіїГрузіїбуливзяті під контроль Кремля і підконтрольними йому квазідержавними утвореннями лише за 5 днів.</w:t>
      </w:r>
    </w:p>
    <w:p w:rsidR="002C65FF" w:rsidRDefault="00B2180F">
      <w:pPr>
        <w:pStyle w:val="a3"/>
        <w:spacing w:line="360" w:lineRule="auto"/>
        <w:ind w:right="156" w:firstLine="720"/>
      </w:pPr>
      <w:r>
        <w:rPr>
          <w:color w:val="1F1F1F"/>
        </w:rPr>
        <w:t>Тобто, очевидно, що з військової точки зору,враховуючиабсолютну нерівність сил і засобів Росії і Грузії, силовий сценарій буде нищівним для другої, в усіх сенсах цього слова. Відверта і пряма конфронтація з Москвою останніми роками знизилась. Ба більше, налагодилось більше економічнеспівробітництво,зрісвзаємнийтоварообіг,що,наперший</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6"/>
      </w:pPr>
      <w:r>
        <w:rPr>
          <w:color w:val="1F1F1F"/>
        </w:rPr>
        <w:t>поглядздаєтьсядивнимнафоніросійськогоповномасштабноговторгнення в Україну.</w:t>
      </w:r>
    </w:p>
    <w:p w:rsidR="002C65FF" w:rsidRDefault="00B2180F">
      <w:pPr>
        <w:pStyle w:val="a3"/>
        <w:spacing w:line="360" w:lineRule="auto"/>
        <w:ind w:left="1004" w:right="157"/>
      </w:pPr>
      <w:r>
        <w:rPr>
          <w:color w:val="2D2D2D"/>
        </w:rPr>
        <w:t>Зараз Грузія опинилася на роздоріжжі: з одного боку, влада боїться рухатися шляхом Вірменії, а з іншого – не хоче блокувати свій шлях на Захід. Щодо грузинського суспільства, то воно співчуває Україні, яка воює, аросіянсприймаєякзагарбників–тимбільше,що100тис. потенційних російських «вояків» втекли до цієї країни. (Махно,</w:t>
      </w:r>
      <w:r>
        <w:rPr>
          <w:color w:val="2D2D2D"/>
          <w:spacing w:val="-2"/>
        </w:rPr>
        <w:t>2023)</w:t>
      </w:r>
    </w:p>
    <w:p w:rsidR="002C65FF" w:rsidRDefault="00B2180F">
      <w:pPr>
        <w:pStyle w:val="a3"/>
        <w:spacing w:line="360" w:lineRule="auto"/>
        <w:ind w:right="154" w:firstLine="720"/>
      </w:pPr>
      <w:r>
        <w:rPr>
          <w:color w:val="2D2D2D"/>
        </w:rPr>
        <w:t xml:space="preserve">Отже, з однієї сторони, Грузія розуміє «who is who» і дії Росії щодо України та інших пострадянських держав для неї виглядають експансіоністськими. З іншої сторони, йти навідвертуескалацію,себто,на пряме засудження дій РФ, означатиме проявити готовність до опору. А такої готовності немає. Отже, на думку грузинського (досить проросійського) керівництва єдиний шлях виживання лежить у балансуванні і в очікуванні моменту коли Росія втратить вплив на Кавказі остаточно. </w:t>
      </w:r>
      <w:r>
        <w:rPr>
          <w:color w:val="1F1F1F"/>
        </w:rPr>
        <w:t>Потенційне послаблення російської військової присутності у Південній Осетії та Абхазії здатне змінити статус-кво.</w:t>
      </w:r>
    </w:p>
    <w:p w:rsidR="002C65FF" w:rsidRDefault="00B2180F">
      <w:pPr>
        <w:pStyle w:val="a3"/>
        <w:spacing w:line="360" w:lineRule="auto"/>
        <w:ind w:right="160" w:firstLine="720"/>
      </w:pPr>
      <w:r>
        <w:t>Грузія не проявляє ініціативи щодо підсилення «регіональності» Південного Кавказу, з огляду на внутрішньополітичний дискурс і зосередження на протидії власним загрозам. Обмеженість фінансових, політичних і дипломатичних ресурсів також не дозволяють Грузії виступати в ролі «стягуючого»регіончинника.Дотогож,уразіактивізації таких зусиль, Грузія може втратити ті переваги, які вона зараз має від двосторонньої співпраці з кожною державою регіону окремо. Плюс – невідомо до чого саме можуть призвести такі зусилля і є острахпогіршення відносин з однією або з обома сторонами, що спричинить не лише «не підсилення» регіону, а й турбулентність для вже наявних з Грузією форм співпраці.</w:t>
      </w:r>
    </w:p>
    <w:p w:rsidR="002C65FF" w:rsidRDefault="00B2180F">
      <w:pPr>
        <w:pStyle w:val="a3"/>
        <w:spacing w:line="360" w:lineRule="auto"/>
        <w:ind w:right="160" w:firstLine="720"/>
      </w:pPr>
      <w:r>
        <w:rPr>
          <w:color w:val="1F1F1F"/>
        </w:rPr>
        <w:t>Грузія виконує роль центрального транзитного вузла Південного Кавказу,безякогонеможливефункціонуванняключовихміжнародних</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9"/>
      </w:pPr>
      <w:r>
        <w:rPr>
          <w:color w:val="1F1F1F"/>
        </w:rPr>
        <w:t>логістичних маршрутів. На її території проходять вже згадані раніше найважливіші регіональні енергетичні та транспортні коридори: нафтопровід Баку-Тбілісі-Джейхан, Південний газовий коридор, залізниця Баку-Тбілісі-Карс, а також порти Батумі та Поті. Успіх Серединного коридору поки залежить від стабільності в Грузії, оскільки альтернатива у вигляді Зангезурського коридору поки не готова і не функціонує.</w:t>
      </w:r>
    </w:p>
    <w:p w:rsidR="002C65FF" w:rsidRDefault="00B2180F">
      <w:pPr>
        <w:pStyle w:val="a3"/>
        <w:spacing w:line="360" w:lineRule="auto"/>
        <w:ind w:right="155" w:firstLine="720"/>
      </w:pPr>
      <w:r>
        <w:rPr>
          <w:color w:val="1F1F1F"/>
        </w:rPr>
        <w:t>Грузинська внутрішня політика характеризується високим ступенем конкуренції між прозахідними та консервативно-традиціоналістськими групами. Значна частина населення підтримує курс на ЄС та НАТО, що проявляється у масових протестах на захист євроінтеграційного вектора. Однак, російські інформаційні наративи та інструменти м’якої сили намагаються зміцнити антизахідні настрої, використовуючи релігійний чинник, соціальну поляризацію та критичні оцінки проєвропейських реформ (</w:t>
      </w:r>
      <w:r>
        <w:rPr>
          <w:color w:val="1B1B1C"/>
        </w:rPr>
        <w:t>Giuashvili, 2025</w:t>
      </w:r>
      <w:r>
        <w:rPr>
          <w:color w:val="1F1F1F"/>
        </w:rPr>
        <w:t>).</w:t>
      </w:r>
    </w:p>
    <w:p w:rsidR="002C65FF" w:rsidRDefault="00B2180F">
      <w:pPr>
        <w:pStyle w:val="a3"/>
        <w:spacing w:line="360" w:lineRule="auto"/>
        <w:ind w:right="154" w:firstLine="720"/>
      </w:pPr>
      <w:r>
        <w:rPr>
          <w:color w:val="1F1F1F"/>
        </w:rPr>
        <w:t xml:space="preserve">Підсумовуючи, слід зазначити, що місце Грузії в архітектурі безпеки Південного Кавказу визначається складною діалектикою її транзитного потенціалу та екзистенційної вразливості перед Російською Федерацією. На відміну від інших держав регіону, Грузія стикається з асиметричними безпековими викликами: відсутність активних міждержавних конфліктів нівелюється частковою окупацією території та прямою військовою присутністю РФ, що суттєво обмежує маневреність зовнішньої політики </w:t>
      </w:r>
      <w:r>
        <w:rPr>
          <w:color w:val="1F1F1F"/>
          <w:spacing w:val="-2"/>
        </w:rPr>
        <w:t>Тбілісі.</w:t>
      </w:r>
    </w:p>
    <w:p w:rsidR="002C65FF" w:rsidRDefault="00B2180F">
      <w:pPr>
        <w:pStyle w:val="a3"/>
        <w:spacing w:line="360" w:lineRule="auto"/>
        <w:ind w:right="156" w:firstLine="720"/>
      </w:pPr>
      <w:r>
        <w:rPr>
          <w:color w:val="1F1F1F"/>
        </w:rPr>
        <w:t>УрегіональномувиміріГрузіявиконуєрольпокибезальтернативного транспортно-енергетичного хабу, необхідного для функціонування макрорегіональних коридорів, що забезпечує їй стратегічну вагу та економічні дивіденди. Водночас внутрішньополітична напруженість та необхідністьбалансуванняміжєвроатлантичноюінтеграцієюі</w:t>
      </w:r>
    </w:p>
    <w:p w:rsidR="002C65FF" w:rsidRDefault="00B2180F">
      <w:pPr>
        <w:pStyle w:val="a3"/>
        <w:spacing w:line="360" w:lineRule="auto"/>
        <w:ind w:right="156"/>
      </w:pPr>
      <w:r>
        <w:rPr>
          <w:color w:val="1F1F1F"/>
        </w:rPr>
        <w:t>«недратуванням» Москви змушують державу зосереджуватися на стратегії виживання, а не на лідерстві у регіональній консолідації. Таким чином, Грузіязалишаєтьсяключовим,аленайбільшкрихкимелементом</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63"/>
      </w:pPr>
      <w:r>
        <w:rPr>
          <w:color w:val="1F1F1F"/>
        </w:rPr>
        <w:t>південнокавказької безпекової системи, стабільність якого є індикатором безпеки всього регіону.</w:t>
      </w:r>
    </w:p>
    <w:p w:rsidR="002C65FF" w:rsidRDefault="002C65FF">
      <w:pPr>
        <w:pStyle w:val="a3"/>
        <w:spacing w:before="161"/>
        <w:ind w:left="0"/>
        <w:jc w:val="left"/>
      </w:pPr>
    </w:p>
    <w:p w:rsidR="002C65FF" w:rsidRDefault="00B2180F">
      <w:pPr>
        <w:pStyle w:val="Heading2"/>
        <w:numPr>
          <w:ilvl w:val="1"/>
          <w:numId w:val="1"/>
        </w:numPr>
        <w:tabs>
          <w:tab w:val="left" w:pos="965"/>
        </w:tabs>
        <w:spacing w:line="360" w:lineRule="auto"/>
        <w:ind w:right="156"/>
        <w:jc w:val="both"/>
      </w:pPr>
      <w:r>
        <w:t>Конфліктогенний потенціал Центральної Азії. Прикордонні суперечки у Ферганській долині, водний дефіцит та загрозарелігійного екстремізму</w:t>
      </w:r>
    </w:p>
    <w:p w:rsidR="002C65FF" w:rsidRDefault="002C65FF">
      <w:pPr>
        <w:pStyle w:val="a3"/>
        <w:spacing w:before="161"/>
        <w:ind w:left="0"/>
        <w:jc w:val="left"/>
        <w:rPr>
          <w:b/>
        </w:rPr>
      </w:pPr>
    </w:p>
    <w:p w:rsidR="002C65FF" w:rsidRDefault="00B2180F">
      <w:pPr>
        <w:pStyle w:val="a3"/>
        <w:spacing w:line="360" w:lineRule="auto"/>
        <w:ind w:right="158" w:firstLine="720"/>
      </w:pPr>
      <w:r>
        <w:rPr>
          <w:color w:val="1F1F1F"/>
        </w:rPr>
        <w:t>Формування безпекового ландшафту Центральної Азії відбувається під тиском комплексу внутрішніх вразливостей, які на тлі зовнішніх глобальних змін набувають критичного значення. На відміну від Південного Кавказу, де домінує класична геополітична конфронтація за території із залученням зовнішніх патронів, центральноазійський регіональний комплекс безпеки характеризується переплетенням ресурсних, демографічних та ідеологічних викликів. Епіцентром цієї багатовимірної нестабільності виступає Ферганська долина – унікальний географічний та етнокультурний ареал, розділений між Узбекистаном, КиргизстаномтаТаджикистаном.Високащільністьнаселення,</w:t>
      </w:r>
    </w:p>
    <w:p w:rsidR="002C65FF" w:rsidRDefault="00B2180F">
      <w:pPr>
        <w:pStyle w:val="a3"/>
        <w:spacing w:line="360" w:lineRule="auto"/>
        <w:ind w:right="155"/>
      </w:pPr>
      <w:r>
        <w:rPr>
          <w:color w:val="1F1F1F"/>
        </w:rPr>
        <w:t>«клаптикова», себто, фрагментована карта етнічногорозселеннятагострий дефіцит земельно-водних ресурсів перетворюють цю зону на потенційний детонатор для всього регіону, що дає підстави визначати її як «порохову діжку» Євразії (Волохов, 2019).</w:t>
      </w:r>
    </w:p>
    <w:p w:rsidR="002C65FF" w:rsidRDefault="00B2180F">
      <w:pPr>
        <w:pStyle w:val="a3"/>
        <w:spacing w:line="360" w:lineRule="auto"/>
        <w:ind w:right="155" w:firstLine="720"/>
      </w:pPr>
      <w:r>
        <w:rPr>
          <w:color w:val="1F1F1F"/>
        </w:rPr>
        <w:t>Фундаментальною причиною конфліктогенності залишається штучність адміністративних кордонів, накреслених у ранній радянський період без урахування локальних господарських укладів та етнічної географії. Ця тяжка спадщина призвела до утворення численних анклавів (територій однієї держави, повністю оточених територією іншої), серед яких найбільш проблемними є таджицький Ворух та узбецькі Сох і Шахімардан, розташовані всередині Киргизстану. Блокування транспортних коридорів, що з’єднують анклави з «материнськими» державами,атакожсуперечкиза доступ до пасовищ і джерел води, яких і</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61"/>
      </w:pPr>
      <w:r>
        <w:rPr>
          <w:color w:val="1F1F1F"/>
        </w:rPr>
        <w:t>так обмаль, регулярно провокують локальні зіткнення, які мають тенденцію до швидкої ескалації.</w:t>
      </w:r>
    </w:p>
    <w:p w:rsidR="002C65FF" w:rsidRDefault="00B2180F">
      <w:pPr>
        <w:pStyle w:val="a3"/>
        <w:spacing w:line="360" w:lineRule="auto"/>
        <w:ind w:right="155" w:firstLine="720"/>
      </w:pPr>
      <w:r>
        <w:rPr>
          <w:color w:val="1F1F1F"/>
        </w:rPr>
        <w:t>Події 2021-2022 років на киргизько-таджицькому кордоні стали поворотним моментом в історії регіональних конфліктів. Суперечка навколо водорозподільного пункту «Головний» переросла у повномасштабні бойові дії із застосуванням важкої артилерії,мінометівта, вперше в історії регіону, ударних безпілотних літальних апаратів. Відсутністьдієвихмеханізмівстримуванняпризводить,щотого,що</w:t>
      </w:r>
    </w:p>
    <w:p w:rsidR="002C65FF" w:rsidRDefault="00B2180F">
      <w:pPr>
        <w:pStyle w:val="a3"/>
        <w:spacing w:line="360" w:lineRule="auto"/>
        <w:ind w:right="160"/>
      </w:pPr>
      <w:r>
        <w:rPr>
          <w:color w:val="1F1F1F"/>
        </w:rPr>
        <w:t>«побутовий конфлікт» може миттєво трансформуватися у міждержавну війну (Pannier, 2024).</w:t>
      </w:r>
    </w:p>
    <w:p w:rsidR="002C65FF" w:rsidRDefault="00B2180F">
      <w:pPr>
        <w:pStyle w:val="a3"/>
        <w:spacing w:line="360" w:lineRule="auto"/>
        <w:ind w:right="154" w:firstLine="720"/>
      </w:pPr>
      <w:r>
        <w:rPr>
          <w:color w:val="1F1F1F"/>
        </w:rPr>
        <w:t>Однакперіод2023-2025роківознаменувавсясуттєвимипозитивними змінами від силового тиску до інтенсивної дипломатії. Усвідомлюючи ризики дестабілізації в умовах послаблення ролі ОДКБ як безпекового гаранта, лідери країн регіону активізували двосторонні переговори – без посередників. І процес зрушив в здоровому напрямку.</w:t>
      </w:r>
    </w:p>
    <w:p w:rsidR="002C65FF" w:rsidRDefault="00B2180F">
      <w:pPr>
        <w:pStyle w:val="a3"/>
        <w:spacing w:line="360" w:lineRule="auto"/>
        <w:ind w:right="155" w:firstLine="720"/>
      </w:pPr>
      <w:r>
        <w:rPr>
          <w:color w:val="1F1F1F"/>
        </w:rPr>
        <w:t>Завершення процесуделімітаціїузбецько-киргизькогокордонустало історичним прецедентом, який довів можливість мирного вирішення територіальних спорів через взаємні поступки (обмін територіями, спільне управління водними ресурсами). Переговори між Бішкеком і Душанбе також зрушили з мертвої точки, проте питання статусу анклаву Ворух залишається поки невирішеним. Таджицька сторона розглядає будь-які територіальні поступки як загрозу національній гордості, тоді як Киргизстан наполягає на обміні земель для ліквідації анклаву.</w:t>
      </w:r>
    </w:p>
    <w:p w:rsidR="002C65FF" w:rsidRDefault="00B2180F">
      <w:pPr>
        <w:pStyle w:val="a3"/>
        <w:spacing w:line="360" w:lineRule="auto"/>
        <w:ind w:right="155" w:firstLine="720"/>
      </w:pPr>
      <w:r>
        <w:rPr>
          <w:color w:val="1F1F1F"/>
        </w:rPr>
        <w:t>Цікаво провести паралель між мирними процесами на Південному Кавказі і в Центральній Азії – і там, і там десятиліттями була присутня Росія як «гарант безпеки», як «безальтернативний посередник», як актор, який «забезпечує стабільність» врегіонах.ОднаквобохкейсахвідхідРосії як «миротворця» і при цьому незалучення інших зовнішніх акторів, наприклад, ЄС і США тощо,продемонструвавсвоюефективність.Длявсіх сталозрозуміло,що,виявляється,можнадомовитисьі у двосторонньому</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6"/>
      </w:pPr>
      <w:r>
        <w:rPr>
          <w:color w:val="1F1F1F"/>
        </w:rPr>
        <w:t>форматі – без посередників задачею яких, як стало з часомзрозуміло,було утримання регіонів у стані фіктивної напруженості, а не вирішення і розв’язання фундаментальних корінних причин конфліктів.</w:t>
      </w:r>
    </w:p>
    <w:p w:rsidR="002C65FF" w:rsidRDefault="00B2180F">
      <w:pPr>
        <w:pStyle w:val="a3"/>
        <w:spacing w:line="360" w:lineRule="auto"/>
        <w:ind w:right="156" w:firstLine="720"/>
      </w:pPr>
      <w:r>
        <w:rPr>
          <w:color w:val="1F1F1F"/>
        </w:rPr>
        <w:t>Можна говорити про намагання наростити суб’єктність центральноазійських держав. Є спроби вирішувати свої проблеми без залучення зовнішніх арбітрів, зокрема Росії, яка традиційно використовувалаприкордонніконфліктиякінструментпринципу«розділяй і володарюй» для збереження свого впливу в регіоні.</w:t>
      </w:r>
    </w:p>
    <w:p w:rsidR="002C65FF" w:rsidRDefault="00B2180F">
      <w:pPr>
        <w:pStyle w:val="a3"/>
        <w:spacing w:line="360" w:lineRule="auto"/>
        <w:ind w:right="163" w:firstLine="720"/>
      </w:pPr>
      <w:r>
        <w:rPr>
          <w:color w:val="1F1F1F"/>
        </w:rPr>
        <w:t>Однак, російська присутність в регіоні поки ще занадто сильна для того, щоб говорити про абсолютну відмову від Кремля (Пойта, 2023).</w:t>
      </w:r>
    </w:p>
    <w:p w:rsidR="002C65FF" w:rsidRDefault="00B2180F">
      <w:pPr>
        <w:pStyle w:val="a3"/>
        <w:spacing w:line="360" w:lineRule="auto"/>
        <w:ind w:right="156" w:firstLine="720"/>
      </w:pPr>
      <w:r>
        <w:rPr>
          <w:color w:val="1F1F1F"/>
        </w:rPr>
        <w:t>Яквжебулонаведеновище,проблемакордонівнерозривнопов’язана з питанням водокористування, яке набуває характеру екзистенційної загрози. Регіон стикається з гострим водним дефіцитом, зумовленим кліматичнимизмінами(прискоренетаненняльодовиківПаміруі Тянь-Шаню) та застарілою іригаційною інфраструктурою. Структурний конфлікт інтересів між країнами верхів’я(Киргизстан, Таджикистан), які прагнуть контролювати стік річок для гідроенергетики, зокрема в межах проєктів ГЕС Камбар-Ата-1 та Рогунської ГЕС, та країнами пониззя (Узбекистан, Казахстан), залежними від води для аграрного сектору, залишається невирішеним (Stronski &amp; Ng, 2018).</w:t>
      </w:r>
    </w:p>
    <w:p w:rsidR="002C65FF" w:rsidRDefault="00B2180F">
      <w:pPr>
        <w:pStyle w:val="a3"/>
        <w:spacing w:line="360" w:lineRule="auto"/>
        <w:ind w:right="155" w:firstLine="720"/>
      </w:pPr>
      <w:r>
        <w:rPr>
          <w:color w:val="1F1F1F"/>
        </w:rPr>
        <w:t>Новим, вкрай дестабілізуючим чинником стало одностороннє будівництво талібами гігантського каналу Кош-Тепа на півночі Афганістану. Після введення в експлуатацію цей канал може відбирати до 20-25% стоку річки Амудар’я. Для Узбекистану та Туркменістану це означає катастрофічний дефіцит води, що загрожує знищенням цілих галузей сільського господарства (зокрема бавовництва) та гуманітарною кризою в Приараллі. Ситуація ускладнюється тим, що Афганістан не є підписантом міжнародних конвенцій щодо транскордонних річок, а режим</w:t>
      </w:r>
    </w:p>
    <w:p w:rsidR="002C65FF" w:rsidRDefault="00B2180F">
      <w:pPr>
        <w:pStyle w:val="a3"/>
        <w:spacing w:line="360" w:lineRule="auto"/>
        <w:ind w:right="164"/>
      </w:pPr>
      <w:r>
        <w:rPr>
          <w:color w:val="1F1F1F"/>
        </w:rPr>
        <w:t>«Талібану» фактично ігнорує дипломатичні занепокоєння сусідів, використовуючиводнепитанняякважільполітичногошантажу.Іце</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60"/>
      </w:pPr>
      <w:r>
        <w:rPr>
          <w:color w:val="1F1F1F"/>
        </w:rPr>
        <w:t>створює серйозний ризик того, що майбутні конфлікти та протистояння в регіоні можуть вестися не за території, а за водні ресурси.</w:t>
      </w:r>
    </w:p>
    <w:p w:rsidR="002C65FF" w:rsidRDefault="00B2180F">
      <w:pPr>
        <w:pStyle w:val="a3"/>
        <w:spacing w:line="360" w:lineRule="auto"/>
        <w:ind w:right="155" w:firstLine="720"/>
      </w:pPr>
      <w:r>
        <w:rPr>
          <w:color w:val="1F1F1F"/>
        </w:rPr>
        <w:t>Щодо релігійного екстремізму… В умовах соціально-економічної нерівності, високого безробіття серед молоді та корупції в державних інституціях, ісламський фундаменталізм стає привабливою альтернативою для частини населення. Організації на кшталт «Хізб ут-Тахрір», які проповідуютьідеюпобудовивсесвітньогохаліфатутадемонтажусвітських національних держав, зберігають свій підпільний вплив, незважаючи на протидію урядів держав регіону (Heriansyah &amp; Rofii, 2023). Державні стратегії протидії релігійному екстремізму в країнах регіону суттєво відрізняються. Таджикистан реалізує модель «жорсткого секуляризму». ПіслязаборониПартіїісламськоговідродженняу2015роцідержава де-факто перейшла до тотального контролю релігійної сфери. Заборона на носіння хіджабів у державних установах впроваджена в червні 2024 році, гоління борід за визначеним стандартом та масові арешти за підозрою в екстремізмі заганяють релігійну опозицію в глибоке підпілля, що парадоксально сприяє її радикалізації (Pannier, 2024). Узбекистан за часів президента Шавката Мірзійоєва обрав курс на «контрольовану лібералізацію». Влада намагається інтегрувати поміркований іслам у державну ідеологію, відкриваючи нові релігійні центри та реабілітуючи частину засуджених за релігійними статтями. Однак, як зазначають правозахисники, законодавство все ще дозволяє переслідувати громадянза</w:t>
      </w:r>
    </w:p>
    <w:p w:rsidR="002C65FF" w:rsidRDefault="00B2180F">
      <w:pPr>
        <w:pStyle w:val="a3"/>
        <w:spacing w:line="360" w:lineRule="auto"/>
        <w:ind w:right="156"/>
      </w:pPr>
      <w:r>
        <w:rPr>
          <w:color w:val="1F1F1F"/>
        </w:rPr>
        <w:t>«надмірну релігійність» або несанкціоноване релігійне навчання (Human Rights Watch, 2023). Киргизстан, маючи репутацію найбільш ліберальної країни регіону, зіткнувся з проблемою хаотичного поширення нетрадиційних течій (зокрема, рухів «Якин Інкар» та «Таблігі Джамаат»). Влада намагається балансувати між збереженням релігійних свобод та необхідністю контролю, однак слабкість державних інститутів робить країну вразливою для інфільтрації радикальних ідей (Кійомпур, 2014).</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5" w:firstLine="720"/>
      </w:pPr>
      <w:r>
        <w:rPr>
          <w:color w:val="1F1F1F"/>
        </w:rPr>
        <w:t>Загалом керівництво держав центральноазійського регіону релігійну тематику зводить у власних політиках до концепції поміркованого ісламу. Оскільки політизація ісламу, в контексті політичної активності релігійних спільнот, може призвести до дестабілізації країн регіону, а найключовіше для місцевих політичних еліт, ймовірної зміни політичного режиму із відповідним заміщенням діючого керівництва держав.</w:t>
      </w:r>
    </w:p>
    <w:p w:rsidR="002C65FF" w:rsidRDefault="00B2180F">
      <w:pPr>
        <w:pStyle w:val="a3"/>
        <w:spacing w:line="360" w:lineRule="auto"/>
        <w:ind w:right="155" w:firstLine="720"/>
      </w:pPr>
      <w:r>
        <w:rPr>
          <w:color w:val="1F1F1F"/>
        </w:rPr>
        <w:t xml:space="preserve">Не можна не згадати й загрозу тероризму. І в цьому контексті, сусідство регіону з Афганістаном викликає додаткові ризики. Діяльність терористичних угруповувань, особливо в північних провінціях Афганістану, де базуються «Вілаят Хорасан» (філія «Ісламської держави») та «Джамаат Ансарулла» («таджицькі таліби») та які складаються переважно з етнічних вихідців із Центральної Азії, є деструктивним та дестабілізуючим для центральноазійського регіону чинником. Їхня мета – перенесення джихаду на територію країн регіону для повалення світських </w:t>
      </w:r>
      <w:r>
        <w:rPr>
          <w:color w:val="1F1F1F"/>
          <w:spacing w:val="-2"/>
        </w:rPr>
        <w:t>режимів.</w:t>
      </w:r>
    </w:p>
    <w:p w:rsidR="002C65FF" w:rsidRDefault="00B2180F">
      <w:pPr>
        <w:pStyle w:val="a3"/>
        <w:spacing w:line="360" w:lineRule="auto"/>
        <w:ind w:right="155" w:firstLine="720"/>
      </w:pPr>
      <w:r>
        <w:rPr>
          <w:color w:val="1F1F1F"/>
        </w:rPr>
        <w:t xml:space="preserve">Теракт у «Крокус Сіті Холі» у Підмосков’ї у березні 2024 року, виконавцями якого були громадяни Таджикистану, підсвітив проблему вразливості центральноазійських діаспор у Росії перед пропагандою радикальних рухів. Соціальна маргіналізація, ксенофобія та правова незахищеність мігрантів у РФ створюють ідеальне середовище для </w:t>
      </w:r>
      <w:r>
        <w:rPr>
          <w:color w:val="1F1F1F"/>
          <w:spacing w:val="-2"/>
        </w:rPr>
        <w:t>вербувальників.</w:t>
      </w:r>
    </w:p>
    <w:p w:rsidR="002C65FF" w:rsidRDefault="00B2180F">
      <w:pPr>
        <w:pStyle w:val="a3"/>
        <w:spacing w:line="360" w:lineRule="auto"/>
        <w:ind w:right="157" w:firstLine="720"/>
      </w:pPr>
      <w:r>
        <w:rPr>
          <w:color w:val="1F1F1F"/>
        </w:rPr>
        <w:t>Повернення радикалізованих мігрантів додому, разом із можливим проривом бойовиків з Афганістану, розглядається як один із найгірших сценаріїв для регіональної безпеки (Hoagland, Repass &amp; Wolkov, 2021).</w:t>
      </w:r>
    </w:p>
    <w:p w:rsidR="002C65FF" w:rsidRDefault="00B2180F">
      <w:pPr>
        <w:pStyle w:val="a3"/>
        <w:spacing w:line="360" w:lineRule="auto"/>
        <w:ind w:right="159" w:firstLine="720"/>
      </w:pPr>
      <w:r>
        <w:rPr>
          <w:color w:val="1F1F1F"/>
        </w:rPr>
        <w:t>Підсумовуючи цей блок, можна стверджувати, що конфліктогенний потенціал Центральної Азії формується на перетині трьох кризових ліній: географічної, екологічної і ідеологічної. Незавершеність делімітації кордонів та боротьба за ресурси у Ферганській долині; незворотні зміни клімату та водна агресія з боку Афганістану; криза світських моделей управліннятазростанняпопулярностірадикальногоісламуякформи</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67"/>
      </w:pPr>
      <w:r>
        <w:rPr>
          <w:color w:val="1F1F1F"/>
        </w:rPr>
        <w:t>соціального протесту – все це докорінно впливає на ймовірність появи нових точок протистоянь, у тому числі і військових, в регіоні.</w:t>
      </w:r>
    </w:p>
    <w:p w:rsidR="002C65FF" w:rsidRDefault="00B2180F">
      <w:pPr>
        <w:pStyle w:val="a3"/>
        <w:spacing w:line="360" w:lineRule="auto"/>
        <w:ind w:right="158" w:firstLine="720"/>
      </w:pPr>
      <w:r>
        <w:rPr>
          <w:color w:val="1F1F1F"/>
        </w:rPr>
        <w:t>І хоча держави регіону демонструють здатність до ситуативної кооперації, наприклад, у форматі Консультативних зустрічей лідерів Центральної Азії, відсутність єдиної, власно напрацьованої регіональної системи безпеки і зовнішні загрози з боку РФ та Афганістану, роблять Центральну Азію досить вразливою.</w:t>
      </w:r>
    </w:p>
    <w:p w:rsidR="002C65FF" w:rsidRDefault="002C65FF">
      <w:pPr>
        <w:pStyle w:val="a3"/>
        <w:spacing w:before="161"/>
        <w:ind w:left="0"/>
        <w:jc w:val="left"/>
      </w:pPr>
    </w:p>
    <w:p w:rsidR="002C65FF" w:rsidRDefault="00B2180F">
      <w:pPr>
        <w:pStyle w:val="Heading2"/>
        <w:numPr>
          <w:ilvl w:val="1"/>
          <w:numId w:val="1"/>
        </w:numPr>
        <w:tabs>
          <w:tab w:val="left" w:pos="800"/>
        </w:tabs>
        <w:spacing w:line="360" w:lineRule="auto"/>
        <w:ind w:right="166"/>
        <w:rPr>
          <w:color w:val="1F1F1F"/>
        </w:rPr>
      </w:pPr>
      <w:r>
        <w:rPr>
          <w:color w:val="1F1F1F"/>
        </w:rPr>
        <w:t xml:space="preserve">Стратегічні транспортні маршрути та їхній вплив на регіональну </w:t>
      </w:r>
      <w:r>
        <w:rPr>
          <w:color w:val="1F1F1F"/>
          <w:spacing w:val="-2"/>
        </w:rPr>
        <w:t>стабільність</w:t>
      </w:r>
    </w:p>
    <w:p w:rsidR="002C65FF" w:rsidRDefault="002C65FF">
      <w:pPr>
        <w:pStyle w:val="a3"/>
        <w:spacing w:before="161"/>
        <w:ind w:left="0"/>
        <w:jc w:val="left"/>
        <w:rPr>
          <w:b/>
        </w:rPr>
      </w:pPr>
    </w:p>
    <w:p w:rsidR="002C65FF" w:rsidRDefault="00B2180F">
      <w:pPr>
        <w:pStyle w:val="a3"/>
        <w:spacing w:line="360" w:lineRule="auto"/>
        <w:ind w:right="156" w:firstLine="720"/>
      </w:pPr>
      <w:r>
        <w:rPr>
          <w:color w:val="1F1F1F"/>
        </w:rPr>
        <w:t>На сучасному етапі, формування архітектури безпеки на Південному Кавказі та у Центральній Азії, на відміну від попередніх етапів, дедалі активніше визначається не лише динамікою міждержавних конфліктів, але й розвитком інфраструктурних та геоекономічних проєктів, які дають нам підстави говорити про кардинальні зміни в регіональному ландшафті. І в цьому контексті необхідно детальніше розглянути транспортні маршрути, транскаспійські логістичні вузли, енергетичні мережі та комунікації. Можна ствердно сказати, що нині вони перетворились з другорядного економічного чинника на стратегічний інструмент перерозподілу сили на регіональному, а для глобальних гравців і на глобальному рівнях.</w:t>
      </w:r>
    </w:p>
    <w:p w:rsidR="002C65FF" w:rsidRDefault="00B2180F">
      <w:pPr>
        <w:pStyle w:val="a3"/>
        <w:spacing w:line="360" w:lineRule="auto"/>
        <w:ind w:right="156" w:firstLine="720"/>
      </w:pPr>
      <w:r>
        <w:rPr>
          <w:color w:val="1F1F1F"/>
        </w:rPr>
        <w:t>Одним із найпомітніших і важливих проєктів є, вже згадуваний раніше, Серединний (Транскаспійський міжнародний) транспортний коридор, який після 2022 року фактично перетворився на головний альтернативний маршрут для торгівлі між Китаєм, Центральною Азією та Європою, оминаючи РФ. Регіони, які ще нещодавно розглядалися як периферійні, нині опинилися у центрі глобальних торговельних шляхів, і це прямо впливає на їхню безпекову поведінку (Гусейнов, 2025;Cornell, 1999).КазахстантаАзербайджан,порізніберегиКаспію,виконують</w:t>
      </w:r>
      <w:r>
        <w:rPr>
          <w:color w:val="1F1F1F"/>
          <w:spacing w:val="-4"/>
        </w:rPr>
        <w:t>роль</w:t>
      </w:r>
    </w:p>
    <w:p w:rsidR="002C65FF" w:rsidRDefault="00B2180F">
      <w:pPr>
        <w:pStyle w:val="a3"/>
      </w:pPr>
      <w:r>
        <w:rPr>
          <w:color w:val="1F1F1F"/>
        </w:rPr>
        <w:t>«зв’язківців»міжрегіонамитаглобальнимисвітовимитранспортними</w:t>
      </w:r>
      <w:r>
        <w:rPr>
          <w:color w:val="1F1F1F"/>
          <w:spacing w:val="-10"/>
        </w:rPr>
        <w:t>і</w:t>
      </w:r>
    </w:p>
    <w:p w:rsidR="002C65FF" w:rsidRDefault="002C65FF">
      <w:pPr>
        <w:pStyle w:val="a3"/>
        <w:sectPr w:rsidR="002C65FF">
          <w:pgSz w:w="11920" w:h="16840"/>
          <w:pgMar w:top="1040" w:right="708" w:bottom="280" w:left="1700" w:header="732" w:footer="0" w:gutter="0"/>
          <w:cols w:space="720"/>
        </w:sectPr>
      </w:pPr>
    </w:p>
    <w:p w:rsidR="002C65FF" w:rsidRDefault="00B2180F">
      <w:pPr>
        <w:pStyle w:val="a3"/>
        <w:spacing w:before="78" w:line="360" w:lineRule="auto"/>
        <w:ind w:right="160"/>
      </w:pPr>
      <w:r>
        <w:rPr>
          <w:color w:val="1F1F1F"/>
        </w:rPr>
        <w:t>торговельними потоками. Відбувається стрімке зростання ролі Казахстану як каспійського хабу, зокрема реконструкція порту Актау в 2015 році, до речі із допомогою з китайської сторони. Азербайджан, в свою чергу, ледь нещорокурозширюєтериторіювласнихпортівтапортовоїінфраструктури та оновлює матеріально-технічну базу в них.</w:t>
      </w:r>
    </w:p>
    <w:p w:rsidR="002C65FF" w:rsidRDefault="00B2180F">
      <w:pPr>
        <w:pStyle w:val="a3"/>
        <w:spacing w:line="360" w:lineRule="auto"/>
        <w:ind w:right="154" w:firstLine="720"/>
      </w:pPr>
      <w:r>
        <w:rPr>
          <w:color w:val="1F1F1F"/>
        </w:rPr>
        <w:t>Наявність таких комунікацій стимулює кооперацію між Південним Кавказом та Центральною Азією. Проте, водночас це й миттєво загострює політичну конкуренцію між великими зовнішніми гравцями, оскільки в умовах неспроможності Росії бути надійним (в усіх сенсах цього слова) партнером, їм доводиться шукати альтернативні коридори. А Туреччина, Китай, Європейський Союз та Іран намагаються використовувати інфраструктурні проєкти як інструменти політичного впливу.</w:t>
      </w:r>
    </w:p>
    <w:p w:rsidR="002C65FF" w:rsidRDefault="00B2180F">
      <w:pPr>
        <w:pStyle w:val="a3"/>
        <w:spacing w:line="360" w:lineRule="auto"/>
        <w:ind w:right="155" w:firstLine="720"/>
      </w:pPr>
      <w:r>
        <w:rPr>
          <w:color w:val="1F1F1F"/>
        </w:rPr>
        <w:t>Туреччина, спираючись на стратегічний союз з Азербайджаном, розвиваєконцепттранскаспійськогопростору,щомаєнелишеекономічне, але й, очевидно, ідеологічне підґрунтя – ідею тюркської інтеграції, яку Анкара інституціалізує в межах Організації тюркських держав (Волович, 2020). Однак реалізація таких прагнень неможлива в повній мірі без Зангезурськогокоридору.Йдетьсянепростопройогорозблокування,апро створення належної транспортної інфраструктури там взагалі, оскільки після розпаду Радянського Союзу ця територія абсолютно жодним чином інфраструктурно не розвивалась. В цьому контексті домовленостідосягнуті між Вірменією та Азербайджаном в 2025 році, скріплені зустріччю лідерів у Вашингтоні за посередництва Сполучених Штатів Америки 8 серпня 2025 року і парафуванням відповідних документів є нічим іншим як намаганням налагодити ключову транспортну артерію. Однак поки бачення сторін щодо технічноїреалізації та подальшого функціонування цього коридору (під чиїм контролем, за чиї фінанситощо) дещо відрізняється, щопризводитьдозатягуванняпроцесу.Проте,важливе взагалі розблокування процесу переговорів по цьому питанню. До того ж,</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63"/>
      </w:pPr>
      <w:r>
        <w:rPr>
          <w:color w:val="1F1F1F"/>
        </w:rPr>
        <w:t xml:space="preserve">цей трек не може бути окремим і відірваним від мирного процесу між </w:t>
      </w:r>
      <w:r>
        <w:rPr>
          <w:color w:val="1F1F1F"/>
          <w:spacing w:val="-2"/>
        </w:rPr>
        <w:t>державами.</w:t>
      </w:r>
    </w:p>
    <w:p w:rsidR="002C65FF" w:rsidRDefault="00B2180F">
      <w:pPr>
        <w:pStyle w:val="a3"/>
        <w:spacing w:line="360" w:lineRule="auto"/>
        <w:ind w:right="155" w:firstLine="720"/>
      </w:pPr>
      <w:r>
        <w:rPr>
          <w:color w:val="1F1F1F"/>
        </w:rPr>
        <w:t>Китай, хоча й є де-факто головним економічним бенефіціаром стабільності транскаспійського маршруту, діє максимально обережно, уникаючи втягування в конфлікти та безпекові дилеми регіонів. Як підкреслюють П. Стронскі та Н. Нг (2018), Пекін свідомо дистанціюється від ролі військово-політичного гаранта, обмежуючи свою діяльність приватними інвестиціями та інфраструктурними кредитами. Якщо порівнювати включеність Китаю в міжрегіональні транспортні стратегічні проєкти то все ж більшу увагу, і фінансову, і політичну, Китай приділяє Центральній Азії. Воно і зрозуміло оскільки Китай безпосередньо межує з державами Центральної Азії та історія їхніх відносин значно глибша і довша. Проте останнім часом Пекін шукає виходи і наПівденнийКавказ.І цей процес абсолютно взаємний. Яскравим прикладом цього є нещодавнє впровадження безвізового режиму для короткотривалих поїздок громадян Китайської Народної Республіки та Азербайджанської Республіки.</w:t>
      </w:r>
    </w:p>
    <w:p w:rsidR="002C65FF" w:rsidRDefault="00B2180F">
      <w:pPr>
        <w:pStyle w:val="a3"/>
        <w:spacing w:line="360" w:lineRule="auto"/>
        <w:ind w:right="157" w:firstLine="720"/>
      </w:pPr>
      <w:r>
        <w:rPr>
          <w:color w:val="1F1F1F"/>
        </w:rPr>
        <w:t>Натомість Європейський Союз активізував свій інтерес до транспортних ініціатив регіонів, розглядаючи їх як засіб диверсифікації енергетичних потоків і транспортних маршрутів, а також як механізм мінімізації залежності від РФ (Sliwinski, 2025). Але тут європейським державамдужеважкознайтибалансіодразувибудуватистійку,однозначно прагматичну і економічно вигідну позицію. Справа в тому, що ставлення європейських держав до політичних режимів в Центральній Азії та на ПівденномуКавказіє,м’якокажучи,обережним.Занадтоявне</w:t>
      </w:r>
    </w:p>
    <w:p w:rsidR="002C65FF" w:rsidRDefault="00B2180F">
      <w:pPr>
        <w:pStyle w:val="a3"/>
        <w:spacing w:line="360" w:lineRule="auto"/>
        <w:ind w:right="158"/>
      </w:pPr>
      <w:r>
        <w:rPr>
          <w:color w:val="1F1F1F"/>
        </w:rPr>
        <w:t>«задобрювання», нехай навіть з благою прагматичною, економічно вигідною ціллю, може сприйматися європейськими спільнотами як наявність подвійних стандартів, в контексті питань захисту прав людини, свободи слова, наявності і розвитку громадянського суспільства і так далі.</w:t>
      </w:r>
    </w:p>
    <w:p w:rsidR="002C65FF" w:rsidRDefault="00B2180F">
      <w:pPr>
        <w:pStyle w:val="a3"/>
        <w:spacing w:line="360" w:lineRule="auto"/>
        <w:ind w:right="160" w:firstLine="720"/>
      </w:pPr>
      <w:r>
        <w:rPr>
          <w:color w:val="1F1F1F"/>
        </w:rPr>
        <w:t>І виникає реальна дилема. З одного боку, цілком обґрунтована і зрозуміланеобхідністьповноїітотальноївідмовивідспівробітництваз</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5"/>
      </w:pPr>
      <w:r>
        <w:rPr>
          <w:color w:val="1F1F1F"/>
        </w:rPr>
        <w:t>Росією – через вторгнення в Україну і загрози Росії всій європейській безпеці. З іншого боку, необхідність йти на певні компроміси з власними поглядами, судженнями, «совістю» в контексті співробітництва з державами Центральної Азії та Південного Кавказу. І вирішальним в цій дилемі, як не дивно, стає Китай. Китайська, абсолютно прагматичнамодель поведінки, поширює цей прагматизм й на іншихакторів,якіхочуть мати справу з Пекіном. В КНР розуміють, що торгівля з Європою через Росію неможлива станом на зараз, а отже «вихід» потрібно шукати південніше. Близький Схід є занадто конфліктогенним; відсутні напрацьовані цілісні єдині транспортні маршрути і коридори (навіть теоретично); значно більша відстань між КНР та ЄС. Це змушує і Пекін, і Європу дивитися десьпосередині–міжпівніччюіпівднемпоглядпадаєна Центральну Азію і Південний Кавказ. Усвідомлюючи, що особливо альтернативи та й немає, Пекін це дуже вправно використовує (</w:t>
      </w:r>
      <w:r>
        <w:t>Peyrouse, 2015</w:t>
      </w:r>
      <w:r>
        <w:rPr>
          <w:color w:val="1F1F1F"/>
        </w:rPr>
        <w:t xml:space="preserve">). Європа в свою чергу вимушена робити фактично вибір без вибору. Але попри наявність цієї дилеми – всі від неї у виграші, окрім Росії, </w:t>
      </w:r>
      <w:r>
        <w:rPr>
          <w:color w:val="1F1F1F"/>
          <w:spacing w:val="-2"/>
        </w:rPr>
        <w:t>звичайно.</w:t>
      </w:r>
    </w:p>
    <w:p w:rsidR="002C65FF" w:rsidRDefault="00B2180F">
      <w:pPr>
        <w:pStyle w:val="a3"/>
        <w:spacing w:line="360" w:lineRule="auto"/>
        <w:ind w:right="155" w:firstLine="720"/>
      </w:pPr>
      <w:r>
        <w:rPr>
          <w:color w:val="1F1F1F"/>
        </w:rPr>
        <w:t>Іран, навпаки, сприймає нові транскаспійські мережі як загрозу власним інтересам. Посилення позицій інших акторів й напрацювання стратегічних транспортних маршрутів без залучення Ірану, суттєво звужує маневрове поле Тегерана (Замікула &amp; Ярмоленко, 2022). Саме тому Іран періодичнозастосовуєвійськово-політичнісигнали(зокрема,навчаннябіля кордонів з державами регіонів). Поки не доводиться говорити про те, що Іран, якимось чином, в тому числі й військовим, намагається всерйоз ескалювати ситуацію довкола регіонів, оскільки політичний, медійний економічний вплив на Центральну Азію та Південний Кавказ перебувають на мінімальному рівні. Плюс є інші безпекові пріоритети у контексті протистояння з Ізраїлем. Ситуативне співробітництво з Росією для Тегерану видається ледь не єдиним способом зберегти хоча б якусь роль у новому економічному та транспортному порядку.</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5" w:firstLine="720"/>
      </w:pPr>
      <w:r>
        <w:rPr>
          <w:color w:val="1F1F1F"/>
        </w:rPr>
        <w:t>І таке співробітництво відбувається не з великої любові Тегерану до Кремля чи навпаки. Справа у відсутності інших акторів, крім РФ, якімали б хоча б якийсь вплив в Центральній Азії і на Кавказі та які були б готові йти на співпрацю з Іраном. Тегеран влучно використовує ізольованість Кремля і російсько-українська війна йому в цьому сильно допомагає.</w:t>
      </w:r>
    </w:p>
    <w:p w:rsidR="002C65FF" w:rsidRDefault="00B2180F">
      <w:pPr>
        <w:pStyle w:val="a3"/>
        <w:tabs>
          <w:tab w:val="left" w:pos="2414"/>
          <w:tab w:val="left" w:pos="4451"/>
          <w:tab w:val="left" w:pos="5840"/>
          <w:tab w:val="left" w:pos="8258"/>
        </w:tabs>
        <w:spacing w:line="360" w:lineRule="auto"/>
        <w:ind w:right="156" w:firstLine="720"/>
      </w:pPr>
      <w:r>
        <w:rPr>
          <w:color w:val="1F1F1F"/>
        </w:rPr>
        <w:t xml:space="preserve">Для Узбекистану (який мало того, що не має виходу до моря, так ще й оточений з усіх боків тільки державами, що теж не мають виходу до моря), Казахстану (найбільшою за територією державою регіонів), Киргизстану і Таджикистану нові транспортні коридори виступають способом зменшити залежність від російської транспортноїінфраструктури й одночасно – інструментом регіонального посередництва. </w:t>
      </w:r>
      <w:r>
        <w:rPr>
          <w:color w:val="1F1F1F"/>
          <w:spacing w:val="-2"/>
        </w:rPr>
        <w:t>Особливе</w:t>
      </w:r>
      <w:r>
        <w:rPr>
          <w:color w:val="1F1F1F"/>
        </w:rPr>
        <w:tab/>
      </w:r>
      <w:r>
        <w:rPr>
          <w:color w:val="1F1F1F"/>
          <w:spacing w:val="-2"/>
        </w:rPr>
        <w:t>значення</w:t>
      </w:r>
      <w:r>
        <w:rPr>
          <w:color w:val="1F1F1F"/>
        </w:rPr>
        <w:tab/>
      </w:r>
      <w:r>
        <w:rPr>
          <w:color w:val="1F1F1F"/>
          <w:spacing w:val="-4"/>
        </w:rPr>
        <w:t>має</w:t>
      </w:r>
      <w:r>
        <w:rPr>
          <w:color w:val="1F1F1F"/>
        </w:rPr>
        <w:tab/>
      </w:r>
      <w:r>
        <w:rPr>
          <w:color w:val="1F1F1F"/>
          <w:spacing w:val="-2"/>
        </w:rPr>
        <w:t>будівництво</w:t>
      </w:r>
      <w:r>
        <w:rPr>
          <w:color w:val="1F1F1F"/>
        </w:rPr>
        <w:tab/>
      </w:r>
      <w:r>
        <w:rPr>
          <w:color w:val="1F1F1F"/>
          <w:spacing w:val="-2"/>
        </w:rPr>
        <w:t xml:space="preserve">залізниці </w:t>
      </w:r>
      <w:r>
        <w:rPr>
          <w:color w:val="1F1F1F"/>
        </w:rPr>
        <w:t>Китай-Киргизстан-Узбекистан, яке здатне розвантажити Ферганську долину та стимулювати розвиток прикордонних територій, зменшуючи конфліктогенні чинники, пов’язані з доступом до ресурсів.</w:t>
      </w:r>
    </w:p>
    <w:p w:rsidR="002C65FF" w:rsidRDefault="00B2180F">
      <w:pPr>
        <w:pStyle w:val="a3"/>
        <w:spacing w:line="360" w:lineRule="auto"/>
        <w:ind w:right="155" w:firstLine="720"/>
      </w:pPr>
      <w:r>
        <w:rPr>
          <w:color w:val="1F1F1F"/>
        </w:rPr>
        <w:t>Що стосується Туркменістану, то цілковита залежність від Москви, яка пов’язана, в першу чергу, з абсолютним контролем над надрами з боку Кремля, не дозволяє Туркменістану проявляти достатньо суб’єктності в контексті розбудови міжнародних транспортних коридорів. А подібні ініціативи пішли б на користь Ашгабату. Протяжна берегова лінія вздовж Каспійського моря могла б послужити виходом в Європу. Звісно, через Азербайджан і Туреччину, однак, очевидно, що в Баку і в Анкарі це сприйняли б охоче. Можливість експортувати до Європи через Каспій свої енергетичні ресурси могла б значною мірою диверсифікувати залежність Туркменістану від Росії. Однак, туркменське керівництво не погоджується – на подібні ініціативи відповідає досить мляво і неохоче.</w:t>
      </w:r>
    </w:p>
    <w:p w:rsidR="002C65FF" w:rsidRDefault="00B2180F">
      <w:pPr>
        <w:pStyle w:val="a3"/>
        <w:spacing w:line="360" w:lineRule="auto"/>
        <w:ind w:right="159" w:firstLine="720"/>
      </w:pPr>
      <w:r>
        <w:rPr>
          <w:color w:val="1F1F1F"/>
        </w:rPr>
        <w:t>Інфраструктура може бути й інструментом примусу. Блокування дорігдоанклавівуФерганськійдолинінеодноразововикористовувалосяяк спосібполітичноготискусторіноднанаодну.Азакритість</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60"/>
      </w:pPr>
      <w:r>
        <w:rPr>
          <w:color w:val="1F1F1F"/>
        </w:rPr>
        <w:t>вірмено-турецького і вірмено-азербайджанськогокордонівзмусилашукати альтернативи через Грузію.</w:t>
      </w:r>
    </w:p>
    <w:p w:rsidR="002C65FF" w:rsidRDefault="00B2180F">
      <w:pPr>
        <w:pStyle w:val="a3"/>
        <w:spacing w:line="360" w:lineRule="auto"/>
        <w:ind w:right="155" w:firstLine="720"/>
      </w:pPr>
      <w:r>
        <w:rPr>
          <w:color w:val="1F1F1F"/>
        </w:rPr>
        <w:t>Важливо підкреслити, що сучасні інфраструктурні процеси в досліджуваних регіонах не просто модернізують транспортні мережі, а й інституціоналізують нові формати взаємодії держав, які раніше були роз’єднаними або перебували в різних політичних орбітах. Активізація співпраці між зацікавленими акторами (насамперед, Азербайджаном, Казахстаном та Узбекистаном) створила основу для формування не тільки транспортного,алейбезпековогопоясу,якийохоплюєобидварегіони.Таке зближення сприяє формуванню «м’якої регіоналізації», де безпекова інтеграція відбувається не через договори чи альянси, а через інфраструктурну необхідність.</w:t>
      </w:r>
    </w:p>
    <w:p w:rsidR="002C65FF" w:rsidRDefault="00B2180F">
      <w:pPr>
        <w:pStyle w:val="a3"/>
        <w:spacing w:line="360" w:lineRule="auto"/>
        <w:ind w:right="158" w:firstLine="720"/>
      </w:pPr>
      <w:r>
        <w:rPr>
          <w:color w:val="1F1F1F"/>
        </w:rPr>
        <w:t xml:space="preserve">Ключовим наслідком інфраструктурної інтеграції є зростання суб’єктності регіональних держав. Звісно, це стосується тих, хто до цього готовий. А як доводить, згаданий вище, приклад Туркменістану, бажання присутнє не завжди. На Південному Кавказі більше не спираються на російські миротворчі механізми (Aydin et al., 2023). У Центральній Азії останніми роками, принаймні почали, розглядати альтернативи такі як Китай і власна суб’єктна регіональна співпраця – з тим же Південним </w:t>
      </w:r>
      <w:r>
        <w:rPr>
          <w:color w:val="1F1F1F"/>
          <w:spacing w:val="-2"/>
        </w:rPr>
        <w:t>Кавказом.</w:t>
      </w:r>
    </w:p>
    <w:p w:rsidR="002C65FF" w:rsidRDefault="00B2180F">
      <w:pPr>
        <w:pStyle w:val="a3"/>
        <w:spacing w:line="360" w:lineRule="auto"/>
        <w:ind w:right="156" w:firstLine="720"/>
      </w:pPr>
      <w:r>
        <w:rPr>
          <w:color w:val="1F1F1F"/>
        </w:rPr>
        <w:t>Розбудова вже наявних і створення новихстратегічнихтранспортних міжнародних коридорів і маршрутів енергетичних поставок Південного Кавказу та Центральної Азії підсилюватимутьсуб’єктністьдержаврегіонів і сприятимуть «регіоналізації» регіонів – себто, посиленню регіональної інтеграції без участі зовнішніх гегемонів, таких як Росія. ДоляСерединного коридору, ефективність транскаспійських маршрутів, відкриттяабоподальшеблокуванняЗангезурськогокоридору,модернізація портів Актау, Курик та Алят – усе це визначатиме, чи рухатимуться два регіони до інтеграційного сценарію, чи зануряться у дестабілізацію або інерційність.Інфраструктураперестаєбутилишешляхомпереміщення</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64"/>
        <w:jc w:val="left"/>
      </w:pPr>
      <w:r>
        <w:rPr>
          <w:color w:val="1F1F1F"/>
        </w:rPr>
        <w:t xml:space="preserve">товарів – вона стає каркасом нової регіональної системи безпеки для обох </w:t>
      </w:r>
      <w:r>
        <w:rPr>
          <w:color w:val="1F1F1F"/>
          <w:spacing w:val="-2"/>
        </w:rPr>
        <w:t>регіонів.</w:t>
      </w:r>
    </w:p>
    <w:p w:rsidR="002C65FF" w:rsidRDefault="002C65FF">
      <w:pPr>
        <w:pStyle w:val="a3"/>
        <w:spacing w:before="161"/>
        <w:ind w:left="0"/>
        <w:jc w:val="left"/>
      </w:pPr>
    </w:p>
    <w:p w:rsidR="002C65FF" w:rsidRDefault="00B2180F">
      <w:pPr>
        <w:pStyle w:val="Heading2"/>
        <w:numPr>
          <w:ilvl w:val="1"/>
          <w:numId w:val="1"/>
        </w:numPr>
        <w:tabs>
          <w:tab w:val="left" w:pos="1130"/>
        </w:tabs>
        <w:spacing w:line="360" w:lineRule="auto"/>
        <w:ind w:right="164"/>
        <w:jc w:val="both"/>
        <w:rPr>
          <w:color w:val="1F1F1F"/>
        </w:rPr>
      </w:pPr>
      <w:r>
        <w:rPr>
          <w:color w:val="1F1F1F"/>
        </w:rPr>
        <w:t xml:space="preserve">Перспективи формування нової архітектури безпеки: порівняльнийаналізсценаріївдляПівденногоКавказутаЦентральної </w:t>
      </w:r>
      <w:r>
        <w:rPr>
          <w:color w:val="1F1F1F"/>
          <w:spacing w:val="-4"/>
        </w:rPr>
        <w:t>Азії</w:t>
      </w:r>
    </w:p>
    <w:p w:rsidR="002C65FF" w:rsidRDefault="002C65FF">
      <w:pPr>
        <w:pStyle w:val="a3"/>
        <w:spacing w:before="161"/>
        <w:ind w:left="0"/>
        <w:jc w:val="left"/>
        <w:rPr>
          <w:b/>
        </w:rPr>
      </w:pPr>
    </w:p>
    <w:p w:rsidR="002C65FF" w:rsidRDefault="00B2180F">
      <w:pPr>
        <w:pStyle w:val="a3"/>
        <w:spacing w:line="360" w:lineRule="auto"/>
        <w:ind w:right="155" w:firstLine="720"/>
      </w:pPr>
      <w:r>
        <w:rPr>
          <w:color w:val="1F1F1F"/>
        </w:rPr>
        <w:t>Узагальнюючи аналіз трансформації конфліктів на Південному Кавказі та в Центральній Азії, проведений у попередніх підрозділах, доцільно перейти до моделювання ймовірних сценаріїв розвитку безпекового середовища. Якщо раніше ці два регіони розглядалися як окремі, хоча й суміжні «регіональні комплекси безпеки» (за термінологією Б. Бузана),тосучаснігеополітичніреалії–зокремапослабленнявпливуРФ та активізація регіональних економічних проєктів, на кшталт Серединного коридору, створюють передумови для їхньої безпекової конвергенції.</w:t>
      </w:r>
    </w:p>
    <w:p w:rsidR="002C65FF" w:rsidRDefault="00B2180F">
      <w:pPr>
        <w:pStyle w:val="a3"/>
        <w:spacing w:line="360" w:lineRule="auto"/>
        <w:ind w:right="158" w:firstLine="720"/>
      </w:pPr>
      <w:r>
        <w:rPr>
          <w:color w:val="1F1F1F"/>
        </w:rPr>
        <w:t>Ключовимчинником,щовизначатимемайбутнюархітектурубезпеки в обох регіонах, є здатність держав трансформувати свою геополітичну суб’єктність з площини ситуативного реагування на загрози у площину довгострокового стратегічного планування. На основі опрацьованих джерел і здійсненого дослідження можу виокремити три основні ймовірні сценарії розвитку ситуації: інерційний (консервація напруги), дестабілізаційний (реваншизм та хаос) та інтеграційний (формування транскаспійського безпекового простору).</w:t>
      </w:r>
    </w:p>
    <w:p w:rsidR="002C65FF" w:rsidRDefault="00B2180F">
      <w:pPr>
        <w:pStyle w:val="a3"/>
        <w:ind w:left="1004"/>
      </w:pPr>
      <w:r>
        <w:rPr>
          <w:color w:val="1F1F1F"/>
        </w:rPr>
        <w:t>Розглянемокожензсценаріїв</w:t>
      </w:r>
      <w:r>
        <w:rPr>
          <w:color w:val="1F1F1F"/>
          <w:spacing w:val="-2"/>
        </w:rPr>
        <w:t>детальніше.</w:t>
      </w:r>
    </w:p>
    <w:p w:rsidR="002C65FF" w:rsidRDefault="00B2180F">
      <w:pPr>
        <w:pStyle w:val="a3"/>
        <w:spacing w:before="161" w:line="360" w:lineRule="auto"/>
        <w:ind w:right="157" w:firstLine="720"/>
      </w:pPr>
      <w:r>
        <w:rPr>
          <w:color w:val="1F1F1F"/>
        </w:rPr>
        <w:t>Інерційний сценарій характеризується наявністю елементів фрагментованої стабільності. Цей сценарій передбачає збереження поточного статусу-кво, де Росія,поприпослабленняресурсногопотенціалу внаслідок війни проти України, зберігає достатньо важелів для блокування остаточного виходу регіонів зі своєї орбіти. В Центральній Азії це означатимепродовженняполітики«багатовекторності»,якаде-факто</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5"/>
      </w:pPr>
      <w:r>
        <w:rPr>
          <w:color w:val="1F1F1F"/>
        </w:rPr>
        <w:t xml:space="preserve">перетворюється на маневрування між Москвою, Пекіном та Анкарою без створення стійких оборонних альянсів.ЯкзазначаютьП.СтронскітаН.Нг (2018), така ситуація влаштовує Китай, який віддає перевагу економічній експансії без прийняттянасебезобов’язаньгарантабезпеки(увійськовому </w:t>
      </w:r>
      <w:r>
        <w:rPr>
          <w:color w:val="1F1F1F"/>
          <w:spacing w:val="-2"/>
        </w:rPr>
        <w:t>сенсі).</w:t>
      </w:r>
    </w:p>
    <w:p w:rsidR="002C65FF" w:rsidRDefault="00B2180F">
      <w:pPr>
        <w:pStyle w:val="a3"/>
        <w:spacing w:line="360" w:lineRule="auto"/>
        <w:ind w:right="155" w:firstLine="720"/>
      </w:pPr>
      <w:r>
        <w:rPr>
          <w:color w:val="1F1F1F"/>
        </w:rPr>
        <w:t>ДляПівденногоКавказуінерційнийсценарійозначатимезатягування процесу підписання мирної угоди між Азербайджаном та Вірменією. Попри фактичне вирішення карабахського питання військовим шляхом, відсутність юридичної фіксації кордонів та наявність деструктивних акторів, зокрема Ірану та реваншистських кіл у Вірменії, зберігатиме високий рівень мілітаризації регіону (Aydin et al., 2023). В цьому варіанті Зангезурський коридор може залишатися заблокованим, що гальмуватиме повноцінну інтеграцію транспортних систем двох регіонів.</w:t>
      </w:r>
    </w:p>
    <w:p w:rsidR="002C65FF" w:rsidRDefault="00B2180F">
      <w:pPr>
        <w:pStyle w:val="a3"/>
        <w:spacing w:line="360" w:lineRule="auto"/>
        <w:ind w:right="157" w:firstLine="720"/>
      </w:pPr>
      <w:r>
        <w:rPr>
          <w:color w:val="1F1F1F"/>
        </w:rPr>
        <w:t>Ризик реалізації другого, дестабілізаційного сценарію безпосередньо корелює зі ступенем деградації російської державності або, навпаки, спробою Кремля різко відновити контроль силовими методами. Для Центральної Азії критичними точками вразливості залишаються Ферганська долина та кордон з Афганістаном. Як підкреслюють Б. Пан’єр (2024) активізація радикальних ісламських рухів може бути використана зовнішніми гравцями для делегітимізації світських урядів. У разі виникнення внутрішніх криз, існує ймовірність застосування механізмів ОДКБ не для захисту, а для окупації або політичного перевороту, що поверне регіон до стану жорсткої залежності від Москви.</w:t>
      </w:r>
    </w:p>
    <w:p w:rsidR="002C65FF" w:rsidRDefault="00B2180F">
      <w:pPr>
        <w:pStyle w:val="a3"/>
        <w:spacing w:line="360" w:lineRule="auto"/>
        <w:ind w:right="157" w:firstLine="720"/>
      </w:pPr>
      <w:r>
        <w:rPr>
          <w:color w:val="1F1F1F"/>
        </w:rPr>
        <w:t>На Південному Кавказі дестабілізація може бути спровокована спробою Ірану втрутитися у процес налагодження та розгортання нових комунікацій, що Тегеран розглядає як загрозу своїм національним інтересам (Замікула &amp; Ярмоленко, 2022).</w:t>
      </w:r>
    </w:p>
    <w:p w:rsidR="002C65FF" w:rsidRDefault="00B2180F">
      <w:pPr>
        <w:pStyle w:val="a3"/>
        <w:spacing w:line="360" w:lineRule="auto"/>
        <w:ind w:right="161" w:firstLine="720"/>
      </w:pPr>
      <w:r>
        <w:rPr>
          <w:color w:val="1F1F1F"/>
        </w:rPr>
        <w:t>Третій, інтеграційний сценарій є найбільш оптимістичним і передбачає посилення ролі «середніх держав» у формуванні нової системи безпеки, незалежної від колишніхметрополій.Йогореалізаціябазуєтьсяна</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60"/>
      </w:pPr>
      <w:r>
        <w:rPr>
          <w:color w:val="1F1F1F"/>
        </w:rPr>
        <w:t>зближенніекономічнихтабезпековихінтересівнавколоТранскаспійського міжнародного транспортного маршруту.</w:t>
      </w:r>
    </w:p>
    <w:p w:rsidR="002C65FF" w:rsidRDefault="00B2180F">
      <w:pPr>
        <w:pStyle w:val="a3"/>
        <w:ind w:left="1004"/>
      </w:pPr>
      <w:r>
        <w:rPr>
          <w:color w:val="1F1F1F"/>
        </w:rPr>
        <w:t>ЯкслушнозауважуєМ.Майстер(2024),виникає</w:t>
      </w:r>
      <w:r>
        <w:rPr>
          <w:color w:val="1F1F1F"/>
          <w:spacing w:val="-2"/>
        </w:rPr>
        <w:t>новий</w:t>
      </w:r>
    </w:p>
    <w:p w:rsidR="002C65FF" w:rsidRDefault="00B2180F">
      <w:pPr>
        <w:pStyle w:val="a3"/>
        <w:spacing w:before="161" w:line="360" w:lineRule="auto"/>
        <w:ind w:right="162"/>
      </w:pPr>
      <w:r>
        <w:rPr>
          <w:color w:val="1F1F1F"/>
        </w:rPr>
        <w:t>«трансакційний порядок», де енергетика та логістика стають драйверами політичного зближення. У цьому контексті характер відносин між Туреччиною та Азербайджаном може розглядатися як модельна угода, принципи якої можуть бути масштабовані на східний берег Каспію через механізми Організації тюркських держав (Волохов, 2020).</w:t>
      </w:r>
    </w:p>
    <w:p w:rsidR="002C65FF" w:rsidRDefault="00B2180F">
      <w:pPr>
        <w:pStyle w:val="a3"/>
        <w:spacing w:line="360" w:lineRule="auto"/>
        <w:ind w:right="155" w:firstLine="720"/>
      </w:pPr>
      <w:r>
        <w:rPr>
          <w:color w:val="1F1F1F"/>
        </w:rPr>
        <w:t>Посилення військово-технічного співробітництва країн Центральної Азії з Туреччиною, а також прагматична позиція Азербайджану як ключовогохабу,створюютьпередумовидляформуванняпоясубезпеки,що простягається від Чорного моря аж до кордонів з Китаєм.</w:t>
      </w:r>
    </w:p>
    <w:p w:rsidR="002C65FF" w:rsidRDefault="00B2180F">
      <w:pPr>
        <w:pStyle w:val="a3"/>
        <w:spacing w:line="360" w:lineRule="auto"/>
        <w:ind w:right="155" w:firstLine="720"/>
      </w:pPr>
      <w:r>
        <w:rPr>
          <w:color w:val="1F1F1F"/>
        </w:rPr>
        <w:t>Динаміка безпеки на Південному Кавказі випереджає центральноазійську. Якщо на Кавказі стара система стримувань і противаг вже демонтована і триває болісний процес будівництвановоїреальностіна основі права сили та двосторонніх домовленостей (Huseynov, 2023), то Центральна Азія все ще перебуває на етапі латентного накопичення суперечностей. Перспектива інтеграції двохбезпековихкомплексіввєдину макрорегіональну систему залежатиме від двох ключових змінних, а саме успішностіфункціонуванняСерединного коридору і результатуросійсько-української війни. Якщо Серединний коридор стане безальтернативною артерією для торгівлі між ЄС та КНР, це змусить (в доброму сенсі цього слова) країни регіону гармонізувати свої митні, прикордоннітабезпековістандарти,нівелюючилокальніконфліктизаради економічноївигоди(Crabtree,2024).ПоразкаРФнаполі російсько-української війни та її подальша ізоляція автоматично прискорить відцентрові тенденції в ОДКБ та ЄАЕС, відкриваючи вікно можливостей для інституціоналізації нових форматів безпеки за лідерства Туреччини (Ярмоленко, 2025). До речі, для Заходу, ЄС та США, такий сценарій також є бажаним.</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4" w:firstLine="720"/>
      </w:pPr>
      <w:r>
        <w:rPr>
          <w:color w:val="1F1F1F"/>
        </w:rPr>
        <w:t xml:space="preserve">Регіони рухаються від моделі «пострадянського простору» до формування самодостатнього бачення, де суб’єктність держав визначатиметься їхньою здатністю захищати критичну інфраструктуру та формувати гнучкі альянси поза межами блокового мислення минулого </w:t>
      </w:r>
      <w:r>
        <w:rPr>
          <w:color w:val="1F1F1F"/>
          <w:spacing w:val="-2"/>
        </w:rPr>
        <w:t>століття.</w:t>
      </w:r>
    </w:p>
    <w:p w:rsidR="002C65FF" w:rsidRDefault="002C65FF">
      <w:pPr>
        <w:pStyle w:val="a3"/>
        <w:spacing w:before="161"/>
        <w:ind w:left="0"/>
        <w:jc w:val="left"/>
      </w:pPr>
    </w:p>
    <w:p w:rsidR="002C65FF" w:rsidRDefault="00B2180F">
      <w:pPr>
        <w:pStyle w:val="a3"/>
        <w:spacing w:line="360" w:lineRule="auto"/>
        <w:ind w:right="155" w:firstLine="720"/>
      </w:pPr>
      <w:r>
        <w:rPr>
          <w:color w:val="1F1F1F"/>
        </w:rPr>
        <w:t>Отже, проаналізувавши трансформації регіональних конфліктів за останні роки можна констатувати остаточний демонтаж постбіполярної системи безпеки на Південному Кавказі та в Центральній Азії. Ключовим трендом став перехід від«замороженого»статусу-квопідегідоюзовнішніх арбітрів до динамічного переформатування регіональної архітектури самими державами.</w:t>
      </w:r>
    </w:p>
    <w:p w:rsidR="002C65FF" w:rsidRDefault="00B2180F">
      <w:pPr>
        <w:pStyle w:val="a3"/>
        <w:spacing w:line="360" w:lineRule="auto"/>
        <w:ind w:right="158" w:firstLine="720"/>
      </w:pPr>
      <w:r>
        <w:rPr>
          <w:color w:val="1F1F1F"/>
        </w:rPr>
        <w:t>По-перше, на Південному Кавказі нині відбувається динамічний процес утвердження нового безпекового порядку. По-друге, у Центральній Азіїконфліктогенністьвизначаєтьсянегеополітикою,адефіцитомресурсів та екологічними загрозами. Перехід держав до прямих двосторонніх переговорів щодо кордонів доводить зростання їхньої суб’єктності та зниження залежності від посередництва Москви.</w:t>
      </w:r>
    </w:p>
    <w:p w:rsidR="002C65FF" w:rsidRDefault="00B2180F">
      <w:pPr>
        <w:pStyle w:val="a3"/>
        <w:spacing w:line="360" w:lineRule="auto"/>
        <w:ind w:right="157" w:firstLine="720"/>
      </w:pPr>
      <w:r>
        <w:rPr>
          <w:color w:val="1F1F1F"/>
        </w:rPr>
        <w:t>По-третє, відбувається стратегічне зближення обох регіонів. Взаємні візити глав держав та урядів і налагодження нових інфраструктурних проєктів інтегрують регіони у єдиний безпековий простір, де вакуум російського впливу заміщується горизонтальними альянсами, посиленням ролі середніх держав, таких як Туреччина.</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Heading1"/>
      </w:pPr>
      <w:bookmarkStart w:id="1" w:name="_TOC_250001"/>
      <w:bookmarkEnd w:id="1"/>
      <w:r>
        <w:rPr>
          <w:color w:val="1F1F1F"/>
          <w:spacing w:val="-2"/>
        </w:rPr>
        <w:t>ВИСНОВКИ</w:t>
      </w:r>
    </w:p>
    <w:p w:rsidR="002C65FF" w:rsidRDefault="002C65FF">
      <w:pPr>
        <w:pStyle w:val="a3"/>
        <w:ind w:left="0"/>
        <w:jc w:val="left"/>
        <w:rPr>
          <w:b/>
        </w:rPr>
      </w:pPr>
    </w:p>
    <w:p w:rsidR="002C65FF" w:rsidRDefault="002C65FF">
      <w:pPr>
        <w:pStyle w:val="a3"/>
        <w:ind w:left="0"/>
        <w:jc w:val="left"/>
        <w:rPr>
          <w:b/>
        </w:rPr>
      </w:pPr>
    </w:p>
    <w:p w:rsidR="002C65FF" w:rsidRDefault="00B2180F">
      <w:pPr>
        <w:pStyle w:val="a3"/>
        <w:spacing w:line="360" w:lineRule="auto"/>
        <w:ind w:right="156" w:firstLine="720"/>
      </w:pPr>
      <w:r>
        <w:rPr>
          <w:color w:val="1F1F1F"/>
        </w:rPr>
        <w:t>Проведене дослідження в межах цієї магістерської роботидозволило комплексно проаналізувати регіональні системи безпеки Південного Кавказу та Центральної Азії. Відповідно до поставленої мети та завдань роботи було встановлено низку закономірностей, які визначають сучасну архітектуру безпеки обох регіонів та окреслюють перспективи їх подальшого розвитку.</w:t>
      </w:r>
    </w:p>
    <w:p w:rsidR="002C65FF" w:rsidRDefault="00B2180F">
      <w:pPr>
        <w:pStyle w:val="a3"/>
        <w:spacing w:line="360" w:lineRule="auto"/>
        <w:ind w:right="154" w:firstLine="720"/>
      </w:pPr>
      <w:r>
        <w:rPr>
          <w:color w:val="1F1F1F"/>
        </w:rPr>
        <w:t>По-перше, узагальнення теоретико-методологічних підходів показало, що оптимальною рамкою для аналізу регіональних вимірів безпеки є синтез структурного реалізму (неореалізму) та теорії регіональних комплексів безпеки Б. Бузана і О. Вейвера. Саме поєднання цих підходів дозволило врахувати як матеріальні чинники (військова потужність, енергоресурси, контроль над транспортними коридорами), так і феномен «проникнення» зовнішніх держав у внутрішні процеси регіону. Застосування цієї теоретичної рамки дало можливість чітко виявити причинно-наслідкові зв’язки між глобальною конкуренцією та зміною регіональних конфігурацій сили.</w:t>
      </w:r>
    </w:p>
    <w:p w:rsidR="002C65FF" w:rsidRDefault="00B2180F">
      <w:pPr>
        <w:pStyle w:val="a3"/>
        <w:spacing w:line="360" w:lineRule="auto"/>
        <w:ind w:right="157" w:firstLine="720"/>
      </w:pPr>
      <w:r>
        <w:rPr>
          <w:color w:val="1F1F1F"/>
        </w:rPr>
        <w:t xml:space="preserve">По-друге, аналіз зовнішніх і внутрішніх чинників показав, що ключовим драйвером трансформації регіональної безпеки стала деградація впливу Російської Федерації, яка протягом трьох десятиліть після розпаду СРСР виконувала роль домінантного силового центру. Після 2022 року РФ перестала бути «гарантом стабільності» й перетворилася на джерело непередбачуваності, що спричинило формування геополітичного вакууму, який активно заповнюють Туреччина, Китай, ЄС та США. В регіонах спостерігаються тенденції до диверсифікації зовнішньополітичних орієнтацій та зростання автономії (в політичному сенсі) регіональних </w:t>
      </w:r>
      <w:r>
        <w:rPr>
          <w:color w:val="1F1F1F"/>
          <w:spacing w:val="-2"/>
        </w:rPr>
        <w:t>держав.</w:t>
      </w:r>
    </w:p>
    <w:p w:rsidR="002C65FF" w:rsidRDefault="00B2180F">
      <w:pPr>
        <w:pStyle w:val="a3"/>
        <w:spacing w:line="360" w:lineRule="auto"/>
        <w:ind w:right="155" w:firstLine="720"/>
      </w:pPr>
      <w:r>
        <w:rPr>
          <w:color w:val="1F1F1F"/>
        </w:rPr>
        <w:t>По-третє, встановлено, що стратегічні підходи глобальних та регіональних акторів стали значнопрагматичнішими. ТурецькаРеспубліка</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7"/>
      </w:pPr>
      <w:r>
        <w:rPr>
          <w:color w:val="1F1F1F"/>
        </w:rPr>
        <w:t>закріпилася як провідний військово-політичний гравець Південного Кавказу та одночасно як економічний і культурний партнер Центральної Азії.КитайськаНароднаРеспублікапосилюєдомінуваннячерезекономічні інструменти, поступово перетворюючи їх у важелі безпекового впливу. Західні держави перейшли до політики обмеженого, але стратегічно виваженого залучення, зосередженого на енергетичній безпеці та інфраструктурній взаємодії. Іран прагне наростити роль у транспортній логістиці, компенсуючи регіональну ізоляцію.</w:t>
      </w:r>
    </w:p>
    <w:p w:rsidR="002C65FF" w:rsidRDefault="00B2180F">
      <w:pPr>
        <w:pStyle w:val="a3"/>
        <w:spacing w:line="360" w:lineRule="auto"/>
        <w:ind w:right="155" w:firstLine="720"/>
      </w:pPr>
      <w:r>
        <w:rPr>
          <w:color w:val="1F1F1F"/>
        </w:rPr>
        <w:t>Таке нашарування інтересів створює поліцентричне середовище та ситуацію конкуренції концепцій безпеки, що значною мірою визначає поведінку регіональних держав.</w:t>
      </w:r>
    </w:p>
    <w:p w:rsidR="002C65FF" w:rsidRDefault="00B2180F">
      <w:pPr>
        <w:pStyle w:val="a3"/>
        <w:spacing w:line="360" w:lineRule="auto"/>
        <w:ind w:right="159" w:firstLine="720"/>
      </w:pPr>
      <w:r>
        <w:rPr>
          <w:color w:val="1F1F1F"/>
        </w:rPr>
        <w:t>По-четверте, дослідження динаміки конфліктів виявило переходи від заморожених до активно трансформованих моделей врегулювання. На Південному Кавказі пост-карабахський порядок сформувався під впливом швидкої зміни балансу сил, де військово-технічна підтримка Туреччини та зниження ролі РФ стали вирішальними чинниками. Серйозним каталізатором цієї зміни балансу стала російсько-українська війна. В Центральній Азії головними джерелами напруги є міждержавні прикордонні суперечки, афганський чинник, конкуренція за водні ресурси та ризики релігійного радикалізму. Ключову роль відіграє втрата РФ можливості контролювати безпекові процеси, що раніше забезпечувала її домінування у сфері оборони та інтеграційних проєктів. Натомість Китай посилює присутність через економічні, інфраструктурні та безпекові механізми, пропонуючи моделі стабілізації, альтернативні російським.</w:t>
      </w:r>
    </w:p>
    <w:p w:rsidR="002C65FF" w:rsidRDefault="00B2180F">
      <w:pPr>
        <w:pStyle w:val="a3"/>
        <w:spacing w:line="360" w:lineRule="auto"/>
        <w:ind w:right="156" w:firstLine="720"/>
      </w:pPr>
      <w:r>
        <w:rPr>
          <w:color w:val="1F1F1F"/>
        </w:rPr>
        <w:t>По-п’яте, внутрішньополітичні та соціокультурні чинники набули ролі не другорядного, а самостійного елементу регіональної безпеки. Посилення націоналізму, зростання релігійної ідентичності, політична еволюція режимів, демографічні зміни та суспільні настрої визначають здатність держав протистояти зовнішнім впливам. Це особливо видно у кейсах Грузії, Вірменії та Казахстану.</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62" w:firstLine="720"/>
      </w:pPr>
      <w:r>
        <w:rPr>
          <w:color w:val="1F1F1F"/>
        </w:rPr>
        <w:t>По-шосте, встановлено, що Південний Кавказ і Центральна Азія переживають перехід від моноцентричних до поліцентричних моделей безпеки, де на зміну вертикальним формам контролю (з боку зовнішніх гегемонів) приходять горизонтальні альянси, ситуативне партнерство, гнучка багатовекторність та зростання регіональної суб’єктності. Це дозволяє державам ефективніше маневрувати між глобальними центрами сили, підвищуючи власний суверенітет і стійкість.</w:t>
      </w:r>
    </w:p>
    <w:p w:rsidR="002C65FF" w:rsidRDefault="00B2180F">
      <w:pPr>
        <w:pStyle w:val="a3"/>
        <w:spacing w:line="360" w:lineRule="auto"/>
        <w:ind w:right="159" w:firstLine="720"/>
      </w:pPr>
      <w:r>
        <w:rPr>
          <w:color w:val="1F1F1F"/>
        </w:rPr>
        <w:t xml:space="preserve">По-сьоме, підтверджено робочу гіпотезу про те, що зростання конкуренціїзовнішніхакторівзаконтрольнадтранспортно-енергетичними коридорами прямо корелює зі зміною архітектури регіональної безпеки. Логістичні проєкти, енергетичні маршрути та інфраструктурні ініціативи стали елементами геостратегічного суперництва. Цей чинник особливо </w:t>
      </w:r>
      <w:r>
        <w:rPr>
          <w:color w:val="1F1F1F"/>
          <w:spacing w:val="-2"/>
        </w:rPr>
        <w:t xml:space="preserve">проявляється вконтекстіТранскаспійськогомаршруту,Південногогазового </w:t>
      </w:r>
      <w:r>
        <w:rPr>
          <w:color w:val="1F1F1F"/>
        </w:rPr>
        <w:t>коридору та розвиткові альтернативних шляхів, що оминають РФ.</w:t>
      </w:r>
    </w:p>
    <w:p w:rsidR="002C65FF" w:rsidRDefault="00B2180F">
      <w:pPr>
        <w:pStyle w:val="a3"/>
        <w:spacing w:line="360" w:lineRule="auto"/>
        <w:ind w:right="157" w:firstLine="720"/>
      </w:pPr>
      <w:r>
        <w:rPr>
          <w:color w:val="1F1F1F"/>
        </w:rPr>
        <w:t>Загалом проведене дослідження засвідчило, що регіональна безпека Південного Кавказу та Центральної Азіїєрезультатомвзаємодіїтрьохгруп чинників: зовнішньої конкуренції глобальних акторів; внутрішньої політичної та соціокультурної еволюції держав; структурних змін у логістичних та енергетичних архітектурах регіону.</w:t>
      </w:r>
    </w:p>
    <w:p w:rsidR="002C65FF" w:rsidRDefault="00B2180F">
      <w:pPr>
        <w:pStyle w:val="a3"/>
        <w:spacing w:line="360" w:lineRule="auto"/>
        <w:ind w:right="156" w:firstLine="720"/>
      </w:pPr>
      <w:r>
        <w:rPr>
          <w:color w:val="1F1F1F"/>
        </w:rPr>
        <w:t>Подальша еволюція безпекового середовища Південного Кавказу та ЦентральноїАзіїрозгортатиметьсязаоднимізкількохможливихсценаріїв, які визначаються співвідношенням впливу зовнішніх акторів і внутрішньою стійкістю регіональних держав. Найбільш негативний, дестабілізаційний сценарій, передбачає різке зростання напруги внаслідок внутрішніх криз, загострення міждержавних конфліктів або спроби Росіїчи Ірану силовими чи гібридними методами відновити повний контроль над регіонами. Для Центральної Азії найбільшими точками ризику є Ферганська долина та кордон з Афганістаном, а для Південного Кавказу – можливе втручання Ірану в транзитні проєкти та політична нестабільність Вірменії (прихід до влади реваншистів). Інтеграційний сценарій, найбільш</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a3"/>
        <w:spacing w:before="78" w:line="360" w:lineRule="auto"/>
        <w:ind w:right="156"/>
      </w:pPr>
      <w:r>
        <w:rPr>
          <w:color w:val="1F1F1F"/>
        </w:rPr>
        <w:t>оптимістичний, ґрунтується на поступовому зближенні держав навколо Транскаспійського транспортного маршруту, зростанні ролі Туреччини як безпекового партнера та формуванні горизонтальних альянсів міжкраїнами обох регіонів. Він передбачає зміцнення військово-технічної співпраці,гармонізаціюстандартівівиникненняновогополітико-економічного простору, де логістика та енергетика стають драйверами безпекової конвергенції.</w:t>
      </w:r>
    </w:p>
    <w:p w:rsidR="002C65FF" w:rsidRDefault="00B2180F">
      <w:pPr>
        <w:pStyle w:val="a3"/>
        <w:spacing w:line="360" w:lineRule="auto"/>
        <w:ind w:right="156" w:firstLine="720"/>
      </w:pPr>
      <w:r>
        <w:rPr>
          <w:color w:val="1F1F1F"/>
        </w:rPr>
        <w:t>Однак, найімовірнішим у середньостроковій перспективі є інерційний сценарій, який передбачає збереження статусу-кво, за умови подальшого поступового, але не різкого послаблення впливу Російської Федерації. Саме цей сценарій найбільш адекватно відображає сучасний баланс сил, коли зовнішні актори – Китай, Туреччина, ЄС та США – поглиблюють свою присутність у регіонах, однак поки не прагнуть перебрати на себе повноцінні функції гарантів безпеки, обмежуючись економічною, інфраструктурною та політичною взаємодією.</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pStyle w:val="Heading1"/>
      </w:pPr>
      <w:bookmarkStart w:id="2" w:name="_TOC_250000"/>
      <w:r>
        <w:t>СПИСОК</w:t>
      </w:r>
      <w:bookmarkEnd w:id="2"/>
      <w:r>
        <w:rPr>
          <w:spacing w:val="-2"/>
        </w:rPr>
        <w:t>ПОСИЛАНЬ</w:t>
      </w:r>
    </w:p>
    <w:p w:rsidR="002C65FF" w:rsidRDefault="002C65FF">
      <w:pPr>
        <w:pStyle w:val="a3"/>
        <w:ind w:left="0"/>
        <w:jc w:val="left"/>
        <w:rPr>
          <w:b/>
        </w:rPr>
      </w:pPr>
    </w:p>
    <w:p w:rsidR="002C65FF" w:rsidRDefault="002C65FF">
      <w:pPr>
        <w:pStyle w:val="a3"/>
        <w:ind w:left="0"/>
        <w:jc w:val="left"/>
        <w:rPr>
          <w:b/>
        </w:rPr>
      </w:pPr>
    </w:p>
    <w:p w:rsidR="002C65FF" w:rsidRDefault="00B2180F">
      <w:pPr>
        <w:tabs>
          <w:tab w:val="left" w:pos="2226"/>
          <w:tab w:val="left" w:pos="2643"/>
          <w:tab w:val="left" w:pos="3757"/>
          <w:tab w:val="left" w:pos="5361"/>
          <w:tab w:val="left" w:pos="7024"/>
          <w:tab w:val="left" w:pos="8073"/>
          <w:tab w:val="left" w:pos="8474"/>
        </w:tabs>
        <w:spacing w:line="360" w:lineRule="auto"/>
        <w:ind w:left="989" w:right="157" w:hanging="705"/>
        <w:rPr>
          <w:sz w:val="28"/>
        </w:rPr>
      </w:pPr>
      <w:r>
        <w:rPr>
          <w:sz w:val="28"/>
        </w:rPr>
        <w:t xml:space="preserve">Авдєєв, О. (2023). </w:t>
      </w:r>
      <w:r>
        <w:rPr>
          <w:i/>
          <w:sz w:val="28"/>
        </w:rPr>
        <w:t xml:space="preserve">Суспільно-політичні процеси в країнах Південного </w:t>
      </w:r>
      <w:r>
        <w:rPr>
          <w:i/>
          <w:spacing w:val="-2"/>
          <w:sz w:val="28"/>
        </w:rPr>
        <w:t>Кавказу</w:t>
      </w:r>
      <w:r>
        <w:rPr>
          <w:i/>
          <w:sz w:val="28"/>
        </w:rPr>
        <w:tab/>
      </w:r>
      <w:r>
        <w:rPr>
          <w:i/>
          <w:spacing w:val="-10"/>
          <w:sz w:val="28"/>
        </w:rPr>
        <w:t>в</w:t>
      </w:r>
      <w:r>
        <w:rPr>
          <w:i/>
          <w:sz w:val="28"/>
        </w:rPr>
        <w:tab/>
      </w:r>
      <w:r>
        <w:rPr>
          <w:i/>
          <w:spacing w:val="-2"/>
          <w:sz w:val="28"/>
        </w:rPr>
        <w:t>умовах</w:t>
      </w:r>
      <w:r>
        <w:rPr>
          <w:i/>
          <w:sz w:val="28"/>
        </w:rPr>
        <w:tab/>
      </w:r>
      <w:r>
        <w:rPr>
          <w:i/>
          <w:spacing w:val="-2"/>
          <w:sz w:val="28"/>
        </w:rPr>
        <w:t>ослаблення</w:t>
      </w:r>
      <w:r>
        <w:rPr>
          <w:i/>
          <w:sz w:val="28"/>
        </w:rPr>
        <w:tab/>
      </w:r>
      <w:r>
        <w:rPr>
          <w:i/>
          <w:spacing w:val="-2"/>
          <w:sz w:val="28"/>
        </w:rPr>
        <w:t>російського</w:t>
      </w:r>
      <w:r>
        <w:rPr>
          <w:i/>
          <w:sz w:val="28"/>
        </w:rPr>
        <w:tab/>
      </w:r>
      <w:r>
        <w:rPr>
          <w:i/>
          <w:spacing w:val="-2"/>
          <w:sz w:val="28"/>
        </w:rPr>
        <w:t>впливу</w:t>
      </w:r>
      <w:r>
        <w:rPr>
          <w:i/>
          <w:sz w:val="28"/>
        </w:rPr>
        <w:tab/>
      </w:r>
      <w:r>
        <w:rPr>
          <w:i/>
          <w:spacing w:val="-10"/>
          <w:sz w:val="28"/>
        </w:rPr>
        <w:t>в</w:t>
      </w:r>
      <w:r>
        <w:rPr>
          <w:i/>
          <w:sz w:val="28"/>
        </w:rPr>
        <w:tab/>
      </w:r>
      <w:r>
        <w:rPr>
          <w:i/>
          <w:spacing w:val="-2"/>
          <w:sz w:val="28"/>
        </w:rPr>
        <w:t>регіоні</w:t>
      </w:r>
      <w:r>
        <w:rPr>
          <w:spacing w:val="-2"/>
          <w:sz w:val="28"/>
        </w:rPr>
        <w:t xml:space="preserve">. </w:t>
      </w:r>
      <w:hyperlink r:id="rId9">
        <w:r>
          <w:rPr>
            <w:color w:val="1154CC"/>
            <w:spacing w:val="-2"/>
            <w:sz w:val="28"/>
            <w:u w:val="thick" w:color="1154CC"/>
          </w:rPr>
          <w:t>https://analytics.intsecurity.org/wp-content/uploads/2023/06/Ukr_CIS_04</w:t>
        </w:r>
      </w:hyperlink>
    </w:p>
    <w:p w:rsidR="002C65FF" w:rsidRDefault="008476BE">
      <w:pPr>
        <w:pStyle w:val="a3"/>
        <w:ind w:left="989"/>
        <w:jc w:val="left"/>
      </w:pPr>
      <w:hyperlink r:id="rId10">
        <w:r w:rsidR="00B2180F">
          <w:rPr>
            <w:color w:val="1154CC"/>
            <w:spacing w:val="-2"/>
            <w:u w:val="thick" w:color="1154CC"/>
          </w:rPr>
          <w:t>_South-Caucasus.pdf</w:t>
        </w:r>
      </w:hyperlink>
      <w:r w:rsidR="00B2180F">
        <w:rPr>
          <w:spacing w:val="-2"/>
        </w:rPr>
        <w:t>.</w:t>
      </w:r>
    </w:p>
    <w:p w:rsidR="002C65FF" w:rsidRDefault="00B2180F">
      <w:pPr>
        <w:pStyle w:val="a3"/>
        <w:spacing w:before="161"/>
      </w:pPr>
      <w:r>
        <w:t>Бульвінський,А.Г.,Васильєв,О.А.,&amp;Добровольська,А.Б.</w:t>
      </w:r>
      <w:r>
        <w:rPr>
          <w:spacing w:val="-2"/>
        </w:rPr>
        <w:t>(2017).</w:t>
      </w:r>
    </w:p>
    <w:p w:rsidR="002C65FF" w:rsidRDefault="00B2180F">
      <w:pPr>
        <w:tabs>
          <w:tab w:val="left" w:pos="3247"/>
          <w:tab w:val="left" w:pos="6506"/>
        </w:tabs>
        <w:spacing w:before="161" w:line="360" w:lineRule="auto"/>
        <w:ind w:left="989" w:right="159"/>
        <w:jc w:val="both"/>
        <w:rPr>
          <w:sz w:val="28"/>
        </w:rPr>
      </w:pPr>
      <w:r>
        <w:rPr>
          <w:i/>
          <w:spacing w:val="-2"/>
          <w:sz w:val="28"/>
        </w:rPr>
        <w:t>Особливості</w:t>
      </w:r>
      <w:r>
        <w:rPr>
          <w:i/>
          <w:sz w:val="28"/>
        </w:rPr>
        <w:tab/>
      </w:r>
      <w:r>
        <w:rPr>
          <w:i/>
          <w:spacing w:val="-2"/>
          <w:sz w:val="28"/>
        </w:rPr>
        <w:t>суспільно-політичної</w:t>
      </w:r>
      <w:r>
        <w:rPr>
          <w:i/>
          <w:sz w:val="28"/>
        </w:rPr>
        <w:tab/>
        <w:t>модернізації країн пострадянського простору: The peculiarities of socio-political modernization of the countries of the post-Soviet space : монографія</w:t>
      </w:r>
      <w:r>
        <w:rPr>
          <w:sz w:val="28"/>
        </w:rPr>
        <w:t xml:space="preserve">. </w:t>
      </w:r>
      <w:r>
        <w:rPr>
          <w:spacing w:val="-2"/>
          <w:sz w:val="28"/>
        </w:rPr>
        <w:t>Фенікс.</w:t>
      </w:r>
    </w:p>
    <w:p w:rsidR="002C65FF" w:rsidRDefault="00B2180F">
      <w:pPr>
        <w:ind w:left="284"/>
        <w:jc w:val="both"/>
        <w:rPr>
          <w:i/>
          <w:sz w:val="28"/>
        </w:rPr>
      </w:pPr>
      <w:r>
        <w:rPr>
          <w:color w:val="202021"/>
          <w:sz w:val="28"/>
        </w:rPr>
        <w:t>Волович,О.(2020).</w:t>
      </w:r>
      <w:r>
        <w:rPr>
          <w:i/>
          <w:color w:val="202021"/>
          <w:sz w:val="28"/>
        </w:rPr>
        <w:t>ПівденнийКавказугеополітичному</w:t>
      </w:r>
      <w:r>
        <w:rPr>
          <w:i/>
          <w:color w:val="202021"/>
          <w:spacing w:val="-2"/>
          <w:sz w:val="28"/>
        </w:rPr>
        <w:t>трикутнику</w:t>
      </w:r>
    </w:p>
    <w:p w:rsidR="002C65FF" w:rsidRDefault="00B2180F">
      <w:pPr>
        <w:pStyle w:val="a3"/>
        <w:spacing w:before="161" w:line="360" w:lineRule="auto"/>
        <w:ind w:left="989" w:right="163"/>
      </w:pPr>
      <w:r>
        <w:rPr>
          <w:i/>
          <w:color w:val="202021"/>
        </w:rPr>
        <w:t>«Туреччина – Росія – Іран»</w:t>
      </w:r>
      <w:r>
        <w:rPr>
          <w:color w:val="202021"/>
        </w:rPr>
        <w:t xml:space="preserve">. Борисфен Інтел. </w:t>
      </w:r>
      <w:hyperlink r:id="rId11">
        <w:r>
          <w:rPr>
            <w:color w:val="1154CC"/>
            <w:spacing w:val="-2"/>
            <w:u w:val="thick" w:color="1154CC"/>
          </w:rPr>
          <w:t>https://bintel.org.ua/analytics/voenni-voprosy/armii-voorugenie/pivdennij-</w:t>
        </w:r>
      </w:hyperlink>
      <w:hyperlink r:id="rId12">
        <w:r>
          <w:rPr>
            <w:color w:val="1154CC"/>
            <w:spacing w:val="-2"/>
            <w:u w:val="thick" w:color="1154CC"/>
          </w:rPr>
          <w:t>kavkaz-v-geopolitichnomu-trikutniku-turechchina-rosiya-iran/</w:t>
        </w:r>
      </w:hyperlink>
      <w:r>
        <w:rPr>
          <w:color w:val="202021"/>
          <w:spacing w:val="-2"/>
        </w:rPr>
        <w:t>.</w:t>
      </w:r>
    </w:p>
    <w:p w:rsidR="002C65FF" w:rsidRDefault="00B2180F">
      <w:pPr>
        <w:spacing w:line="360" w:lineRule="auto"/>
        <w:ind w:left="989" w:right="156" w:hanging="705"/>
        <w:rPr>
          <w:sz w:val="28"/>
        </w:rPr>
      </w:pPr>
      <w:r>
        <w:rPr>
          <w:sz w:val="28"/>
        </w:rPr>
        <w:t>Волохов,В.(2019).</w:t>
      </w:r>
      <w:r>
        <w:rPr>
          <w:i/>
          <w:sz w:val="28"/>
        </w:rPr>
        <w:t>ЦентральнаАзія:яблукорозбрату</w:t>
      </w:r>
      <w:r>
        <w:rPr>
          <w:sz w:val="28"/>
        </w:rPr>
        <w:t xml:space="preserve">.БорисфенІнтел. </w:t>
      </w:r>
      <w:hyperlink r:id="rId13">
        <w:r>
          <w:rPr>
            <w:color w:val="1154CC"/>
            <w:spacing w:val="-2"/>
            <w:sz w:val="28"/>
            <w:u w:val="thick" w:color="1154CC"/>
          </w:rPr>
          <w:t>https://bintel.org.ua/analytics/geopolitics/centralna-aziya-yabluko-rozbrat</w:t>
        </w:r>
      </w:hyperlink>
      <w:hyperlink r:id="rId14">
        <w:r>
          <w:rPr>
            <w:color w:val="1154CC"/>
            <w:spacing w:val="-4"/>
            <w:sz w:val="28"/>
            <w:u w:val="thick" w:color="1154CC"/>
          </w:rPr>
          <w:t>u/</w:t>
        </w:r>
      </w:hyperlink>
      <w:r>
        <w:rPr>
          <w:spacing w:val="-4"/>
          <w:sz w:val="28"/>
        </w:rPr>
        <w:t>.</w:t>
      </w:r>
    </w:p>
    <w:p w:rsidR="002C65FF" w:rsidRDefault="00B2180F">
      <w:pPr>
        <w:spacing w:line="360" w:lineRule="auto"/>
        <w:ind w:left="989" w:right="155" w:hanging="705"/>
        <w:jc w:val="both"/>
        <w:rPr>
          <w:sz w:val="28"/>
        </w:rPr>
      </w:pPr>
      <w:r>
        <w:rPr>
          <w:color w:val="202021"/>
          <w:sz w:val="28"/>
        </w:rPr>
        <w:t xml:space="preserve">Габер, Є., Васадзе, Г., </w:t>
      </w:r>
      <w:r>
        <w:rPr>
          <w:sz w:val="28"/>
        </w:rPr>
        <w:t>&amp;</w:t>
      </w:r>
      <w:r>
        <w:rPr>
          <w:color w:val="202021"/>
          <w:sz w:val="28"/>
        </w:rPr>
        <w:t>Пойта, Ю.(2022).</w:t>
      </w:r>
      <w:r>
        <w:rPr>
          <w:i/>
          <w:color w:val="202021"/>
          <w:sz w:val="28"/>
        </w:rPr>
        <w:t>Підтримкасанкційногорежиму проти РФ Туреччиною та країнами Південного Кавказу, Центральної Азії</w:t>
      </w:r>
      <w:r>
        <w:rPr>
          <w:color w:val="202021"/>
          <w:sz w:val="28"/>
        </w:rPr>
        <w:t xml:space="preserve">. Взято з </w:t>
      </w:r>
      <w:hyperlink r:id="rId15">
        <w:r>
          <w:rPr>
            <w:color w:val="1154CC"/>
            <w:sz w:val="28"/>
            <w:u w:val="thick" w:color="1154CC"/>
          </w:rPr>
          <w:t>http://prismua.org/sacntions2467/</w:t>
        </w:r>
      </w:hyperlink>
      <w:r>
        <w:rPr>
          <w:color w:val="202021"/>
          <w:sz w:val="28"/>
        </w:rPr>
        <w:t>.</w:t>
      </w:r>
    </w:p>
    <w:p w:rsidR="002C65FF" w:rsidRDefault="00B2180F">
      <w:pPr>
        <w:spacing w:line="360" w:lineRule="auto"/>
        <w:ind w:left="989" w:right="156" w:hanging="705"/>
        <w:jc w:val="both"/>
        <w:rPr>
          <w:sz w:val="28"/>
        </w:rPr>
      </w:pPr>
      <w:r>
        <w:rPr>
          <w:sz w:val="28"/>
        </w:rPr>
        <w:t>Гончар, М., Іщук,О.,&amp;Лесняк,С.(2023).</w:t>
      </w:r>
      <w:r>
        <w:rPr>
          <w:i/>
          <w:sz w:val="28"/>
        </w:rPr>
        <w:t>ЦентральнаАзія–Європейський Союз(+Україна):перспективиівиклики</w:t>
      </w:r>
      <w:r>
        <w:rPr>
          <w:sz w:val="28"/>
        </w:rPr>
        <w:t>.Аналітичнийпортал</w:t>
      </w:r>
    </w:p>
    <w:p w:rsidR="002C65FF" w:rsidRDefault="00B2180F">
      <w:pPr>
        <w:pStyle w:val="a3"/>
        <w:tabs>
          <w:tab w:val="left" w:pos="4717"/>
          <w:tab w:val="left" w:pos="8189"/>
        </w:tabs>
        <w:spacing w:line="360" w:lineRule="auto"/>
        <w:ind w:left="989" w:right="160"/>
      </w:pPr>
      <w:r>
        <w:rPr>
          <w:spacing w:val="-2"/>
        </w:rPr>
        <w:t>«Зовнішня</w:t>
      </w:r>
      <w:r>
        <w:tab/>
      </w:r>
      <w:r>
        <w:rPr>
          <w:spacing w:val="-2"/>
        </w:rPr>
        <w:t>політика</w:t>
      </w:r>
      <w:r>
        <w:tab/>
      </w:r>
      <w:r>
        <w:rPr>
          <w:spacing w:val="-4"/>
        </w:rPr>
        <w:t xml:space="preserve">України». </w:t>
      </w:r>
      <w:hyperlink r:id="rId16">
        <w:r>
          <w:rPr>
            <w:color w:val="1154CC"/>
            <w:spacing w:val="-2"/>
            <w:u w:val="thick" w:color="1154CC"/>
          </w:rPr>
          <w:t>https://analytics.intsecurity.org/ukraine-eu-central-asia/</w:t>
        </w:r>
      </w:hyperlink>
      <w:r>
        <w:rPr>
          <w:spacing w:val="-2"/>
        </w:rPr>
        <w:t>.</w:t>
      </w:r>
    </w:p>
    <w:p w:rsidR="002C65FF" w:rsidRDefault="00B2180F">
      <w:pPr>
        <w:tabs>
          <w:tab w:val="left" w:pos="8341"/>
        </w:tabs>
        <w:spacing w:line="360" w:lineRule="auto"/>
        <w:ind w:left="989" w:right="159" w:hanging="705"/>
        <w:jc w:val="both"/>
        <w:rPr>
          <w:sz w:val="28"/>
        </w:rPr>
      </w:pPr>
      <w:r>
        <w:rPr>
          <w:sz w:val="28"/>
        </w:rPr>
        <w:t xml:space="preserve">Гончарук, А. (2017). </w:t>
      </w:r>
      <w:r>
        <w:rPr>
          <w:i/>
          <w:sz w:val="28"/>
        </w:rPr>
        <w:t>Суперництво Росії та Китаю за вплив у регіоні Центральної Азії: висновки для України</w:t>
      </w:r>
      <w:r>
        <w:rPr>
          <w:sz w:val="28"/>
        </w:rPr>
        <w:t xml:space="preserve">. Інститут проблем </w:t>
      </w:r>
      <w:r>
        <w:rPr>
          <w:spacing w:val="-2"/>
          <w:sz w:val="28"/>
        </w:rPr>
        <w:t>національної</w:t>
      </w:r>
      <w:r>
        <w:rPr>
          <w:sz w:val="28"/>
        </w:rPr>
        <w:tab/>
      </w:r>
      <w:r>
        <w:rPr>
          <w:spacing w:val="-2"/>
          <w:sz w:val="28"/>
        </w:rPr>
        <w:t>безпеки.</w:t>
      </w:r>
    </w:p>
    <w:p w:rsidR="002C65FF" w:rsidRDefault="008476BE">
      <w:pPr>
        <w:pStyle w:val="a3"/>
        <w:ind w:left="989"/>
        <w:jc w:val="left"/>
      </w:pPr>
      <w:hyperlink r:id="rId17">
        <w:r w:rsidR="00B2180F">
          <w:rPr>
            <w:color w:val="1154CC"/>
            <w:spacing w:val="-2"/>
            <w:u w:val="thick" w:color="1154CC"/>
          </w:rPr>
          <w:t>https://niss.gov.ua/sites/default/files/2017-10/supernytstvo-a4f03.pdf</w:t>
        </w:r>
      </w:hyperlink>
      <w:r w:rsidR="00B2180F">
        <w:rPr>
          <w:spacing w:val="-2"/>
        </w:rPr>
        <w:t>.</w:t>
      </w:r>
    </w:p>
    <w:p w:rsidR="002C65FF" w:rsidRDefault="002C65FF">
      <w:pPr>
        <w:pStyle w:val="a3"/>
        <w:jc w:val="left"/>
        <w:sectPr w:rsidR="002C65FF">
          <w:pgSz w:w="11920" w:h="16840"/>
          <w:pgMar w:top="1040" w:right="708" w:bottom="280" w:left="1700" w:header="732" w:footer="0" w:gutter="0"/>
          <w:cols w:space="720"/>
        </w:sectPr>
      </w:pPr>
    </w:p>
    <w:p w:rsidR="002C65FF" w:rsidRDefault="00B2180F">
      <w:pPr>
        <w:tabs>
          <w:tab w:val="left" w:pos="7579"/>
        </w:tabs>
        <w:spacing w:before="78" w:line="360" w:lineRule="auto"/>
        <w:ind w:left="989" w:right="163" w:hanging="705"/>
        <w:jc w:val="both"/>
        <w:rPr>
          <w:sz w:val="28"/>
        </w:rPr>
      </w:pPr>
      <w:r>
        <w:rPr>
          <w:sz w:val="28"/>
        </w:rPr>
        <w:t xml:space="preserve">Гусейнов, Е. (2025). </w:t>
      </w:r>
      <w:r>
        <w:rPr>
          <w:i/>
          <w:sz w:val="28"/>
        </w:rPr>
        <w:t xml:space="preserve">Ведмежий слід на шовковому шляху. Як тактичний збіг інтересів Росії та Китаю в Центральній Азії може змінитися </w:t>
      </w:r>
      <w:r>
        <w:rPr>
          <w:i/>
          <w:spacing w:val="-2"/>
          <w:sz w:val="28"/>
        </w:rPr>
        <w:t>напруженим</w:t>
      </w:r>
      <w:r>
        <w:rPr>
          <w:i/>
          <w:sz w:val="28"/>
        </w:rPr>
        <w:tab/>
      </w:r>
      <w:r>
        <w:rPr>
          <w:i/>
          <w:spacing w:val="-2"/>
          <w:sz w:val="28"/>
        </w:rPr>
        <w:t>суперництвом</w:t>
      </w:r>
      <w:r>
        <w:rPr>
          <w:spacing w:val="-2"/>
          <w:sz w:val="28"/>
        </w:rPr>
        <w:t>.</w:t>
      </w:r>
    </w:p>
    <w:p w:rsidR="002C65FF" w:rsidRDefault="008476BE">
      <w:pPr>
        <w:pStyle w:val="a3"/>
        <w:spacing w:line="360" w:lineRule="auto"/>
        <w:ind w:left="989" w:right="238"/>
        <w:jc w:val="left"/>
      </w:pPr>
      <w:hyperlink r:id="rId18">
        <w:r w:rsidR="00B2180F">
          <w:rPr>
            <w:color w:val="1154CC"/>
            <w:spacing w:val="-2"/>
            <w:u w:val="thick" w:color="1154CC"/>
          </w:rPr>
          <w:t>https://www.ipg-journal.io/ua/regioni/azija/vedmezhii-slid-na-shovkovom</w:t>
        </w:r>
      </w:hyperlink>
      <w:hyperlink r:id="rId19">
        <w:r w:rsidR="00B2180F">
          <w:rPr>
            <w:color w:val="1154CC"/>
            <w:spacing w:val="-2"/>
            <w:u w:val="thick" w:color="1154CC"/>
          </w:rPr>
          <w:t>u-shljakhu-2425/</w:t>
        </w:r>
      </w:hyperlink>
      <w:r w:rsidR="00B2180F">
        <w:rPr>
          <w:spacing w:val="-2"/>
        </w:rPr>
        <w:t>.</w:t>
      </w:r>
    </w:p>
    <w:p w:rsidR="002C65FF" w:rsidRDefault="00B2180F">
      <w:pPr>
        <w:tabs>
          <w:tab w:val="left" w:pos="2321"/>
          <w:tab w:val="left" w:pos="2740"/>
          <w:tab w:val="left" w:pos="4508"/>
          <w:tab w:val="left" w:pos="7350"/>
          <w:tab w:val="left" w:pos="7910"/>
          <w:tab w:val="left" w:pos="7987"/>
        </w:tabs>
        <w:spacing w:line="360" w:lineRule="auto"/>
        <w:ind w:left="989" w:right="161" w:hanging="705"/>
        <w:rPr>
          <w:sz w:val="28"/>
        </w:rPr>
      </w:pPr>
      <w:r>
        <w:rPr>
          <w:sz w:val="28"/>
        </w:rPr>
        <w:t xml:space="preserve">Замікула, М., &amp; Ярмоленко, В. (2022). </w:t>
      </w:r>
      <w:r>
        <w:rPr>
          <w:i/>
          <w:sz w:val="28"/>
        </w:rPr>
        <w:t xml:space="preserve">Стан та перспективи розвитку </w:t>
      </w:r>
      <w:r>
        <w:rPr>
          <w:i/>
          <w:spacing w:val="-2"/>
          <w:sz w:val="28"/>
        </w:rPr>
        <w:t>відносин</w:t>
      </w:r>
      <w:r>
        <w:rPr>
          <w:i/>
          <w:sz w:val="28"/>
        </w:rPr>
        <w:tab/>
      </w:r>
      <w:r>
        <w:rPr>
          <w:i/>
          <w:spacing w:val="-10"/>
          <w:sz w:val="28"/>
        </w:rPr>
        <w:t>у</w:t>
      </w:r>
      <w:r>
        <w:rPr>
          <w:i/>
          <w:sz w:val="28"/>
        </w:rPr>
        <w:tab/>
      </w:r>
      <w:r>
        <w:rPr>
          <w:i/>
          <w:spacing w:val="-2"/>
          <w:sz w:val="28"/>
        </w:rPr>
        <w:t>трикутнику</w:t>
      </w:r>
      <w:r>
        <w:rPr>
          <w:i/>
          <w:sz w:val="28"/>
        </w:rPr>
        <w:tab/>
      </w:r>
      <w:r>
        <w:rPr>
          <w:i/>
          <w:spacing w:val="-2"/>
          <w:sz w:val="28"/>
        </w:rPr>
        <w:t>Туреччина-Іран-Росія</w:t>
      </w:r>
      <w:r>
        <w:rPr>
          <w:i/>
          <w:sz w:val="28"/>
        </w:rPr>
        <w:tab/>
      </w:r>
      <w:r>
        <w:rPr>
          <w:i/>
          <w:spacing w:val="-4"/>
          <w:sz w:val="28"/>
        </w:rPr>
        <w:t>(за</w:t>
      </w:r>
      <w:r>
        <w:rPr>
          <w:i/>
          <w:sz w:val="28"/>
        </w:rPr>
        <w:tab/>
      </w:r>
      <w:r>
        <w:rPr>
          <w:i/>
          <w:sz w:val="28"/>
        </w:rPr>
        <w:tab/>
      </w:r>
      <w:r>
        <w:rPr>
          <w:i/>
          <w:spacing w:val="-4"/>
          <w:sz w:val="28"/>
        </w:rPr>
        <w:t xml:space="preserve">підсумками </w:t>
      </w:r>
      <w:r>
        <w:rPr>
          <w:i/>
          <w:sz w:val="28"/>
        </w:rPr>
        <w:t>переговорівлідерівдержавуТегерані19липня2022р.)</w:t>
      </w:r>
      <w:r>
        <w:rPr>
          <w:sz w:val="28"/>
        </w:rPr>
        <w:t xml:space="preserve">.Інститут </w:t>
      </w:r>
      <w:r>
        <w:rPr>
          <w:spacing w:val="-2"/>
          <w:sz w:val="28"/>
        </w:rPr>
        <w:t>стратегічних</w:t>
      </w:r>
      <w:r>
        <w:rPr>
          <w:sz w:val="28"/>
        </w:rPr>
        <w:tab/>
      </w:r>
      <w:r>
        <w:rPr>
          <w:sz w:val="28"/>
        </w:rPr>
        <w:tab/>
      </w:r>
      <w:r>
        <w:rPr>
          <w:sz w:val="28"/>
        </w:rPr>
        <w:tab/>
      </w:r>
      <w:r>
        <w:rPr>
          <w:sz w:val="28"/>
        </w:rPr>
        <w:tab/>
      </w:r>
      <w:r>
        <w:rPr>
          <w:spacing w:val="-2"/>
          <w:sz w:val="28"/>
        </w:rPr>
        <w:t>досліджень.</w:t>
      </w:r>
    </w:p>
    <w:p w:rsidR="002C65FF" w:rsidRDefault="008476BE">
      <w:pPr>
        <w:pStyle w:val="a3"/>
        <w:spacing w:line="360" w:lineRule="auto"/>
        <w:ind w:left="989" w:right="191"/>
        <w:jc w:val="left"/>
      </w:pPr>
      <w:hyperlink r:id="rId20">
        <w:r w:rsidR="00B2180F">
          <w:rPr>
            <w:color w:val="1154CC"/>
            <w:spacing w:val="-2"/>
            <w:u w:val="thick" w:color="1154CC"/>
          </w:rPr>
          <w:t>https://niss.gov.ua/doslidzhennya/mizhnarodni-vidnosyny/stan-ta-perspekt</w:t>
        </w:r>
      </w:hyperlink>
      <w:hyperlink r:id="rId21">
        <w:r w:rsidR="00B2180F">
          <w:rPr>
            <w:color w:val="1154CC"/>
            <w:spacing w:val="-2"/>
            <w:u w:val="thick" w:color="1154CC"/>
          </w:rPr>
          <w:t>yvy-rozvytku-vidnosyn-u-trykutnyku-turechchyna</w:t>
        </w:r>
      </w:hyperlink>
      <w:r w:rsidR="00B2180F">
        <w:rPr>
          <w:spacing w:val="-2"/>
        </w:rPr>
        <w:t>.</w:t>
      </w:r>
    </w:p>
    <w:p w:rsidR="002C65FF" w:rsidRDefault="00B2180F">
      <w:pPr>
        <w:tabs>
          <w:tab w:val="left" w:pos="3183"/>
          <w:tab w:val="left" w:pos="6011"/>
          <w:tab w:val="left" w:pos="7956"/>
        </w:tabs>
        <w:spacing w:line="360" w:lineRule="auto"/>
        <w:ind w:left="989" w:right="162" w:hanging="705"/>
        <w:rPr>
          <w:sz w:val="28"/>
        </w:rPr>
      </w:pPr>
      <w:r>
        <w:rPr>
          <w:sz w:val="28"/>
        </w:rPr>
        <w:t xml:space="preserve">Карвацький, В. (2019). </w:t>
      </w:r>
      <w:r>
        <w:rPr>
          <w:i/>
          <w:sz w:val="28"/>
        </w:rPr>
        <w:t xml:space="preserve">Геополітика Південного Кавказу: близькосхідний </w:t>
      </w:r>
      <w:r>
        <w:rPr>
          <w:i/>
          <w:spacing w:val="-2"/>
          <w:sz w:val="28"/>
        </w:rPr>
        <w:t>вектор</w:t>
      </w:r>
      <w:r>
        <w:rPr>
          <w:spacing w:val="-2"/>
          <w:sz w:val="28"/>
        </w:rPr>
        <w:t>.</w:t>
      </w:r>
      <w:r>
        <w:rPr>
          <w:sz w:val="28"/>
        </w:rPr>
        <w:tab/>
      </w:r>
      <w:r>
        <w:rPr>
          <w:spacing w:val="-2"/>
          <w:sz w:val="28"/>
        </w:rPr>
        <w:t>Аналітичний</w:t>
      </w:r>
      <w:r>
        <w:rPr>
          <w:sz w:val="28"/>
        </w:rPr>
        <w:tab/>
      </w:r>
      <w:r>
        <w:rPr>
          <w:spacing w:val="-2"/>
          <w:sz w:val="28"/>
        </w:rPr>
        <w:t>центр</w:t>
      </w:r>
      <w:r>
        <w:rPr>
          <w:sz w:val="28"/>
        </w:rPr>
        <w:tab/>
      </w:r>
      <w:r>
        <w:rPr>
          <w:spacing w:val="-2"/>
          <w:sz w:val="28"/>
        </w:rPr>
        <w:t xml:space="preserve">ADASTRA. </w:t>
      </w:r>
      <w:hyperlink r:id="rId22">
        <w:r>
          <w:rPr>
            <w:color w:val="1154CC"/>
            <w:spacing w:val="-2"/>
            <w:sz w:val="28"/>
            <w:u w:val="thick" w:color="1154CC"/>
          </w:rPr>
          <w:t>https://adastra.org.ua/blog/geopolitika-pivdennogo-kavkazu-blizkoshidnij-</w:t>
        </w:r>
      </w:hyperlink>
      <w:hyperlink r:id="rId23">
        <w:r>
          <w:rPr>
            <w:color w:val="1154CC"/>
            <w:spacing w:val="-2"/>
            <w:sz w:val="28"/>
            <w:u w:val="thick" w:color="1154CC"/>
          </w:rPr>
          <w:t>vektor</w:t>
        </w:r>
      </w:hyperlink>
      <w:r>
        <w:rPr>
          <w:spacing w:val="-2"/>
          <w:sz w:val="28"/>
        </w:rPr>
        <w:t>.</w:t>
      </w:r>
    </w:p>
    <w:p w:rsidR="002C65FF" w:rsidRDefault="00B2180F">
      <w:pPr>
        <w:tabs>
          <w:tab w:val="left" w:pos="2544"/>
          <w:tab w:val="left" w:pos="4265"/>
          <w:tab w:val="left" w:pos="5592"/>
          <w:tab w:val="left" w:pos="7641"/>
          <w:tab w:val="left" w:pos="9236"/>
        </w:tabs>
        <w:spacing w:line="360" w:lineRule="auto"/>
        <w:ind w:left="989" w:right="163" w:hanging="705"/>
        <w:jc w:val="both"/>
        <w:rPr>
          <w:sz w:val="28"/>
        </w:rPr>
      </w:pPr>
      <w:r>
        <w:rPr>
          <w:sz w:val="28"/>
        </w:rPr>
        <w:t xml:space="preserve">Кійомпур, С. (2014). Радіо “Озоди”. </w:t>
      </w:r>
      <w:r>
        <w:rPr>
          <w:i/>
          <w:sz w:val="28"/>
        </w:rPr>
        <w:t xml:space="preserve">“Политический ислам в Центральной </w:t>
      </w:r>
      <w:r>
        <w:rPr>
          <w:i/>
          <w:spacing w:val="-2"/>
          <w:sz w:val="28"/>
        </w:rPr>
        <w:t>Азии.</w:t>
      </w:r>
      <w:r>
        <w:rPr>
          <w:i/>
          <w:sz w:val="28"/>
        </w:rPr>
        <w:tab/>
      </w:r>
      <w:r>
        <w:rPr>
          <w:i/>
          <w:spacing w:val="-4"/>
          <w:sz w:val="28"/>
        </w:rPr>
        <w:t>Страх</w:t>
      </w:r>
      <w:r>
        <w:rPr>
          <w:i/>
          <w:sz w:val="28"/>
        </w:rPr>
        <w:tab/>
      </w:r>
      <w:r>
        <w:rPr>
          <w:i/>
          <w:spacing w:val="-4"/>
          <w:sz w:val="28"/>
        </w:rPr>
        <w:t>или</w:t>
      </w:r>
      <w:r>
        <w:rPr>
          <w:i/>
          <w:sz w:val="28"/>
        </w:rPr>
        <w:tab/>
      </w:r>
      <w:r>
        <w:rPr>
          <w:i/>
          <w:spacing w:val="-2"/>
          <w:sz w:val="28"/>
        </w:rPr>
        <w:t>угроза?”</w:t>
      </w:r>
      <w:r>
        <w:rPr>
          <w:spacing w:val="-2"/>
          <w:sz w:val="28"/>
        </w:rPr>
        <w:t>.</w:t>
      </w:r>
      <w:r>
        <w:rPr>
          <w:sz w:val="28"/>
        </w:rPr>
        <w:tab/>
      </w:r>
      <w:r>
        <w:rPr>
          <w:spacing w:val="-2"/>
          <w:sz w:val="28"/>
        </w:rPr>
        <w:t>Взято</w:t>
      </w:r>
      <w:r>
        <w:rPr>
          <w:sz w:val="28"/>
        </w:rPr>
        <w:tab/>
      </w:r>
      <w:r>
        <w:rPr>
          <w:spacing w:val="-10"/>
          <w:sz w:val="28"/>
        </w:rPr>
        <w:t xml:space="preserve">з </w:t>
      </w:r>
      <w:hyperlink r:id="rId24">
        <w:r>
          <w:rPr>
            <w:color w:val="1154CC"/>
            <w:spacing w:val="-2"/>
            <w:sz w:val="28"/>
            <w:u w:val="thick" w:color="1154CC"/>
          </w:rPr>
          <w:t>https://rus.ozodi.org/a/25311530.html</w:t>
        </w:r>
      </w:hyperlink>
      <w:r>
        <w:rPr>
          <w:spacing w:val="-2"/>
          <w:sz w:val="28"/>
        </w:rPr>
        <w:t>.</w:t>
      </w:r>
    </w:p>
    <w:p w:rsidR="002C65FF" w:rsidRDefault="00B2180F">
      <w:pPr>
        <w:tabs>
          <w:tab w:val="left" w:pos="4390"/>
          <w:tab w:val="left" w:pos="8337"/>
        </w:tabs>
        <w:spacing w:line="360" w:lineRule="auto"/>
        <w:ind w:left="989" w:right="165" w:hanging="705"/>
        <w:jc w:val="both"/>
        <w:rPr>
          <w:sz w:val="28"/>
        </w:rPr>
      </w:pPr>
      <w:r>
        <w:rPr>
          <w:sz w:val="28"/>
        </w:rPr>
        <w:t xml:space="preserve">Кузнєцов, В., &amp; Резнікова, О. (2011). </w:t>
      </w:r>
      <w:r>
        <w:rPr>
          <w:i/>
          <w:sz w:val="28"/>
        </w:rPr>
        <w:t>Геополітичні впливи на регіональну безпеку в Центральній Азії: можливі виклики та загрози</w:t>
      </w:r>
      <w:r>
        <w:rPr>
          <w:sz w:val="28"/>
        </w:rPr>
        <w:t xml:space="preserve">. Інститут </w:t>
      </w:r>
      <w:r>
        <w:rPr>
          <w:spacing w:val="-2"/>
          <w:sz w:val="28"/>
        </w:rPr>
        <w:t>проблем</w:t>
      </w:r>
      <w:r>
        <w:rPr>
          <w:sz w:val="28"/>
        </w:rPr>
        <w:tab/>
      </w:r>
      <w:r>
        <w:rPr>
          <w:spacing w:val="-2"/>
          <w:sz w:val="28"/>
        </w:rPr>
        <w:t>національної</w:t>
      </w:r>
      <w:r>
        <w:rPr>
          <w:sz w:val="28"/>
        </w:rPr>
        <w:tab/>
      </w:r>
      <w:r>
        <w:rPr>
          <w:spacing w:val="-2"/>
          <w:sz w:val="28"/>
        </w:rPr>
        <w:t xml:space="preserve">безпеки. </w:t>
      </w:r>
      <w:hyperlink r:id="rId25">
        <w:r>
          <w:rPr>
            <w:color w:val="1154CC"/>
            <w:spacing w:val="-2"/>
            <w:sz w:val="28"/>
            <w:u w:val="thick" w:color="1154CC"/>
          </w:rPr>
          <w:t>https://niss.gov.ua/doslidzhennya/nacionalna-bezpeka/geopolitichni-vplivi</w:t>
        </w:r>
      </w:hyperlink>
    </w:p>
    <w:p w:rsidR="002C65FF" w:rsidRDefault="008476BE">
      <w:pPr>
        <w:pStyle w:val="a3"/>
        <w:ind w:left="989"/>
        <w:jc w:val="left"/>
      </w:pPr>
      <w:hyperlink r:id="rId26">
        <w:r w:rsidR="00B2180F">
          <w:rPr>
            <w:color w:val="1154CC"/>
            <w:spacing w:val="-2"/>
            <w:u w:val="thick" w:color="1154CC"/>
          </w:rPr>
          <w:t>-na-regionalnu-bezpeku-v-centralniy-azii</w:t>
        </w:r>
      </w:hyperlink>
      <w:r w:rsidR="00B2180F">
        <w:rPr>
          <w:spacing w:val="-2"/>
        </w:rPr>
        <w:t>.</w:t>
      </w:r>
    </w:p>
    <w:p w:rsidR="002C65FF" w:rsidRDefault="00B2180F">
      <w:pPr>
        <w:tabs>
          <w:tab w:val="left" w:pos="8652"/>
        </w:tabs>
        <w:spacing w:before="161" w:line="360" w:lineRule="auto"/>
        <w:ind w:left="989" w:right="158" w:hanging="705"/>
        <w:rPr>
          <w:sz w:val="28"/>
        </w:rPr>
      </w:pPr>
      <w:r>
        <w:rPr>
          <w:color w:val="202021"/>
          <w:sz w:val="28"/>
        </w:rPr>
        <w:t>Махно,О.(2023).</w:t>
      </w:r>
      <w:r>
        <w:rPr>
          <w:i/>
          <w:color w:val="202021"/>
          <w:sz w:val="28"/>
        </w:rPr>
        <w:t>РосіявтрачаєКавказ?ЕрдогансильнішийзаПутіна</w:t>
      </w:r>
      <w:r>
        <w:rPr>
          <w:color w:val="202021"/>
          <w:sz w:val="28"/>
        </w:rPr>
        <w:t xml:space="preserve">. </w:t>
      </w:r>
      <w:r>
        <w:rPr>
          <w:color w:val="202021"/>
          <w:spacing w:val="-2"/>
          <w:sz w:val="28"/>
        </w:rPr>
        <w:t>Борисфен</w:t>
      </w:r>
      <w:r>
        <w:rPr>
          <w:color w:val="202021"/>
          <w:sz w:val="28"/>
        </w:rPr>
        <w:tab/>
      </w:r>
      <w:r>
        <w:rPr>
          <w:color w:val="202021"/>
          <w:spacing w:val="-2"/>
          <w:sz w:val="28"/>
        </w:rPr>
        <w:t>Інтел.</w:t>
      </w:r>
    </w:p>
    <w:p w:rsidR="002C65FF" w:rsidRDefault="008476BE">
      <w:pPr>
        <w:pStyle w:val="a3"/>
        <w:ind w:left="989"/>
        <w:jc w:val="left"/>
      </w:pPr>
      <w:hyperlink r:id="rId27">
        <w:r w:rsidR="00B2180F">
          <w:rPr>
            <w:color w:val="1154CC"/>
            <w:spacing w:val="-2"/>
            <w:u w:val="thick" w:color="1154CC"/>
          </w:rPr>
          <w:t>https://bintel.org.ua/analytics/rosiya-vtrachae-kavkaz-erdogan-silnishiy-</w:t>
        </w:r>
        <w:r w:rsidR="00B2180F">
          <w:rPr>
            <w:color w:val="1154CC"/>
            <w:spacing w:val="-5"/>
            <w:u w:val="thick" w:color="1154CC"/>
          </w:rPr>
          <w:t>za</w:t>
        </w:r>
      </w:hyperlink>
    </w:p>
    <w:p w:rsidR="002C65FF" w:rsidRDefault="008476BE">
      <w:pPr>
        <w:pStyle w:val="a3"/>
        <w:spacing w:before="161"/>
        <w:ind w:left="989"/>
        <w:jc w:val="left"/>
      </w:pPr>
      <w:hyperlink r:id="rId28">
        <w:r w:rsidR="00B2180F">
          <w:rPr>
            <w:color w:val="1154CC"/>
            <w:spacing w:val="-2"/>
            <w:u w:val="thick" w:color="1154CC"/>
          </w:rPr>
          <w:t>-putina/</w:t>
        </w:r>
      </w:hyperlink>
      <w:r w:rsidR="00B2180F">
        <w:rPr>
          <w:color w:val="202021"/>
          <w:spacing w:val="-2"/>
        </w:rPr>
        <w:t>.</w:t>
      </w:r>
    </w:p>
    <w:p w:rsidR="002C65FF" w:rsidRDefault="00B2180F">
      <w:pPr>
        <w:tabs>
          <w:tab w:val="left" w:pos="4307"/>
          <w:tab w:val="left" w:pos="6577"/>
          <w:tab w:val="left" w:pos="8669"/>
        </w:tabs>
        <w:spacing w:before="161" w:line="360" w:lineRule="auto"/>
        <w:ind w:left="989" w:right="164" w:hanging="705"/>
        <w:rPr>
          <w:sz w:val="28"/>
        </w:rPr>
      </w:pPr>
      <w:r>
        <w:rPr>
          <w:sz w:val="28"/>
        </w:rPr>
        <w:t>Нестеренко,І.(2022).</w:t>
      </w:r>
      <w:r>
        <w:rPr>
          <w:i/>
          <w:sz w:val="28"/>
        </w:rPr>
        <w:t xml:space="preserve">ЯкРосіяіКитайзмагаютьсязалідерствов </w:t>
      </w:r>
      <w:r>
        <w:rPr>
          <w:i/>
          <w:spacing w:val="-2"/>
          <w:sz w:val="28"/>
        </w:rPr>
        <w:t>Центральній</w:t>
      </w:r>
      <w:r>
        <w:rPr>
          <w:i/>
          <w:sz w:val="28"/>
        </w:rPr>
        <w:tab/>
      </w:r>
      <w:r>
        <w:rPr>
          <w:i/>
          <w:spacing w:val="-2"/>
          <w:sz w:val="28"/>
        </w:rPr>
        <w:t>Азії</w:t>
      </w:r>
      <w:r>
        <w:rPr>
          <w:spacing w:val="-2"/>
          <w:sz w:val="28"/>
        </w:rPr>
        <w:t>.</w:t>
      </w:r>
      <w:r>
        <w:rPr>
          <w:sz w:val="28"/>
        </w:rPr>
        <w:tab/>
      </w:r>
      <w:r>
        <w:rPr>
          <w:spacing w:val="-5"/>
          <w:sz w:val="28"/>
        </w:rPr>
        <w:t>Ad</w:t>
      </w:r>
      <w:r>
        <w:rPr>
          <w:sz w:val="28"/>
        </w:rPr>
        <w:tab/>
      </w:r>
      <w:r>
        <w:rPr>
          <w:spacing w:val="-2"/>
          <w:sz w:val="28"/>
        </w:rPr>
        <w:t>Astra.</w:t>
      </w:r>
    </w:p>
    <w:p w:rsidR="002C65FF" w:rsidRDefault="002C65FF">
      <w:pPr>
        <w:spacing w:line="360" w:lineRule="auto"/>
        <w:rPr>
          <w:sz w:val="28"/>
        </w:rPr>
        <w:sectPr w:rsidR="002C65FF">
          <w:pgSz w:w="11920" w:h="16840"/>
          <w:pgMar w:top="1040" w:right="708" w:bottom="280" w:left="1700" w:header="732" w:footer="0" w:gutter="0"/>
          <w:cols w:space="720"/>
        </w:sectPr>
      </w:pPr>
    </w:p>
    <w:p w:rsidR="002C65FF" w:rsidRDefault="008476BE">
      <w:pPr>
        <w:pStyle w:val="a3"/>
        <w:spacing w:before="78" w:line="360" w:lineRule="auto"/>
        <w:ind w:left="989" w:right="164"/>
        <w:jc w:val="left"/>
      </w:pPr>
      <w:hyperlink r:id="rId29">
        <w:r w:rsidR="00B2180F">
          <w:rPr>
            <w:color w:val="1154CC"/>
            <w:spacing w:val="-2"/>
            <w:u w:val="thick" w:color="1154CC"/>
          </w:rPr>
          <w:t>https://adastra.org.ua/blog/yak-rosiya-i-kitaj-zmagayutsya-za-liderstvo-v-c</w:t>
        </w:r>
      </w:hyperlink>
      <w:hyperlink r:id="rId30">
        <w:r w:rsidR="00B2180F">
          <w:rPr>
            <w:color w:val="1154CC"/>
            <w:spacing w:val="-2"/>
            <w:u w:val="thick" w:color="1154CC"/>
          </w:rPr>
          <w:t>entralnij-aziyi</w:t>
        </w:r>
      </w:hyperlink>
      <w:r w:rsidR="00B2180F">
        <w:rPr>
          <w:spacing w:val="-2"/>
        </w:rPr>
        <w:t>.</w:t>
      </w:r>
    </w:p>
    <w:p w:rsidR="002C65FF" w:rsidRDefault="00B2180F">
      <w:pPr>
        <w:spacing w:line="360" w:lineRule="auto"/>
        <w:ind w:left="989" w:right="159" w:hanging="705"/>
        <w:rPr>
          <w:sz w:val="28"/>
        </w:rPr>
      </w:pPr>
      <w:r>
        <w:rPr>
          <w:sz w:val="28"/>
        </w:rPr>
        <w:t xml:space="preserve">Осмоловська, О. (2010). Інтереси Росії на Південному Кавказі та роль регіонууміжнароднійспівпраці(90-ірр.ХХ–початокХХІст.). </w:t>
      </w:r>
      <w:r>
        <w:rPr>
          <w:i/>
          <w:sz w:val="28"/>
        </w:rPr>
        <w:t>Гілея. Історичні науки. Філософські науки. Політичні науки. Вип. 42</w:t>
      </w:r>
      <w:r>
        <w:rPr>
          <w:sz w:val="28"/>
        </w:rPr>
        <w:t xml:space="preserve">. 86-91. </w:t>
      </w:r>
      <w:hyperlink r:id="rId31">
        <w:r>
          <w:rPr>
            <w:color w:val="1154CC"/>
            <w:sz w:val="28"/>
            <w:u w:val="thick" w:color="1154CC"/>
          </w:rPr>
          <w:t>https://enpuir.udu.edu.ua/handle/123456789/14347</w:t>
        </w:r>
      </w:hyperlink>
      <w:r>
        <w:rPr>
          <w:sz w:val="28"/>
        </w:rPr>
        <w:t>.</w:t>
      </w:r>
    </w:p>
    <w:p w:rsidR="002C65FF" w:rsidRDefault="00B2180F">
      <w:pPr>
        <w:spacing w:line="360" w:lineRule="auto"/>
        <w:ind w:left="989" w:hanging="705"/>
        <w:rPr>
          <w:sz w:val="28"/>
        </w:rPr>
      </w:pPr>
      <w:r>
        <w:rPr>
          <w:sz w:val="28"/>
        </w:rPr>
        <w:t xml:space="preserve">Осмоловська, О. (2012). Формування системи регіональної безпеки на ПівденномуКавказі (кінець ХХ-початок ХХІ ст.). </w:t>
      </w:r>
      <w:r>
        <w:rPr>
          <w:i/>
          <w:sz w:val="28"/>
        </w:rPr>
        <w:t xml:space="preserve">Всесвітня історія очимаукраїнськихісториків,присвяченанауковомуіпедагогічному доробку фундаторів кафедри, професорів М. Ф. Александри та А.Ф. </w:t>
      </w:r>
      <w:r>
        <w:rPr>
          <w:i/>
          <w:spacing w:val="-2"/>
          <w:sz w:val="28"/>
        </w:rPr>
        <w:t>Трубайчука</w:t>
      </w:r>
      <w:r>
        <w:rPr>
          <w:spacing w:val="-2"/>
          <w:sz w:val="28"/>
        </w:rPr>
        <w:t>.151-155.</w:t>
      </w:r>
      <w:hyperlink r:id="rId32">
        <w:r>
          <w:rPr>
            <w:color w:val="1154CC"/>
            <w:spacing w:val="-2"/>
            <w:sz w:val="28"/>
            <w:u w:val="thick" w:color="1154CC"/>
          </w:rPr>
          <w:t>https://enpuir.udu.edu.ua/handle/123456789/14889</w:t>
        </w:r>
      </w:hyperlink>
      <w:r>
        <w:rPr>
          <w:spacing w:val="-2"/>
          <w:sz w:val="28"/>
        </w:rPr>
        <w:t>.</w:t>
      </w:r>
    </w:p>
    <w:p w:rsidR="002C65FF" w:rsidRDefault="00B2180F">
      <w:pPr>
        <w:spacing w:line="360" w:lineRule="auto"/>
        <w:ind w:left="989" w:right="158" w:hanging="705"/>
        <w:jc w:val="both"/>
        <w:rPr>
          <w:sz w:val="28"/>
        </w:rPr>
      </w:pPr>
      <w:r>
        <w:rPr>
          <w:sz w:val="28"/>
        </w:rPr>
        <w:t xml:space="preserve">Пойта, Ю. (2023). </w:t>
      </w:r>
      <w:r>
        <w:rPr>
          <w:i/>
          <w:sz w:val="28"/>
        </w:rPr>
        <w:t>Російська геополітична стратегія в Центральній Азії: як РФ посилює інструменти впливу</w:t>
      </w:r>
      <w:r>
        <w:rPr>
          <w:sz w:val="28"/>
        </w:rPr>
        <w:t xml:space="preserve">. New Geopolitics Research </w:t>
      </w:r>
      <w:r>
        <w:rPr>
          <w:spacing w:val="-2"/>
          <w:sz w:val="28"/>
        </w:rPr>
        <w:t>Network.</w:t>
      </w:r>
    </w:p>
    <w:p w:rsidR="002C65FF" w:rsidRDefault="008476BE">
      <w:pPr>
        <w:pStyle w:val="a3"/>
        <w:spacing w:line="360" w:lineRule="auto"/>
        <w:ind w:left="989" w:right="211"/>
        <w:jc w:val="left"/>
      </w:pPr>
      <w:hyperlink r:id="rId33">
        <w:r w:rsidR="00B2180F">
          <w:rPr>
            <w:color w:val="1154CC"/>
            <w:spacing w:val="-2"/>
            <w:u w:val="thick" w:color="1154CC"/>
          </w:rPr>
          <w:t>https://analytics.intsecurity.org/wp-content/uploads/2023/09/Ukr_NGRN_</w:t>
        </w:r>
      </w:hyperlink>
      <w:hyperlink r:id="rId34">
        <w:r w:rsidR="00B2180F">
          <w:rPr>
            <w:color w:val="1154CC"/>
            <w:spacing w:val="-2"/>
            <w:u w:val="thick" w:color="1154CC"/>
          </w:rPr>
          <w:t>07_Russia_Central-Asia-1.pdf</w:t>
        </w:r>
      </w:hyperlink>
      <w:r w:rsidR="00B2180F">
        <w:rPr>
          <w:spacing w:val="-2"/>
        </w:rPr>
        <w:t>.</w:t>
      </w:r>
    </w:p>
    <w:p w:rsidR="002C65FF" w:rsidRDefault="00B2180F">
      <w:pPr>
        <w:tabs>
          <w:tab w:val="left" w:pos="1769"/>
          <w:tab w:val="left" w:pos="2988"/>
          <w:tab w:val="left" w:pos="4105"/>
          <w:tab w:val="left" w:pos="4566"/>
          <w:tab w:val="left" w:pos="6366"/>
          <w:tab w:val="left" w:pos="7261"/>
          <w:tab w:val="left" w:pos="7741"/>
        </w:tabs>
        <w:spacing w:line="360" w:lineRule="auto"/>
        <w:ind w:left="989" w:right="162" w:hanging="705"/>
        <w:rPr>
          <w:sz w:val="28"/>
        </w:rPr>
      </w:pPr>
      <w:r>
        <w:rPr>
          <w:sz w:val="28"/>
        </w:rPr>
        <w:t xml:space="preserve">Центр стратегічних комунікацій та інформаційної безпеки. (2024). </w:t>
      </w:r>
      <w:r>
        <w:rPr>
          <w:i/>
          <w:sz w:val="28"/>
        </w:rPr>
        <w:t xml:space="preserve">Україна </w:t>
      </w:r>
      <w:r>
        <w:rPr>
          <w:i/>
          <w:spacing w:val="-4"/>
          <w:sz w:val="28"/>
        </w:rPr>
        <w:t>має</w:t>
      </w:r>
      <w:r>
        <w:rPr>
          <w:i/>
          <w:sz w:val="28"/>
        </w:rPr>
        <w:tab/>
      </w:r>
      <w:r>
        <w:rPr>
          <w:i/>
          <w:spacing w:val="-2"/>
          <w:sz w:val="28"/>
        </w:rPr>
        <w:t>«точки</w:t>
      </w:r>
      <w:r>
        <w:rPr>
          <w:i/>
          <w:sz w:val="28"/>
        </w:rPr>
        <w:tab/>
      </w:r>
      <w:r>
        <w:rPr>
          <w:i/>
          <w:spacing w:val="-2"/>
          <w:sz w:val="28"/>
        </w:rPr>
        <w:t>входу»</w:t>
      </w:r>
      <w:r>
        <w:rPr>
          <w:i/>
          <w:sz w:val="28"/>
        </w:rPr>
        <w:tab/>
      </w:r>
      <w:r>
        <w:rPr>
          <w:i/>
          <w:spacing w:val="-10"/>
          <w:sz w:val="28"/>
        </w:rPr>
        <w:t>в</w:t>
      </w:r>
      <w:r>
        <w:rPr>
          <w:i/>
          <w:sz w:val="28"/>
        </w:rPr>
        <w:tab/>
      </w:r>
      <w:r>
        <w:rPr>
          <w:i/>
          <w:spacing w:val="-2"/>
          <w:sz w:val="28"/>
        </w:rPr>
        <w:t>Центральну</w:t>
      </w:r>
      <w:r>
        <w:rPr>
          <w:i/>
          <w:sz w:val="28"/>
        </w:rPr>
        <w:tab/>
      </w:r>
      <w:r>
        <w:rPr>
          <w:i/>
          <w:spacing w:val="-4"/>
          <w:sz w:val="28"/>
        </w:rPr>
        <w:t>Азію</w:t>
      </w:r>
      <w:r>
        <w:rPr>
          <w:i/>
          <w:sz w:val="28"/>
        </w:rPr>
        <w:tab/>
      </w:r>
      <w:r>
        <w:rPr>
          <w:i/>
          <w:spacing w:val="-10"/>
          <w:sz w:val="28"/>
        </w:rPr>
        <w:t>–</w:t>
      </w:r>
      <w:r>
        <w:rPr>
          <w:i/>
          <w:sz w:val="28"/>
        </w:rPr>
        <w:tab/>
      </w:r>
      <w:r>
        <w:rPr>
          <w:i/>
          <w:spacing w:val="-2"/>
          <w:sz w:val="28"/>
        </w:rPr>
        <w:t>дослідження</w:t>
      </w:r>
      <w:r>
        <w:rPr>
          <w:spacing w:val="-2"/>
          <w:sz w:val="28"/>
        </w:rPr>
        <w:t xml:space="preserve">. </w:t>
      </w:r>
      <w:hyperlink r:id="rId35">
        <w:r>
          <w:rPr>
            <w:color w:val="1154CC"/>
            <w:spacing w:val="-2"/>
            <w:sz w:val="28"/>
            <w:u w:val="thick" w:color="1154CC"/>
          </w:rPr>
          <w:t>https://spravdi.gov.ua/ukrayina-maye-tochky-vhodu-v-czentralnu-aziyu-d</w:t>
        </w:r>
      </w:hyperlink>
      <w:hyperlink r:id="rId36">
        <w:r>
          <w:rPr>
            <w:color w:val="1154CC"/>
            <w:spacing w:val="-2"/>
            <w:sz w:val="28"/>
            <w:u w:val="thick" w:color="1154CC"/>
          </w:rPr>
          <w:t>oslidzhennya/</w:t>
        </w:r>
      </w:hyperlink>
      <w:r>
        <w:rPr>
          <w:spacing w:val="-2"/>
          <w:sz w:val="28"/>
        </w:rPr>
        <w:t>.</w:t>
      </w:r>
    </w:p>
    <w:p w:rsidR="002C65FF" w:rsidRDefault="00B2180F">
      <w:pPr>
        <w:spacing w:line="360" w:lineRule="auto"/>
        <w:ind w:left="989" w:right="159" w:hanging="705"/>
        <w:jc w:val="both"/>
        <w:rPr>
          <w:sz w:val="28"/>
        </w:rPr>
      </w:pPr>
      <w:r>
        <w:rPr>
          <w:sz w:val="28"/>
        </w:rPr>
        <w:t xml:space="preserve">Ярмоленко, В. (2025). </w:t>
      </w:r>
      <w:r>
        <w:rPr>
          <w:i/>
          <w:sz w:val="28"/>
        </w:rPr>
        <w:t>Тенденції впливу Росії в Центральній Азії: підсумки 2024 року</w:t>
      </w:r>
      <w:r>
        <w:rPr>
          <w:sz w:val="28"/>
        </w:rPr>
        <w:t xml:space="preserve">. Національний інститут стратегічних досліджень. </w:t>
      </w:r>
      <w:hyperlink r:id="rId37">
        <w:r>
          <w:rPr>
            <w:color w:val="1154CC"/>
            <w:spacing w:val="-2"/>
            <w:sz w:val="28"/>
            <w:u w:val="thick" w:color="1154CC"/>
          </w:rPr>
          <w:t>https://niss.gov.ua/doslidzhennya/mizhnarodni-vidnosyny/tendentsiyi-vply</w:t>
        </w:r>
      </w:hyperlink>
      <w:hyperlink r:id="rId38">
        <w:r>
          <w:rPr>
            <w:color w:val="1154CC"/>
            <w:spacing w:val="-2"/>
            <w:sz w:val="28"/>
            <w:u w:val="thick" w:color="1154CC"/>
          </w:rPr>
          <w:t>vu-rosiyi-v-tsentralniy-aziyi-pidsumky-2024</w:t>
        </w:r>
      </w:hyperlink>
      <w:r>
        <w:rPr>
          <w:spacing w:val="-2"/>
          <w:sz w:val="28"/>
        </w:rPr>
        <w:t>.</w:t>
      </w:r>
    </w:p>
    <w:p w:rsidR="002C65FF" w:rsidRDefault="00B2180F">
      <w:pPr>
        <w:tabs>
          <w:tab w:val="left" w:pos="2573"/>
          <w:tab w:val="left" w:pos="4360"/>
          <w:tab w:val="left" w:pos="6249"/>
          <w:tab w:val="left" w:pos="8455"/>
        </w:tabs>
        <w:spacing w:line="360" w:lineRule="auto"/>
        <w:ind w:left="989" w:right="159" w:hanging="705"/>
        <w:jc w:val="both"/>
        <w:rPr>
          <w:sz w:val="28"/>
        </w:rPr>
      </w:pPr>
      <w:r>
        <w:rPr>
          <w:color w:val="1B1B1C"/>
          <w:sz w:val="28"/>
        </w:rPr>
        <w:t xml:space="preserve">Abdullazade, S., Melikyan, A., Sartania, K., </w:t>
      </w:r>
      <w:r>
        <w:rPr>
          <w:sz w:val="28"/>
        </w:rPr>
        <w:t>&amp;</w:t>
      </w:r>
      <w:r>
        <w:rPr>
          <w:color w:val="1B1B1C"/>
          <w:sz w:val="28"/>
        </w:rPr>
        <w:t xml:space="preserve">Veliyev, J. (2018). </w:t>
      </w:r>
      <w:r>
        <w:rPr>
          <w:i/>
          <w:color w:val="1B1B1C"/>
          <w:sz w:val="28"/>
        </w:rPr>
        <w:t xml:space="preserve">The rise of new nationalism in Armenia, Azerbaijan, and Georgia in the Late 1980s </w:t>
      </w:r>
      <w:r>
        <w:rPr>
          <w:i/>
          <w:color w:val="1B1B1C"/>
          <w:spacing w:val="-4"/>
          <w:sz w:val="28"/>
        </w:rPr>
        <w:t>and</w:t>
      </w:r>
      <w:r>
        <w:rPr>
          <w:i/>
          <w:color w:val="1B1B1C"/>
          <w:sz w:val="28"/>
        </w:rPr>
        <w:tab/>
      </w:r>
      <w:r>
        <w:rPr>
          <w:i/>
          <w:color w:val="1B1B1C"/>
          <w:spacing w:val="-4"/>
          <w:sz w:val="28"/>
        </w:rPr>
        <w:t>Early</w:t>
      </w:r>
      <w:r>
        <w:rPr>
          <w:i/>
          <w:color w:val="1B1B1C"/>
          <w:sz w:val="28"/>
        </w:rPr>
        <w:tab/>
      </w:r>
      <w:r>
        <w:rPr>
          <w:i/>
          <w:color w:val="1B1B1C"/>
          <w:spacing w:val="-2"/>
          <w:sz w:val="28"/>
        </w:rPr>
        <w:t>1990s</w:t>
      </w:r>
      <w:r>
        <w:rPr>
          <w:color w:val="1B1B1C"/>
          <w:spacing w:val="-2"/>
          <w:sz w:val="28"/>
        </w:rPr>
        <w:t>.</w:t>
      </w:r>
      <w:r>
        <w:rPr>
          <w:color w:val="1B1B1C"/>
          <w:sz w:val="28"/>
        </w:rPr>
        <w:tab/>
      </w:r>
      <w:r>
        <w:rPr>
          <w:color w:val="1B1B1C"/>
          <w:spacing w:val="-2"/>
          <w:sz w:val="28"/>
        </w:rPr>
        <w:t>Caucasus</w:t>
      </w:r>
      <w:r>
        <w:rPr>
          <w:color w:val="1B1B1C"/>
          <w:sz w:val="28"/>
        </w:rPr>
        <w:tab/>
      </w:r>
      <w:r>
        <w:rPr>
          <w:color w:val="1B1B1C"/>
          <w:spacing w:val="-2"/>
          <w:sz w:val="28"/>
        </w:rPr>
        <w:t xml:space="preserve">Edition. </w:t>
      </w:r>
      <w:hyperlink r:id="rId39">
        <w:r>
          <w:rPr>
            <w:color w:val="1154CC"/>
            <w:spacing w:val="-2"/>
            <w:sz w:val="28"/>
            <w:u w:val="thick" w:color="1154CC"/>
          </w:rPr>
          <w:t>https://caucasusedition.net/the-rise-of-new-nationalism-in-armenia-azerba</w:t>
        </w:r>
      </w:hyperlink>
      <w:hyperlink r:id="rId40">
        <w:r>
          <w:rPr>
            <w:color w:val="1154CC"/>
            <w:spacing w:val="-2"/>
            <w:sz w:val="28"/>
            <w:u w:val="thick" w:color="1154CC"/>
          </w:rPr>
          <w:t>ijan-and-georgia-in-the-late-1980s-and-early-1990s/</w:t>
        </w:r>
      </w:hyperlink>
      <w:r>
        <w:rPr>
          <w:spacing w:val="-2"/>
          <w:sz w:val="28"/>
        </w:rPr>
        <w:t>.</w:t>
      </w:r>
    </w:p>
    <w:p w:rsidR="002C65FF" w:rsidRDefault="002C65FF">
      <w:pPr>
        <w:spacing w:line="360" w:lineRule="auto"/>
        <w:jc w:val="both"/>
        <w:rPr>
          <w:sz w:val="28"/>
        </w:rPr>
        <w:sectPr w:rsidR="002C65FF">
          <w:pgSz w:w="11920" w:h="16840"/>
          <w:pgMar w:top="1040" w:right="708" w:bottom="280" w:left="1700" w:header="732" w:footer="0" w:gutter="0"/>
          <w:cols w:space="720"/>
        </w:sectPr>
      </w:pPr>
    </w:p>
    <w:p w:rsidR="002C65FF" w:rsidRDefault="00B2180F">
      <w:pPr>
        <w:tabs>
          <w:tab w:val="left" w:pos="3822"/>
          <w:tab w:val="left" w:pos="6678"/>
          <w:tab w:val="left" w:pos="8586"/>
        </w:tabs>
        <w:spacing w:before="59" w:line="348" w:lineRule="auto"/>
        <w:ind w:left="989" w:right="156" w:hanging="705"/>
        <w:jc w:val="both"/>
        <w:rPr>
          <w:sz w:val="28"/>
        </w:rPr>
      </w:pPr>
      <w:r>
        <w:rPr>
          <w:sz w:val="28"/>
        </w:rPr>
        <w:t xml:space="preserve">Aliyev, H. (2014). </w:t>
      </w:r>
      <w:r>
        <w:rPr>
          <w:i/>
          <w:sz w:val="28"/>
        </w:rPr>
        <w:t>The Soviet LegacyandPost</w:t>
      </w:r>
      <w:r>
        <w:rPr>
          <w:rFonts w:ascii="SimSun-ExtB" w:hAnsi="SimSun-ExtB"/>
          <w:sz w:val="28"/>
        </w:rPr>
        <w:t>‐</w:t>
      </w:r>
      <w:r>
        <w:rPr>
          <w:i/>
          <w:sz w:val="28"/>
        </w:rPr>
        <w:t xml:space="preserve">CommunistCivilSocietyinthe </w:t>
      </w:r>
      <w:r>
        <w:rPr>
          <w:i/>
          <w:spacing w:val="-2"/>
          <w:sz w:val="28"/>
        </w:rPr>
        <w:t>Caucasus</w:t>
      </w:r>
      <w:r>
        <w:rPr>
          <w:spacing w:val="-2"/>
          <w:sz w:val="28"/>
        </w:rPr>
        <w:t>.</w:t>
      </w:r>
      <w:r>
        <w:rPr>
          <w:sz w:val="28"/>
        </w:rPr>
        <w:tab/>
      </w:r>
      <w:r>
        <w:rPr>
          <w:spacing w:val="-2"/>
          <w:sz w:val="28"/>
        </w:rPr>
        <w:t>University</w:t>
      </w:r>
      <w:r>
        <w:rPr>
          <w:sz w:val="28"/>
        </w:rPr>
        <w:tab/>
      </w:r>
      <w:r>
        <w:rPr>
          <w:spacing w:val="-6"/>
          <w:sz w:val="28"/>
        </w:rPr>
        <w:t>of</w:t>
      </w:r>
      <w:r>
        <w:rPr>
          <w:sz w:val="28"/>
        </w:rPr>
        <w:tab/>
      </w:r>
      <w:r>
        <w:rPr>
          <w:spacing w:val="-2"/>
          <w:sz w:val="28"/>
        </w:rPr>
        <w:t xml:space="preserve">Otago. </w:t>
      </w:r>
      <w:hyperlink r:id="rId41">
        <w:r>
          <w:rPr>
            <w:color w:val="1154CC"/>
            <w:spacing w:val="-2"/>
            <w:sz w:val="28"/>
            <w:u w:val="thick" w:color="1154CC"/>
          </w:rPr>
          <w:t>https://ourarchive.otago.ac.nz/esploro/outputs/doctoral/The-Soviet-Legacy</w:t>
        </w:r>
      </w:hyperlink>
    </w:p>
    <w:p w:rsidR="002C65FF" w:rsidRDefault="008476BE">
      <w:pPr>
        <w:pStyle w:val="a3"/>
        <w:spacing w:before="14"/>
        <w:ind w:left="989"/>
        <w:jc w:val="left"/>
      </w:pPr>
      <w:hyperlink r:id="rId42">
        <w:r w:rsidR="00B2180F">
          <w:rPr>
            <w:color w:val="1154CC"/>
            <w:spacing w:val="-2"/>
            <w:u w:val="thick" w:color="1154CC"/>
          </w:rPr>
          <w:t>-and-PostCommunist-Civil/9926480435901891</w:t>
        </w:r>
      </w:hyperlink>
      <w:r w:rsidR="00B2180F">
        <w:rPr>
          <w:spacing w:val="-2"/>
        </w:rPr>
        <w:t>.</w:t>
      </w:r>
    </w:p>
    <w:p w:rsidR="002C65FF" w:rsidRDefault="00B2180F">
      <w:pPr>
        <w:tabs>
          <w:tab w:val="left" w:pos="2777"/>
          <w:tab w:val="left" w:pos="4100"/>
          <w:tab w:val="left" w:pos="6448"/>
          <w:tab w:val="left" w:pos="8191"/>
        </w:tabs>
        <w:spacing w:before="161" w:line="360" w:lineRule="auto"/>
        <w:ind w:left="989" w:right="158" w:hanging="705"/>
        <w:jc w:val="both"/>
        <w:rPr>
          <w:sz w:val="28"/>
        </w:rPr>
      </w:pPr>
      <w:r>
        <w:rPr>
          <w:color w:val="1B1B1C"/>
          <w:sz w:val="28"/>
        </w:rPr>
        <w:t>Aliyeva,L.(2000).</w:t>
      </w:r>
      <w:r>
        <w:rPr>
          <w:i/>
          <w:color w:val="1B1B1C"/>
          <w:sz w:val="28"/>
        </w:rPr>
        <w:t xml:space="preserve">ReshapingEurasia:Foreignpolicystrategiesandleadership </w:t>
      </w:r>
      <w:r>
        <w:rPr>
          <w:i/>
          <w:color w:val="1B1B1C"/>
          <w:spacing w:val="-2"/>
          <w:sz w:val="28"/>
        </w:rPr>
        <w:t>assets</w:t>
      </w:r>
      <w:r>
        <w:rPr>
          <w:i/>
          <w:color w:val="1B1B1C"/>
          <w:sz w:val="28"/>
        </w:rPr>
        <w:tab/>
      </w:r>
      <w:r>
        <w:rPr>
          <w:i/>
          <w:color w:val="1B1B1C"/>
          <w:spacing w:val="-6"/>
          <w:sz w:val="28"/>
        </w:rPr>
        <w:t>in</w:t>
      </w:r>
      <w:r>
        <w:rPr>
          <w:i/>
          <w:color w:val="1B1B1C"/>
          <w:sz w:val="28"/>
        </w:rPr>
        <w:tab/>
      </w:r>
      <w:r>
        <w:rPr>
          <w:i/>
          <w:color w:val="1B1B1C"/>
          <w:spacing w:val="-2"/>
          <w:sz w:val="28"/>
        </w:rPr>
        <w:t>post-Soviet</w:t>
      </w:r>
      <w:r>
        <w:rPr>
          <w:i/>
          <w:color w:val="1B1B1C"/>
          <w:sz w:val="28"/>
        </w:rPr>
        <w:tab/>
      </w:r>
      <w:r>
        <w:rPr>
          <w:i/>
          <w:color w:val="1B1B1C"/>
          <w:spacing w:val="-2"/>
          <w:sz w:val="28"/>
        </w:rPr>
        <w:t>South</w:t>
      </w:r>
      <w:r>
        <w:rPr>
          <w:i/>
          <w:color w:val="1B1B1C"/>
          <w:sz w:val="28"/>
        </w:rPr>
        <w:tab/>
      </w:r>
      <w:r>
        <w:rPr>
          <w:i/>
          <w:color w:val="1B1B1C"/>
          <w:spacing w:val="-2"/>
          <w:sz w:val="28"/>
        </w:rPr>
        <w:t>Caucasus</w:t>
      </w:r>
      <w:r>
        <w:rPr>
          <w:color w:val="1B1B1C"/>
          <w:spacing w:val="-2"/>
          <w:sz w:val="28"/>
        </w:rPr>
        <w:t xml:space="preserve">. </w:t>
      </w:r>
      <w:hyperlink r:id="rId43">
        <w:r>
          <w:rPr>
            <w:color w:val="1154CC"/>
            <w:spacing w:val="-2"/>
            <w:sz w:val="28"/>
            <w:u w:val="thick" w:color="1154CC"/>
          </w:rPr>
          <w:t>https://iseees.berkeley.edu/sites/default/files/2000_01-alie.pdf</w:t>
        </w:r>
      </w:hyperlink>
      <w:r>
        <w:rPr>
          <w:spacing w:val="-2"/>
          <w:sz w:val="28"/>
        </w:rPr>
        <w:t>.</w:t>
      </w:r>
    </w:p>
    <w:p w:rsidR="002C65FF" w:rsidRDefault="00B2180F">
      <w:pPr>
        <w:pStyle w:val="a3"/>
        <w:tabs>
          <w:tab w:val="left" w:pos="5104"/>
          <w:tab w:val="left" w:pos="8624"/>
        </w:tabs>
        <w:spacing w:line="360" w:lineRule="auto"/>
        <w:ind w:left="989" w:right="157" w:hanging="705"/>
      </w:pPr>
      <w:r>
        <w:t xml:space="preserve">Allen-Ebrahimian, B. (2024). China’s‘ElectricSilkRoad’testslocalloyaltiesto </w:t>
      </w:r>
      <w:r>
        <w:rPr>
          <w:spacing w:val="-2"/>
        </w:rPr>
        <w:t>Moscow.</w:t>
      </w:r>
      <w:r>
        <w:tab/>
      </w:r>
      <w:r>
        <w:rPr>
          <w:i/>
          <w:spacing w:val="-4"/>
        </w:rPr>
        <w:t>The</w:t>
      </w:r>
      <w:r>
        <w:rPr>
          <w:i/>
        </w:rPr>
        <w:tab/>
      </w:r>
      <w:r>
        <w:rPr>
          <w:i/>
          <w:spacing w:val="-4"/>
        </w:rPr>
        <w:t>Times</w:t>
      </w:r>
      <w:r>
        <w:rPr>
          <w:spacing w:val="-4"/>
        </w:rPr>
        <w:t xml:space="preserve">. </w:t>
      </w:r>
      <w:hyperlink r:id="rId44">
        <w:r>
          <w:rPr>
            <w:color w:val="1154CC"/>
            <w:spacing w:val="-2"/>
            <w:u w:val="thick" w:color="1154CC"/>
          </w:rPr>
          <w:t>https://www.thetimes.co.uk/article/chinas-electric-silk-road-tests-local-loy</w:t>
        </w:r>
      </w:hyperlink>
      <w:hyperlink r:id="rId45">
        <w:r>
          <w:rPr>
            <w:color w:val="1154CC"/>
            <w:spacing w:val="-2"/>
            <w:u w:val="thick" w:color="1154CC"/>
          </w:rPr>
          <w:t>alties-to-moscow-vxqb3zv2d</w:t>
        </w:r>
      </w:hyperlink>
      <w:r>
        <w:rPr>
          <w:spacing w:val="-2"/>
        </w:rPr>
        <w:t>.</w:t>
      </w:r>
    </w:p>
    <w:p w:rsidR="002C65FF" w:rsidRDefault="00B2180F">
      <w:pPr>
        <w:tabs>
          <w:tab w:val="left" w:pos="4847"/>
          <w:tab w:val="left" w:pos="8348"/>
        </w:tabs>
        <w:spacing w:line="360" w:lineRule="auto"/>
        <w:ind w:left="989" w:right="157" w:hanging="705"/>
        <w:jc w:val="both"/>
        <w:rPr>
          <w:sz w:val="28"/>
        </w:rPr>
      </w:pPr>
      <w:r>
        <w:rPr>
          <w:color w:val="1B1B1C"/>
          <w:sz w:val="28"/>
        </w:rPr>
        <w:t xml:space="preserve">Ananyan, G., Ordukhanyan, E., Shirinyan, L., </w:t>
      </w:r>
      <w:r>
        <w:rPr>
          <w:sz w:val="28"/>
        </w:rPr>
        <w:t>&amp;</w:t>
      </w:r>
      <w:r>
        <w:rPr>
          <w:color w:val="1B1B1C"/>
          <w:sz w:val="28"/>
        </w:rPr>
        <w:t xml:space="preserve">Sukiasyan, H. (2025). A new balance of power in the South Caucasus: How can it lead to regional stability?. </w:t>
      </w:r>
      <w:r>
        <w:rPr>
          <w:i/>
          <w:color w:val="1B1B1C"/>
          <w:sz w:val="28"/>
        </w:rPr>
        <w:t xml:space="preserve">International Journal of Innovative Research and Scientific </w:t>
      </w:r>
      <w:r>
        <w:rPr>
          <w:i/>
          <w:color w:val="1B1B1C"/>
          <w:spacing w:val="-2"/>
          <w:sz w:val="28"/>
        </w:rPr>
        <w:t>Studies</w:t>
      </w:r>
      <w:r>
        <w:rPr>
          <w:color w:val="1B1B1C"/>
          <w:spacing w:val="-2"/>
          <w:sz w:val="28"/>
        </w:rPr>
        <w:t>,</w:t>
      </w:r>
      <w:r>
        <w:rPr>
          <w:color w:val="1B1B1C"/>
          <w:sz w:val="28"/>
        </w:rPr>
        <w:tab/>
      </w:r>
      <w:r>
        <w:rPr>
          <w:i/>
          <w:color w:val="1B1B1C"/>
          <w:spacing w:val="-4"/>
          <w:sz w:val="28"/>
        </w:rPr>
        <w:t>8</w:t>
      </w:r>
      <w:r>
        <w:rPr>
          <w:color w:val="1B1B1C"/>
          <w:spacing w:val="-4"/>
          <w:sz w:val="28"/>
        </w:rPr>
        <w:t>(2),</w:t>
      </w:r>
      <w:r>
        <w:rPr>
          <w:color w:val="1B1B1C"/>
          <w:sz w:val="28"/>
        </w:rPr>
        <w:tab/>
      </w:r>
      <w:r>
        <w:rPr>
          <w:color w:val="1B1B1C"/>
          <w:spacing w:val="-2"/>
          <w:sz w:val="28"/>
        </w:rPr>
        <w:t>206-</w:t>
      </w:r>
      <w:r>
        <w:rPr>
          <w:color w:val="1B1B1C"/>
          <w:spacing w:val="-4"/>
          <w:sz w:val="28"/>
        </w:rPr>
        <w:t>220.</w:t>
      </w:r>
    </w:p>
    <w:p w:rsidR="002C65FF" w:rsidRDefault="008476BE">
      <w:pPr>
        <w:pStyle w:val="a3"/>
        <w:ind w:left="989"/>
        <w:jc w:val="left"/>
      </w:pPr>
      <w:hyperlink r:id="rId46">
        <w:r w:rsidR="00B2180F">
          <w:rPr>
            <w:color w:val="1154CC"/>
            <w:spacing w:val="-2"/>
            <w:u w:val="thick" w:color="1154CC"/>
          </w:rPr>
          <w:t>https://www.ijirss.com/index.php/ijirss/article/download/5138/836/8278</w:t>
        </w:r>
      </w:hyperlink>
      <w:r w:rsidR="00B2180F">
        <w:rPr>
          <w:spacing w:val="-2"/>
        </w:rPr>
        <w:t>.</w:t>
      </w:r>
    </w:p>
    <w:p w:rsidR="002C65FF" w:rsidRDefault="00B2180F">
      <w:pPr>
        <w:tabs>
          <w:tab w:val="left" w:pos="3387"/>
          <w:tab w:val="left" w:pos="5513"/>
          <w:tab w:val="left" w:pos="7250"/>
          <w:tab w:val="left" w:pos="8817"/>
        </w:tabs>
        <w:spacing w:before="161" w:line="360" w:lineRule="auto"/>
        <w:ind w:left="989" w:right="155" w:hanging="705"/>
        <w:jc w:val="both"/>
        <w:rPr>
          <w:sz w:val="28"/>
        </w:rPr>
      </w:pPr>
      <w:r>
        <w:rPr>
          <w:i/>
          <w:color w:val="1B1B1C"/>
          <w:sz w:val="28"/>
        </w:rPr>
        <w:t xml:space="preserve">Armenia-Azerbaijan-Georgia - A comparative analysis of enforced disappearances and the missing in Middle East, North Africa and </w:t>
      </w:r>
      <w:r>
        <w:rPr>
          <w:i/>
          <w:color w:val="1B1B1C"/>
          <w:spacing w:val="-2"/>
          <w:sz w:val="28"/>
        </w:rPr>
        <w:t>Caucasus</w:t>
      </w:r>
      <w:r>
        <w:rPr>
          <w:color w:val="1B1B1C"/>
          <w:spacing w:val="-2"/>
          <w:sz w:val="28"/>
        </w:rPr>
        <w:t>.</w:t>
      </w:r>
      <w:r>
        <w:rPr>
          <w:color w:val="1B1B1C"/>
          <w:sz w:val="28"/>
        </w:rPr>
        <w:tab/>
      </w:r>
      <w:r>
        <w:rPr>
          <w:color w:val="1B1B1C"/>
          <w:spacing w:val="-2"/>
          <w:sz w:val="28"/>
        </w:rPr>
        <w:t>Dealing</w:t>
      </w:r>
      <w:r>
        <w:rPr>
          <w:color w:val="1B1B1C"/>
          <w:sz w:val="28"/>
        </w:rPr>
        <w:tab/>
      </w:r>
      <w:r>
        <w:rPr>
          <w:color w:val="1B1B1C"/>
          <w:spacing w:val="-4"/>
          <w:sz w:val="28"/>
        </w:rPr>
        <w:t>with</w:t>
      </w:r>
      <w:r>
        <w:rPr>
          <w:color w:val="1B1B1C"/>
          <w:sz w:val="28"/>
        </w:rPr>
        <w:tab/>
      </w:r>
      <w:r>
        <w:rPr>
          <w:color w:val="1B1B1C"/>
          <w:spacing w:val="-4"/>
          <w:sz w:val="28"/>
        </w:rPr>
        <w:t>the</w:t>
      </w:r>
      <w:r>
        <w:rPr>
          <w:color w:val="1B1B1C"/>
          <w:sz w:val="28"/>
        </w:rPr>
        <w:tab/>
      </w:r>
      <w:r>
        <w:rPr>
          <w:color w:val="1B1B1C"/>
          <w:spacing w:val="-2"/>
          <w:sz w:val="28"/>
        </w:rPr>
        <w:t xml:space="preserve">Past. </w:t>
      </w:r>
      <w:hyperlink r:id="rId47">
        <w:r>
          <w:rPr>
            <w:color w:val="1154CC"/>
            <w:spacing w:val="-2"/>
            <w:sz w:val="28"/>
            <w:u w:val="thick" w:color="1154CC"/>
          </w:rPr>
          <w:t>https://enforceddisappearances.dealingwiththepast.org/armenia-azerbaijan</w:t>
        </w:r>
      </w:hyperlink>
    </w:p>
    <w:p w:rsidR="002C65FF" w:rsidRDefault="008476BE">
      <w:pPr>
        <w:pStyle w:val="a3"/>
        <w:ind w:left="989"/>
        <w:jc w:val="left"/>
      </w:pPr>
      <w:hyperlink r:id="rId48">
        <w:r w:rsidR="00B2180F">
          <w:rPr>
            <w:color w:val="1154CC"/>
            <w:spacing w:val="-2"/>
            <w:u w:val="thick" w:color="1154CC"/>
          </w:rPr>
          <w:t>-georgia/</w:t>
        </w:r>
      </w:hyperlink>
      <w:r w:rsidR="00B2180F">
        <w:rPr>
          <w:spacing w:val="-2"/>
        </w:rPr>
        <w:t>.</w:t>
      </w:r>
    </w:p>
    <w:p w:rsidR="002C65FF" w:rsidRDefault="00B2180F">
      <w:pPr>
        <w:tabs>
          <w:tab w:val="left" w:pos="2313"/>
          <w:tab w:val="left" w:pos="3013"/>
          <w:tab w:val="left" w:pos="3219"/>
          <w:tab w:val="left" w:pos="4202"/>
          <w:tab w:val="left" w:pos="4734"/>
          <w:tab w:val="left" w:pos="4814"/>
          <w:tab w:val="left" w:pos="6161"/>
          <w:tab w:val="left" w:pos="7213"/>
          <w:tab w:val="left" w:pos="8405"/>
        </w:tabs>
        <w:spacing w:before="161" w:line="360" w:lineRule="auto"/>
        <w:ind w:left="989" w:right="155" w:hanging="705"/>
        <w:rPr>
          <w:sz w:val="28"/>
        </w:rPr>
      </w:pPr>
      <w:r>
        <w:rPr>
          <w:sz w:val="28"/>
        </w:rPr>
        <w:t>Aydin,M.,Ergun,A.,Giragosian,R.,Kakachia,K.,Neset,S.,&amp;Strand,A. (2023).</w:t>
      </w:r>
      <w:r>
        <w:rPr>
          <w:i/>
          <w:sz w:val="28"/>
        </w:rPr>
        <w:t xml:space="preserve">ChangingGeopoliticsoftheSouthCaucasusaftertheSecond </w:t>
      </w:r>
      <w:r>
        <w:rPr>
          <w:i/>
          <w:spacing w:val="-2"/>
          <w:sz w:val="28"/>
        </w:rPr>
        <w:t>Karabakh</w:t>
      </w:r>
      <w:r>
        <w:rPr>
          <w:i/>
          <w:sz w:val="28"/>
        </w:rPr>
        <w:tab/>
      </w:r>
      <w:r>
        <w:rPr>
          <w:i/>
          <w:spacing w:val="-4"/>
          <w:sz w:val="28"/>
        </w:rPr>
        <w:t>War.</w:t>
      </w:r>
      <w:r>
        <w:rPr>
          <w:i/>
          <w:sz w:val="28"/>
        </w:rPr>
        <w:tab/>
      </w:r>
      <w:r>
        <w:rPr>
          <w:i/>
          <w:spacing w:val="-2"/>
          <w:sz w:val="28"/>
        </w:rPr>
        <w:t>Prospect</w:t>
      </w:r>
      <w:r>
        <w:rPr>
          <w:i/>
          <w:sz w:val="28"/>
        </w:rPr>
        <w:tab/>
      </w:r>
      <w:r>
        <w:rPr>
          <w:i/>
          <w:spacing w:val="-4"/>
          <w:sz w:val="28"/>
        </w:rPr>
        <w:t>for</w:t>
      </w:r>
      <w:r>
        <w:rPr>
          <w:i/>
          <w:sz w:val="28"/>
        </w:rPr>
        <w:tab/>
        <w:t xml:space="preserve">RegionalCooperationand/orRivalry. </w:t>
      </w:r>
      <w:r>
        <w:rPr>
          <w:spacing w:val="-2"/>
          <w:sz w:val="28"/>
        </w:rPr>
        <w:t>Bergen:</w:t>
      </w:r>
      <w:r>
        <w:rPr>
          <w:sz w:val="28"/>
        </w:rPr>
        <w:tab/>
      </w:r>
      <w:r>
        <w:rPr>
          <w:spacing w:val="-4"/>
          <w:sz w:val="28"/>
        </w:rPr>
        <w:t>Chr.</w:t>
      </w:r>
      <w:r>
        <w:rPr>
          <w:sz w:val="28"/>
        </w:rPr>
        <w:tab/>
      </w:r>
      <w:r>
        <w:rPr>
          <w:sz w:val="28"/>
        </w:rPr>
        <w:tab/>
      </w:r>
      <w:r>
        <w:rPr>
          <w:spacing w:val="-2"/>
          <w:sz w:val="28"/>
        </w:rPr>
        <w:t>Michelsen</w:t>
      </w:r>
      <w:r>
        <w:rPr>
          <w:sz w:val="28"/>
        </w:rPr>
        <w:tab/>
      </w:r>
      <w:r>
        <w:rPr>
          <w:sz w:val="28"/>
        </w:rPr>
        <w:tab/>
      </w:r>
      <w:r>
        <w:rPr>
          <w:spacing w:val="-2"/>
          <w:sz w:val="28"/>
        </w:rPr>
        <w:t>Institute</w:t>
      </w:r>
      <w:r>
        <w:rPr>
          <w:sz w:val="28"/>
        </w:rPr>
        <w:tab/>
      </w:r>
      <w:r>
        <w:rPr>
          <w:spacing w:val="-4"/>
          <w:sz w:val="28"/>
        </w:rPr>
        <w:t>(CMI</w:t>
      </w:r>
      <w:r>
        <w:rPr>
          <w:sz w:val="28"/>
        </w:rPr>
        <w:tab/>
      </w:r>
      <w:r>
        <w:rPr>
          <w:spacing w:val="-2"/>
          <w:sz w:val="28"/>
        </w:rPr>
        <w:t>Report</w:t>
      </w:r>
      <w:r>
        <w:rPr>
          <w:sz w:val="28"/>
        </w:rPr>
        <w:tab/>
      </w:r>
      <w:r>
        <w:rPr>
          <w:spacing w:val="-2"/>
          <w:sz w:val="28"/>
        </w:rPr>
        <w:t xml:space="preserve">2023:4). </w:t>
      </w:r>
      <w:hyperlink r:id="rId49">
        <w:r>
          <w:rPr>
            <w:color w:val="1154CC"/>
            <w:spacing w:val="-2"/>
            <w:sz w:val="28"/>
            <w:u w:val="thick" w:color="1154CC"/>
          </w:rPr>
          <w:t>https://www.cmi.no/publications/8911-changing-geopolitics-of-the-south-</w:t>
        </w:r>
      </w:hyperlink>
      <w:hyperlink r:id="rId50">
        <w:r>
          <w:rPr>
            <w:color w:val="1154CC"/>
            <w:spacing w:val="-2"/>
            <w:sz w:val="28"/>
            <w:u w:val="thick" w:color="1154CC"/>
          </w:rPr>
          <w:t>caucasus-after-the-second-karabakh-war</w:t>
        </w:r>
      </w:hyperlink>
      <w:r>
        <w:rPr>
          <w:spacing w:val="-2"/>
          <w:sz w:val="28"/>
        </w:rPr>
        <w:t>.</w:t>
      </w:r>
    </w:p>
    <w:p w:rsidR="002C65FF" w:rsidRDefault="00B2180F">
      <w:pPr>
        <w:spacing w:line="360" w:lineRule="auto"/>
        <w:ind w:left="989" w:right="155" w:hanging="705"/>
        <w:jc w:val="both"/>
        <w:rPr>
          <w:sz w:val="28"/>
        </w:rPr>
      </w:pPr>
      <w:r>
        <w:rPr>
          <w:sz w:val="28"/>
        </w:rPr>
        <w:t xml:space="preserve">Baghirov, S. (2024). The analysis of the status of religion intheconstitutionsof South Caucasus: Difference among Armenia, Azerbaijan and Georgia. </w:t>
      </w:r>
      <w:r>
        <w:rPr>
          <w:i/>
          <w:sz w:val="28"/>
        </w:rPr>
        <w:t>LinkedInNewsletterResConstitutionis,issue05.Thesis.</w:t>
      </w:r>
      <w:r>
        <w:rPr>
          <w:sz w:val="28"/>
        </w:rPr>
        <w:t>1-6.</w:t>
      </w:r>
    </w:p>
    <w:p w:rsidR="002C65FF" w:rsidRDefault="002C65FF">
      <w:pPr>
        <w:spacing w:line="360" w:lineRule="auto"/>
        <w:jc w:val="both"/>
        <w:rPr>
          <w:sz w:val="28"/>
        </w:rPr>
        <w:sectPr w:rsidR="002C65FF">
          <w:pgSz w:w="11920" w:h="16840"/>
          <w:pgMar w:top="1040" w:right="708" w:bottom="280" w:left="1700" w:header="732" w:footer="0" w:gutter="0"/>
          <w:cols w:space="720"/>
        </w:sectPr>
      </w:pPr>
    </w:p>
    <w:p w:rsidR="002C65FF" w:rsidRDefault="008476BE">
      <w:pPr>
        <w:pStyle w:val="a3"/>
        <w:spacing w:before="78"/>
        <w:ind w:left="989"/>
        <w:jc w:val="left"/>
      </w:pPr>
      <w:hyperlink r:id="rId51">
        <w:r w:rsidR="00B2180F">
          <w:rPr>
            <w:color w:val="1154CC"/>
            <w:spacing w:val="-2"/>
            <w:u w:val="thick" w:color="1154CC"/>
          </w:rPr>
          <w:t>https://www.techlaw.az/article/the-analysis-of-the-status-of-religion-in-</w:t>
        </w:r>
        <w:r w:rsidR="00B2180F">
          <w:rPr>
            <w:color w:val="1154CC"/>
            <w:spacing w:val="-5"/>
            <w:u w:val="thick" w:color="1154CC"/>
          </w:rPr>
          <w:t>the</w:t>
        </w:r>
      </w:hyperlink>
    </w:p>
    <w:p w:rsidR="002C65FF" w:rsidRDefault="008476BE">
      <w:pPr>
        <w:pStyle w:val="a3"/>
        <w:spacing w:before="161" w:line="360" w:lineRule="auto"/>
        <w:ind w:left="989" w:right="212"/>
        <w:jc w:val="left"/>
      </w:pPr>
      <w:hyperlink r:id="rId52">
        <w:r w:rsidR="00B2180F">
          <w:rPr>
            <w:color w:val="1154CC"/>
            <w:spacing w:val="-2"/>
            <w:u w:val="thick" w:color="1154CC"/>
          </w:rPr>
          <w:t>-constitutions-of-south-caucasus-difference-among-armenia-azerbaijan-an</w:t>
        </w:r>
      </w:hyperlink>
      <w:hyperlink r:id="rId53">
        <w:r w:rsidR="00B2180F">
          <w:rPr>
            <w:color w:val="1154CC"/>
            <w:spacing w:val="-2"/>
            <w:u w:val="thick" w:color="1154CC"/>
          </w:rPr>
          <w:t>d-georgia</w:t>
        </w:r>
      </w:hyperlink>
      <w:r w:rsidR="00B2180F">
        <w:rPr>
          <w:spacing w:val="-2"/>
        </w:rPr>
        <w:t>.</w:t>
      </w:r>
    </w:p>
    <w:p w:rsidR="002C65FF" w:rsidRDefault="00B2180F">
      <w:pPr>
        <w:tabs>
          <w:tab w:val="left" w:pos="8580"/>
        </w:tabs>
        <w:spacing w:line="360" w:lineRule="auto"/>
        <w:ind w:left="989" w:right="155" w:hanging="705"/>
        <w:jc w:val="both"/>
        <w:rPr>
          <w:i/>
          <w:sz w:val="28"/>
        </w:rPr>
      </w:pPr>
      <w:r>
        <w:rPr>
          <w:color w:val="1B1B1C"/>
          <w:sz w:val="28"/>
        </w:rPr>
        <w:t>Binder, F., &amp; Malerius, S. (2025). Konrad-Adenauer-Stiftung. Russia as a Colonial PowerintheCaucasus.</w:t>
      </w:r>
      <w:hyperlink r:id="rId54">
        <w:r>
          <w:rPr>
            <w:i/>
            <w:sz w:val="28"/>
          </w:rPr>
          <w:t>NewOldWounds–ColonialLegacyand</w:t>
        </w:r>
      </w:hyperlink>
      <w:hyperlink r:id="rId55">
        <w:r>
          <w:rPr>
            <w:i/>
            <w:spacing w:val="-2"/>
            <w:sz w:val="28"/>
          </w:rPr>
          <w:t>Foreign</w:t>
        </w:r>
        <w:r>
          <w:rPr>
            <w:i/>
            <w:sz w:val="28"/>
          </w:rPr>
          <w:tab/>
        </w:r>
        <w:r>
          <w:rPr>
            <w:i/>
            <w:spacing w:val="-4"/>
            <w:sz w:val="28"/>
          </w:rPr>
          <w:t>Policy.</w:t>
        </w:r>
      </w:hyperlink>
    </w:p>
    <w:p w:rsidR="002C65FF" w:rsidRDefault="008476BE">
      <w:pPr>
        <w:pStyle w:val="a3"/>
        <w:spacing w:line="360" w:lineRule="auto"/>
        <w:ind w:left="989" w:right="206"/>
      </w:pPr>
      <w:hyperlink r:id="rId56">
        <w:r w:rsidR="00B2180F">
          <w:rPr>
            <w:color w:val="1154CC"/>
            <w:spacing w:val="-2"/>
            <w:u w:val="thick" w:color="1154CC"/>
          </w:rPr>
          <w:t>https://www.kas.de/documents/259121/37272391/EN_kas_ai_02-2025_M</w:t>
        </w:r>
      </w:hyperlink>
      <w:hyperlink r:id="rId57">
        <w:r w:rsidR="00B2180F">
          <w:rPr>
            <w:color w:val="1154CC"/>
            <w:spacing w:val="-2"/>
            <w:u w:val="thick" w:color="1154CC"/>
          </w:rPr>
          <w:t>alerius_Binder_Web.pdf/c501873c-a0aa-f9ae-9da7-b1972bc906f9?versio</w:t>
        </w:r>
      </w:hyperlink>
      <w:hyperlink r:id="rId58">
        <w:r w:rsidR="00B2180F">
          <w:rPr>
            <w:color w:val="1154CC"/>
            <w:spacing w:val="-2"/>
            <w:u w:val="thick" w:color="1154CC"/>
          </w:rPr>
          <w:t>n=3.1&amp;t=1753265668156</w:t>
        </w:r>
      </w:hyperlink>
      <w:r w:rsidR="00B2180F">
        <w:rPr>
          <w:spacing w:val="-2"/>
        </w:rPr>
        <w:t>.</w:t>
      </w:r>
    </w:p>
    <w:p w:rsidR="002C65FF" w:rsidRDefault="00B2180F">
      <w:pPr>
        <w:spacing w:line="360" w:lineRule="auto"/>
        <w:ind w:left="989" w:right="166" w:hanging="705"/>
        <w:jc w:val="both"/>
        <w:rPr>
          <w:sz w:val="28"/>
        </w:rPr>
      </w:pPr>
      <w:r>
        <w:rPr>
          <w:i/>
          <w:color w:val="1B1B1C"/>
          <w:sz w:val="28"/>
        </w:rPr>
        <w:t>Briefing note on the 'frozen conflicts' in the South Caucasus, the general situation in the region and its EU-relations</w:t>
      </w:r>
      <w:r>
        <w:rPr>
          <w:color w:val="1B1B1C"/>
          <w:sz w:val="28"/>
        </w:rPr>
        <w:t xml:space="preserve">.(2006).EuropeanParliament. </w:t>
      </w:r>
      <w:hyperlink r:id="rId59">
        <w:r>
          <w:rPr>
            <w:color w:val="1154CC"/>
            <w:spacing w:val="-2"/>
            <w:sz w:val="28"/>
            <w:u w:val="thick" w:color="1154CC"/>
          </w:rPr>
          <w:t>https://www.europarl.europa.eu/meetdocs/2004_2009/documents/nt/604/6</w:t>
        </w:r>
      </w:hyperlink>
      <w:hyperlink r:id="rId60">
        <w:r>
          <w:rPr>
            <w:color w:val="1154CC"/>
            <w:spacing w:val="-2"/>
            <w:sz w:val="28"/>
            <w:u w:val="thick" w:color="1154CC"/>
          </w:rPr>
          <w:t>04272/604272en.pdf</w:t>
        </w:r>
      </w:hyperlink>
      <w:r>
        <w:rPr>
          <w:spacing w:val="-2"/>
          <w:sz w:val="28"/>
        </w:rPr>
        <w:t>.</w:t>
      </w:r>
    </w:p>
    <w:p w:rsidR="002C65FF" w:rsidRDefault="00B2180F">
      <w:pPr>
        <w:spacing w:line="360" w:lineRule="auto"/>
        <w:ind w:left="989" w:right="156" w:hanging="705"/>
        <w:jc w:val="both"/>
        <w:rPr>
          <w:sz w:val="28"/>
        </w:rPr>
      </w:pPr>
      <w:r>
        <w:rPr>
          <w:sz w:val="28"/>
        </w:rPr>
        <w:t xml:space="preserve">Buzan, B., &amp; Wæver, O. (2003). </w:t>
      </w:r>
      <w:r>
        <w:rPr>
          <w:i/>
          <w:sz w:val="28"/>
        </w:rPr>
        <w:t>Regions and powers: The structure of international security</w:t>
      </w:r>
      <w:r>
        <w:rPr>
          <w:sz w:val="28"/>
        </w:rPr>
        <w:t>. Cambridge University Press.</w:t>
      </w:r>
    </w:p>
    <w:p w:rsidR="002C65FF" w:rsidRDefault="00B2180F">
      <w:pPr>
        <w:tabs>
          <w:tab w:val="left" w:pos="4890"/>
          <w:tab w:val="left" w:pos="8154"/>
        </w:tabs>
        <w:spacing w:line="360" w:lineRule="auto"/>
        <w:ind w:left="989" w:right="159" w:hanging="705"/>
        <w:rPr>
          <w:sz w:val="28"/>
        </w:rPr>
      </w:pPr>
      <w:r>
        <w:rPr>
          <w:color w:val="1B1B1C"/>
          <w:sz w:val="28"/>
        </w:rPr>
        <w:t>CentreforHumanitarianDialogue.(2001).</w:t>
      </w:r>
      <w:r>
        <w:rPr>
          <w:i/>
          <w:color w:val="1B1B1C"/>
          <w:sz w:val="28"/>
        </w:rPr>
        <w:t xml:space="preserve">SouthCaucasus:Regionaland </w:t>
      </w:r>
      <w:r>
        <w:rPr>
          <w:i/>
          <w:color w:val="1B1B1C"/>
          <w:spacing w:val="-2"/>
          <w:sz w:val="28"/>
        </w:rPr>
        <w:t>international</w:t>
      </w:r>
      <w:r>
        <w:rPr>
          <w:i/>
          <w:color w:val="1B1B1C"/>
          <w:sz w:val="28"/>
        </w:rPr>
        <w:tab/>
      </w:r>
      <w:r>
        <w:rPr>
          <w:i/>
          <w:color w:val="1B1B1C"/>
          <w:spacing w:val="-2"/>
          <w:sz w:val="28"/>
        </w:rPr>
        <w:t>conflict</w:t>
      </w:r>
      <w:r>
        <w:rPr>
          <w:i/>
          <w:color w:val="1B1B1C"/>
          <w:sz w:val="28"/>
        </w:rPr>
        <w:tab/>
      </w:r>
      <w:r>
        <w:rPr>
          <w:i/>
          <w:color w:val="1B1B1C"/>
          <w:spacing w:val="-2"/>
          <w:sz w:val="28"/>
        </w:rPr>
        <w:t>resolution</w:t>
      </w:r>
      <w:r>
        <w:rPr>
          <w:color w:val="1B1B1C"/>
          <w:spacing w:val="-2"/>
          <w:sz w:val="28"/>
        </w:rPr>
        <w:t xml:space="preserve">. </w:t>
      </w:r>
      <w:hyperlink r:id="rId61">
        <w:r>
          <w:rPr>
            <w:color w:val="1154CC"/>
            <w:spacing w:val="-2"/>
            <w:sz w:val="28"/>
            <w:u w:val="thick" w:color="1154CC"/>
          </w:rPr>
          <w:t>https://www.hdcentre.org/wp-content/uploads/2016/07/South-Caucasus-R</w:t>
        </w:r>
      </w:hyperlink>
      <w:hyperlink r:id="rId62">
        <w:r>
          <w:rPr>
            <w:color w:val="1154CC"/>
            <w:spacing w:val="-2"/>
            <w:sz w:val="28"/>
            <w:u w:val="thick" w:color="1154CC"/>
          </w:rPr>
          <w:t>egional-and-International-Conflict-Resolution-June-2001.pdf</w:t>
        </w:r>
      </w:hyperlink>
      <w:r>
        <w:rPr>
          <w:spacing w:val="-2"/>
          <w:sz w:val="28"/>
        </w:rPr>
        <w:t>.</w:t>
      </w:r>
    </w:p>
    <w:p w:rsidR="002C65FF" w:rsidRDefault="00B2180F">
      <w:pPr>
        <w:pStyle w:val="a3"/>
        <w:tabs>
          <w:tab w:val="left" w:pos="2317"/>
          <w:tab w:val="left" w:pos="3399"/>
          <w:tab w:val="left" w:pos="3685"/>
          <w:tab w:val="left" w:pos="4162"/>
          <w:tab w:val="left" w:pos="5310"/>
          <w:tab w:val="left" w:pos="5486"/>
          <w:tab w:val="left" w:pos="6009"/>
          <w:tab w:val="left" w:pos="6871"/>
          <w:tab w:val="left" w:pos="7392"/>
          <w:tab w:val="left" w:pos="7904"/>
          <w:tab w:val="left" w:pos="8526"/>
          <w:tab w:val="left" w:pos="8631"/>
        </w:tabs>
        <w:spacing w:line="360" w:lineRule="auto"/>
        <w:ind w:left="989" w:right="155" w:hanging="705"/>
        <w:jc w:val="left"/>
      </w:pPr>
      <w:r>
        <w:t xml:space="preserve">Cieślewska,A.(2023).ArmeniansandAzerbaijanisinGeorgia:TheRoleof </w:t>
      </w:r>
      <w:r>
        <w:rPr>
          <w:spacing w:val="-2"/>
        </w:rPr>
        <w:t>Religion,</w:t>
      </w:r>
      <w:r>
        <w:tab/>
      </w:r>
      <w:r>
        <w:rPr>
          <w:spacing w:val="-2"/>
        </w:rPr>
        <w:t>Religious</w:t>
      </w:r>
      <w:r>
        <w:tab/>
      </w:r>
      <w:r>
        <w:tab/>
      </w:r>
      <w:r>
        <w:rPr>
          <w:spacing w:val="-2"/>
        </w:rPr>
        <w:t>Institutions,</w:t>
      </w:r>
      <w:r>
        <w:tab/>
      </w:r>
      <w:r>
        <w:rPr>
          <w:spacing w:val="-4"/>
        </w:rPr>
        <w:t>and</w:t>
      </w:r>
      <w:r>
        <w:tab/>
      </w:r>
      <w:r>
        <w:rPr>
          <w:spacing w:val="-2"/>
        </w:rPr>
        <w:t>Networks</w:t>
      </w:r>
      <w:r>
        <w:tab/>
      </w:r>
      <w:r>
        <w:rPr>
          <w:spacing w:val="-6"/>
        </w:rPr>
        <w:t>in</w:t>
      </w:r>
      <w:r>
        <w:tab/>
      </w:r>
      <w:r>
        <w:rPr>
          <w:spacing w:val="-4"/>
        </w:rPr>
        <w:t>the</w:t>
      </w:r>
      <w:r>
        <w:tab/>
      </w:r>
      <w:r>
        <w:rPr>
          <w:spacing w:val="-2"/>
        </w:rPr>
        <w:t>Second Nagorno-Karabakh</w:t>
      </w:r>
      <w:r>
        <w:tab/>
      </w:r>
      <w:r>
        <w:rPr>
          <w:spacing w:val="-4"/>
        </w:rPr>
        <w:t>War.</w:t>
      </w:r>
      <w:r>
        <w:tab/>
      </w:r>
      <w:r>
        <w:rPr>
          <w:i/>
          <w:spacing w:val="-2"/>
        </w:rPr>
        <w:t>Caucasus</w:t>
      </w:r>
      <w:r>
        <w:rPr>
          <w:i/>
        </w:rPr>
        <w:tab/>
      </w:r>
      <w:r>
        <w:rPr>
          <w:i/>
        </w:rPr>
        <w:tab/>
      </w:r>
      <w:r>
        <w:rPr>
          <w:i/>
          <w:spacing w:val="-2"/>
        </w:rPr>
        <w:t>Analytical</w:t>
      </w:r>
      <w:r>
        <w:rPr>
          <w:i/>
        </w:rPr>
        <w:tab/>
      </w:r>
      <w:r>
        <w:rPr>
          <w:i/>
          <w:spacing w:val="-2"/>
        </w:rPr>
        <w:t>Digest</w:t>
      </w:r>
      <w:r>
        <w:rPr>
          <w:spacing w:val="-2"/>
        </w:rPr>
        <w:t>,</w:t>
      </w:r>
      <w:r>
        <w:tab/>
      </w:r>
      <w:r>
        <w:rPr>
          <w:spacing w:val="-4"/>
        </w:rPr>
        <w:t>134,</w:t>
      </w:r>
      <w:r>
        <w:tab/>
      </w:r>
      <w:r>
        <w:tab/>
      </w:r>
      <w:r>
        <w:rPr>
          <w:spacing w:val="-2"/>
        </w:rPr>
        <w:t xml:space="preserve">12-16. </w:t>
      </w:r>
      <w:hyperlink r:id="rId63">
        <w:r>
          <w:rPr>
            <w:color w:val="1154CC"/>
            <w:spacing w:val="-2"/>
            <w:u w:val="thick" w:color="1154CC"/>
          </w:rPr>
          <w:t>https://www.ssoar.info/ssoar/bitstream/handle/document/89905/ssoar-cauc</w:t>
        </w:r>
      </w:hyperlink>
      <w:hyperlink r:id="rId64">
        <w:r>
          <w:rPr>
            <w:color w:val="1154CC"/>
            <w:spacing w:val="-2"/>
            <w:u w:val="thick" w:color="1154CC"/>
          </w:rPr>
          <w:t>asusad-2023-134-cieslewska-Armenians_and_Azerbaijanis_in_Georgia.p</w:t>
        </w:r>
      </w:hyperlink>
      <w:hyperlink r:id="rId65">
        <w:r>
          <w:rPr>
            <w:color w:val="1154CC"/>
            <w:spacing w:val="-4"/>
            <w:u w:val="thick" w:color="1154CC"/>
          </w:rPr>
          <w:t>df</w:t>
        </w:r>
      </w:hyperlink>
      <w:r>
        <w:rPr>
          <w:spacing w:val="-4"/>
        </w:rPr>
        <w:t>.</w:t>
      </w:r>
    </w:p>
    <w:p w:rsidR="002C65FF" w:rsidRDefault="00B2180F">
      <w:pPr>
        <w:spacing w:line="360" w:lineRule="auto"/>
        <w:ind w:left="989" w:right="165" w:hanging="705"/>
        <w:jc w:val="both"/>
        <w:rPr>
          <w:sz w:val="28"/>
        </w:rPr>
      </w:pPr>
      <w:r>
        <w:rPr>
          <w:color w:val="1B1B1C"/>
          <w:sz w:val="28"/>
        </w:rPr>
        <w:t xml:space="preserve">Congressional Research Service. (2010). </w:t>
      </w:r>
      <w:r>
        <w:rPr>
          <w:i/>
          <w:color w:val="1B1B1C"/>
          <w:sz w:val="28"/>
        </w:rPr>
        <w:t>Armenia, Azerbaijan, and Georgia: Security issues and implications for U.S. interests</w:t>
      </w:r>
      <w:r>
        <w:rPr>
          <w:color w:val="1B1B1C"/>
          <w:sz w:val="28"/>
        </w:rPr>
        <w:t xml:space="preserve">. </w:t>
      </w:r>
      <w:hyperlink r:id="rId66">
        <w:r>
          <w:rPr>
            <w:color w:val="1154CC"/>
            <w:spacing w:val="-2"/>
            <w:sz w:val="28"/>
            <w:u w:val="thick" w:color="1154CC"/>
          </w:rPr>
          <w:t>https://www.everycrsreport.com/reports/RL30679.html</w:t>
        </w:r>
      </w:hyperlink>
      <w:r>
        <w:rPr>
          <w:spacing w:val="-2"/>
          <w:sz w:val="28"/>
        </w:rPr>
        <w:t>.</w:t>
      </w:r>
    </w:p>
    <w:p w:rsidR="002C65FF" w:rsidRDefault="002C65FF">
      <w:pPr>
        <w:spacing w:line="360" w:lineRule="auto"/>
        <w:jc w:val="both"/>
        <w:rPr>
          <w:sz w:val="28"/>
        </w:rPr>
        <w:sectPr w:rsidR="002C65FF">
          <w:pgSz w:w="11920" w:h="16840"/>
          <w:pgMar w:top="1040" w:right="708" w:bottom="280" w:left="1700" w:header="732" w:footer="0" w:gutter="0"/>
          <w:cols w:space="720"/>
        </w:sectPr>
      </w:pPr>
    </w:p>
    <w:p w:rsidR="002C65FF" w:rsidRDefault="00B2180F">
      <w:pPr>
        <w:pStyle w:val="a3"/>
        <w:tabs>
          <w:tab w:val="left" w:pos="2446"/>
          <w:tab w:val="left" w:pos="4416"/>
          <w:tab w:val="left" w:pos="6317"/>
          <w:tab w:val="left" w:pos="8630"/>
        </w:tabs>
        <w:spacing w:before="78" w:line="360" w:lineRule="auto"/>
        <w:ind w:left="989" w:right="155" w:hanging="705"/>
      </w:pPr>
      <w:r>
        <w:t xml:space="preserve">Cook, C., &amp; Seddon, M. (2025). Russia’s fears over ex-Soviet nations laid bare </w:t>
      </w:r>
      <w:r>
        <w:rPr>
          <w:spacing w:val="-6"/>
        </w:rPr>
        <w:t>in</w:t>
      </w:r>
      <w:r>
        <w:tab/>
      </w:r>
      <w:r>
        <w:rPr>
          <w:spacing w:val="-2"/>
        </w:rPr>
        <w:t>leaked</w:t>
      </w:r>
      <w:r>
        <w:tab/>
      </w:r>
      <w:r>
        <w:rPr>
          <w:spacing w:val="-2"/>
        </w:rPr>
        <w:t>paper.</w:t>
      </w:r>
      <w:r>
        <w:tab/>
      </w:r>
      <w:r>
        <w:rPr>
          <w:i/>
          <w:spacing w:val="-2"/>
        </w:rPr>
        <w:t>Financial</w:t>
      </w:r>
      <w:r>
        <w:rPr>
          <w:i/>
        </w:rPr>
        <w:tab/>
      </w:r>
      <w:r>
        <w:rPr>
          <w:i/>
          <w:spacing w:val="-4"/>
        </w:rPr>
        <w:t>Times</w:t>
      </w:r>
      <w:r>
        <w:rPr>
          <w:spacing w:val="-4"/>
        </w:rPr>
        <w:t xml:space="preserve">. </w:t>
      </w:r>
      <w:hyperlink r:id="rId67">
        <w:r>
          <w:rPr>
            <w:color w:val="1154CC"/>
            <w:spacing w:val="-2"/>
            <w:u w:val="thick" w:color="1154CC"/>
          </w:rPr>
          <w:t>https://www.ft.com/content/2bb87769-805a-4270-bab2-2382e0b84cec</w:t>
        </w:r>
      </w:hyperlink>
      <w:r>
        <w:rPr>
          <w:spacing w:val="-2"/>
        </w:rPr>
        <w:t>.</w:t>
      </w:r>
    </w:p>
    <w:p w:rsidR="002C65FF" w:rsidRDefault="00B2180F">
      <w:pPr>
        <w:pStyle w:val="a3"/>
        <w:tabs>
          <w:tab w:val="left" w:pos="2032"/>
          <w:tab w:val="left" w:pos="2835"/>
          <w:tab w:val="left" w:pos="4475"/>
          <w:tab w:val="left" w:pos="5565"/>
          <w:tab w:val="left" w:pos="6003"/>
          <w:tab w:val="left" w:pos="7685"/>
          <w:tab w:val="left" w:pos="8721"/>
          <w:tab w:val="left" w:pos="9136"/>
        </w:tabs>
        <w:spacing w:line="360" w:lineRule="auto"/>
        <w:ind w:left="989" w:right="163" w:hanging="705"/>
        <w:jc w:val="left"/>
      </w:pPr>
      <w:r>
        <w:t xml:space="preserve">Cornell, S. (1999). Geopolitics and strategic alignments in the Caucasus and </w:t>
      </w:r>
      <w:r>
        <w:rPr>
          <w:spacing w:val="-2"/>
        </w:rPr>
        <w:t>Central</w:t>
      </w:r>
      <w:r>
        <w:tab/>
      </w:r>
      <w:r>
        <w:rPr>
          <w:spacing w:val="-4"/>
        </w:rPr>
        <w:t>Asia.</w:t>
      </w:r>
      <w:r>
        <w:tab/>
      </w:r>
      <w:r>
        <w:rPr>
          <w:i/>
          <w:spacing w:val="-2"/>
        </w:rPr>
        <w:t>Perceptions:</w:t>
      </w:r>
      <w:r>
        <w:rPr>
          <w:i/>
        </w:rPr>
        <w:tab/>
      </w:r>
      <w:r>
        <w:rPr>
          <w:i/>
          <w:spacing w:val="-2"/>
        </w:rPr>
        <w:t>Journal</w:t>
      </w:r>
      <w:r>
        <w:rPr>
          <w:i/>
        </w:rPr>
        <w:tab/>
      </w:r>
      <w:r>
        <w:rPr>
          <w:i/>
          <w:spacing w:val="-6"/>
        </w:rPr>
        <w:t>of</w:t>
      </w:r>
      <w:r>
        <w:rPr>
          <w:i/>
        </w:rPr>
        <w:tab/>
      </w:r>
      <w:r>
        <w:rPr>
          <w:i/>
          <w:spacing w:val="-2"/>
        </w:rPr>
        <w:t>International</w:t>
      </w:r>
      <w:r>
        <w:rPr>
          <w:i/>
        </w:rPr>
        <w:tab/>
      </w:r>
      <w:r>
        <w:rPr>
          <w:i/>
          <w:spacing w:val="-2"/>
        </w:rPr>
        <w:t>Affairs</w:t>
      </w:r>
      <w:r>
        <w:rPr>
          <w:spacing w:val="-2"/>
        </w:rPr>
        <w:t>,</w:t>
      </w:r>
      <w:r>
        <w:tab/>
      </w:r>
      <w:r>
        <w:rPr>
          <w:spacing w:val="-6"/>
        </w:rPr>
        <w:t>4,</w:t>
      </w:r>
      <w:r>
        <w:tab/>
      </w:r>
      <w:r>
        <w:rPr>
          <w:spacing w:val="-6"/>
        </w:rPr>
        <w:t xml:space="preserve">2. </w:t>
      </w:r>
      <w:hyperlink r:id="rId68">
        <w:r>
          <w:rPr>
            <w:color w:val="1154CC"/>
            <w:spacing w:val="-2"/>
            <w:u w:val="thick" w:color="1154CC"/>
          </w:rPr>
          <w:t>https://scispace.com/pdf/geopolitics-and-strategic-alignments-in-the-cauca</w:t>
        </w:r>
      </w:hyperlink>
      <w:hyperlink r:id="rId69">
        <w:r>
          <w:rPr>
            <w:color w:val="1154CC"/>
            <w:spacing w:val="-2"/>
            <w:u w:val="thick" w:color="1154CC"/>
          </w:rPr>
          <w:t>sus-and-2vc9pvt18v.pdf</w:t>
        </w:r>
      </w:hyperlink>
      <w:r>
        <w:rPr>
          <w:spacing w:val="-2"/>
        </w:rPr>
        <w:t>.</w:t>
      </w:r>
    </w:p>
    <w:p w:rsidR="002C65FF" w:rsidRDefault="00B2180F">
      <w:pPr>
        <w:pStyle w:val="a3"/>
        <w:tabs>
          <w:tab w:val="left" w:pos="5131"/>
          <w:tab w:val="left" w:pos="8629"/>
        </w:tabs>
        <w:spacing w:line="360" w:lineRule="auto"/>
        <w:ind w:left="989" w:right="156" w:hanging="705"/>
      </w:pPr>
      <w:r>
        <w:t xml:space="preserve">Crabtree, J. (2024). China, Russia and the remaking of the Eurasian </w:t>
      </w:r>
      <w:r>
        <w:rPr>
          <w:spacing w:val="-2"/>
        </w:rPr>
        <w:t>supercontinent.</w:t>
      </w:r>
      <w:r>
        <w:tab/>
      </w:r>
      <w:r>
        <w:rPr>
          <w:i/>
          <w:spacing w:val="-2"/>
        </w:rPr>
        <w:t>Financial</w:t>
      </w:r>
      <w:r>
        <w:rPr>
          <w:i/>
        </w:rPr>
        <w:tab/>
      </w:r>
      <w:r>
        <w:rPr>
          <w:i/>
          <w:spacing w:val="-4"/>
        </w:rPr>
        <w:t xml:space="preserve">Times. </w:t>
      </w:r>
      <w:hyperlink r:id="rId70">
        <w:r>
          <w:rPr>
            <w:color w:val="1154CC"/>
            <w:spacing w:val="-2"/>
            <w:u w:val="thick" w:color="1154CC"/>
          </w:rPr>
          <w:t>https://www.ft.com/content/47d62156-75e8-4d7e-bc6c-9f6d66043c30</w:t>
        </w:r>
      </w:hyperlink>
      <w:r>
        <w:rPr>
          <w:spacing w:val="-2"/>
        </w:rPr>
        <w:t>.</w:t>
      </w:r>
    </w:p>
    <w:p w:rsidR="002C65FF" w:rsidRDefault="00B2180F">
      <w:pPr>
        <w:tabs>
          <w:tab w:val="left" w:pos="1218"/>
          <w:tab w:val="left" w:pos="1685"/>
          <w:tab w:val="left" w:pos="2790"/>
          <w:tab w:val="left" w:pos="3608"/>
          <w:tab w:val="left" w:pos="4604"/>
          <w:tab w:val="left" w:pos="5180"/>
          <w:tab w:val="left" w:pos="5554"/>
          <w:tab w:val="left" w:pos="6318"/>
          <w:tab w:val="left" w:pos="7656"/>
        </w:tabs>
        <w:spacing w:line="360" w:lineRule="auto"/>
        <w:ind w:left="284" w:right="156"/>
        <w:jc w:val="right"/>
        <w:rPr>
          <w:sz w:val="28"/>
        </w:rPr>
      </w:pPr>
      <w:r>
        <w:rPr>
          <w:sz w:val="28"/>
        </w:rPr>
        <w:t xml:space="preserve">Curtis, L., Johnston, K., Kendall-Taylor, A., &amp; Schochet, N. (2024). </w:t>
      </w:r>
      <w:r>
        <w:rPr>
          <w:i/>
          <w:sz w:val="28"/>
        </w:rPr>
        <w:t xml:space="preserve">Russiaand </w:t>
      </w:r>
      <w:r>
        <w:rPr>
          <w:i/>
          <w:spacing w:val="-2"/>
          <w:sz w:val="28"/>
        </w:rPr>
        <w:t>China</w:t>
      </w:r>
      <w:r>
        <w:rPr>
          <w:i/>
          <w:sz w:val="28"/>
        </w:rPr>
        <w:tab/>
      </w:r>
      <w:r>
        <w:rPr>
          <w:i/>
          <w:spacing w:val="-6"/>
          <w:sz w:val="28"/>
        </w:rPr>
        <w:t>in</w:t>
      </w:r>
      <w:r>
        <w:rPr>
          <w:i/>
          <w:sz w:val="28"/>
        </w:rPr>
        <w:tab/>
      </w:r>
      <w:r>
        <w:rPr>
          <w:i/>
          <w:spacing w:val="-2"/>
          <w:sz w:val="28"/>
        </w:rPr>
        <w:t>Central</w:t>
      </w:r>
      <w:r>
        <w:rPr>
          <w:i/>
          <w:sz w:val="28"/>
        </w:rPr>
        <w:tab/>
      </w:r>
      <w:r>
        <w:rPr>
          <w:i/>
          <w:spacing w:val="-2"/>
          <w:sz w:val="28"/>
        </w:rPr>
        <w:t>Asia</w:t>
      </w:r>
      <w:r>
        <w:rPr>
          <w:spacing w:val="-2"/>
          <w:sz w:val="28"/>
        </w:rPr>
        <w:t>.</w:t>
      </w:r>
      <w:r>
        <w:rPr>
          <w:sz w:val="28"/>
        </w:rPr>
        <w:tab/>
      </w:r>
      <w:r>
        <w:rPr>
          <w:spacing w:val="-2"/>
          <w:sz w:val="28"/>
        </w:rPr>
        <w:t>Center</w:t>
      </w:r>
      <w:r>
        <w:rPr>
          <w:sz w:val="28"/>
        </w:rPr>
        <w:tab/>
      </w:r>
      <w:r>
        <w:rPr>
          <w:spacing w:val="-4"/>
          <w:sz w:val="28"/>
        </w:rPr>
        <w:t>for</w:t>
      </w:r>
      <w:r>
        <w:rPr>
          <w:sz w:val="28"/>
        </w:rPr>
        <w:tab/>
      </w:r>
      <w:r>
        <w:rPr>
          <w:spacing w:val="-10"/>
          <w:sz w:val="28"/>
        </w:rPr>
        <w:t>a</w:t>
      </w:r>
      <w:r>
        <w:rPr>
          <w:sz w:val="28"/>
        </w:rPr>
        <w:tab/>
      </w:r>
      <w:r>
        <w:rPr>
          <w:spacing w:val="-4"/>
          <w:sz w:val="28"/>
        </w:rPr>
        <w:t>New</w:t>
      </w:r>
      <w:r>
        <w:rPr>
          <w:sz w:val="28"/>
        </w:rPr>
        <w:tab/>
      </w:r>
      <w:r>
        <w:rPr>
          <w:spacing w:val="-2"/>
          <w:sz w:val="28"/>
        </w:rPr>
        <w:t>American</w:t>
      </w:r>
      <w:r>
        <w:rPr>
          <w:sz w:val="28"/>
        </w:rPr>
        <w:tab/>
      </w:r>
      <w:r>
        <w:rPr>
          <w:spacing w:val="-2"/>
          <w:sz w:val="28"/>
        </w:rPr>
        <w:t xml:space="preserve">Security. </w:t>
      </w:r>
      <w:hyperlink r:id="rId71">
        <w:r>
          <w:rPr>
            <w:color w:val="1154CC"/>
            <w:spacing w:val="-2"/>
            <w:sz w:val="28"/>
            <w:u w:val="thick" w:color="1154CC"/>
          </w:rPr>
          <w:t>https://www.cnas.org/publications/reports/russia-and-china-in-central-asia</w:t>
        </w:r>
      </w:hyperlink>
      <w:r>
        <w:rPr>
          <w:spacing w:val="-2"/>
          <w:sz w:val="28"/>
        </w:rPr>
        <w:t xml:space="preserve">. </w:t>
      </w:r>
      <w:r>
        <w:rPr>
          <w:color w:val="1B1B1C"/>
          <w:sz w:val="28"/>
        </w:rPr>
        <w:t xml:space="preserve">Czachor, R. (2015). </w:t>
      </w:r>
      <w:r>
        <w:rPr>
          <w:i/>
          <w:color w:val="1B1B1C"/>
          <w:sz w:val="28"/>
        </w:rPr>
        <w:t>Between sustainability and uncertainty. Political systems of Abkhazia,SouthOssetiaandtheNagorno-KarabakhRepublic</w:t>
      </w:r>
      <w:r>
        <w:rPr>
          <w:color w:val="1B1B1C"/>
          <w:sz w:val="28"/>
        </w:rPr>
        <w:t>.UMCS</w:t>
      </w:r>
    </w:p>
    <w:p w:rsidR="002C65FF" w:rsidRDefault="00B2180F">
      <w:pPr>
        <w:pStyle w:val="a3"/>
        <w:ind w:left="989"/>
      </w:pPr>
      <w:r>
        <w:rPr>
          <w:color w:val="1B1B1C"/>
        </w:rPr>
        <w:t>Journals.</w:t>
      </w:r>
      <w:hyperlink r:id="rId72">
        <w:r>
          <w:rPr>
            <w:color w:val="1154CC"/>
            <w:spacing w:val="-2"/>
            <w:u w:val="thick" w:color="1154CC"/>
          </w:rPr>
          <w:t>https://journals.umcs.pl/k/article/viewFile/2851/2081</w:t>
        </w:r>
      </w:hyperlink>
      <w:r>
        <w:rPr>
          <w:color w:val="1B1B1C"/>
          <w:spacing w:val="-2"/>
        </w:rPr>
        <w:t>.</w:t>
      </w:r>
    </w:p>
    <w:p w:rsidR="002C65FF" w:rsidRDefault="00B2180F">
      <w:pPr>
        <w:spacing w:before="161" w:line="360" w:lineRule="auto"/>
        <w:ind w:left="989" w:right="162" w:hanging="705"/>
        <w:jc w:val="both"/>
        <w:rPr>
          <w:sz w:val="28"/>
        </w:rPr>
      </w:pPr>
      <w:r>
        <w:rPr>
          <w:color w:val="1B1B1C"/>
          <w:sz w:val="28"/>
        </w:rPr>
        <w:t xml:space="preserve">Deen, B., Linder, C., &amp; Zweers, W. (2023). </w:t>
      </w:r>
      <w:r>
        <w:rPr>
          <w:i/>
          <w:color w:val="1B1B1C"/>
          <w:sz w:val="28"/>
        </w:rPr>
        <w:t xml:space="preserve">The EU in the South Caucasus. Navigating a geopolitical labyrinth in turmoil. </w:t>
      </w:r>
      <w:hyperlink r:id="rId73">
        <w:r>
          <w:rPr>
            <w:color w:val="1154CC"/>
            <w:spacing w:val="-2"/>
            <w:sz w:val="28"/>
            <w:u w:val="thick" w:color="1154CC"/>
          </w:rPr>
          <w:t>https://www.clingendael.org/pub/2023/the-eu-in-the-south-caucasus/1-the-</w:t>
        </w:r>
      </w:hyperlink>
      <w:hyperlink r:id="rId74">
        <w:r>
          <w:rPr>
            <w:color w:val="1154CC"/>
            <w:spacing w:val="-2"/>
            <w:sz w:val="28"/>
            <w:u w:val="thick" w:color="1154CC"/>
          </w:rPr>
          <w:t>geopolitical-gordian-knot-of-the-south-caucasus/</w:t>
        </w:r>
      </w:hyperlink>
      <w:r>
        <w:rPr>
          <w:spacing w:val="-2"/>
          <w:sz w:val="28"/>
        </w:rPr>
        <w:t>.</w:t>
      </w:r>
    </w:p>
    <w:p w:rsidR="002C65FF" w:rsidRDefault="00B2180F">
      <w:pPr>
        <w:pStyle w:val="a3"/>
      </w:pPr>
      <w:r>
        <w:t>Delcour,L.,&amp;Hoffmann,K.(2018).TheEU’sPolicyintheSouth</w:t>
      </w:r>
      <w:r>
        <w:rPr>
          <w:spacing w:val="-2"/>
        </w:rPr>
        <w:t>Caucasus.</w:t>
      </w:r>
    </w:p>
    <w:p w:rsidR="002C65FF" w:rsidRDefault="00B2180F">
      <w:pPr>
        <w:tabs>
          <w:tab w:val="left" w:pos="2838"/>
          <w:tab w:val="left" w:pos="3922"/>
          <w:tab w:val="left" w:pos="5994"/>
          <w:tab w:val="left" w:pos="7141"/>
          <w:tab w:val="left" w:pos="8762"/>
        </w:tabs>
        <w:spacing w:before="161"/>
        <w:ind w:left="989"/>
        <w:rPr>
          <w:sz w:val="28"/>
        </w:rPr>
      </w:pPr>
      <w:r>
        <w:rPr>
          <w:i/>
          <w:spacing w:val="-2"/>
          <w:sz w:val="28"/>
        </w:rPr>
        <w:t>L'Europe</w:t>
      </w:r>
      <w:r>
        <w:rPr>
          <w:i/>
          <w:sz w:val="28"/>
        </w:rPr>
        <w:tab/>
      </w:r>
      <w:r>
        <w:rPr>
          <w:i/>
          <w:spacing w:val="-5"/>
          <w:sz w:val="28"/>
        </w:rPr>
        <w:t>en</w:t>
      </w:r>
      <w:r>
        <w:rPr>
          <w:i/>
          <w:sz w:val="28"/>
        </w:rPr>
        <w:tab/>
      </w:r>
      <w:r>
        <w:rPr>
          <w:i/>
          <w:spacing w:val="-2"/>
          <w:sz w:val="28"/>
        </w:rPr>
        <w:t>Formation</w:t>
      </w:r>
      <w:r>
        <w:rPr>
          <w:spacing w:val="-2"/>
          <w:sz w:val="28"/>
        </w:rPr>
        <w:t>,</w:t>
      </w:r>
      <w:r>
        <w:rPr>
          <w:sz w:val="28"/>
        </w:rPr>
        <w:tab/>
      </w:r>
      <w:r>
        <w:rPr>
          <w:spacing w:val="-5"/>
          <w:sz w:val="28"/>
        </w:rPr>
        <w:t>No</w:t>
      </w:r>
      <w:r>
        <w:rPr>
          <w:sz w:val="28"/>
        </w:rPr>
        <w:tab/>
      </w:r>
      <w:r>
        <w:rPr>
          <w:spacing w:val="-2"/>
          <w:sz w:val="28"/>
        </w:rPr>
        <w:t>385(1),</w:t>
      </w:r>
      <w:r>
        <w:rPr>
          <w:sz w:val="28"/>
        </w:rPr>
        <w:tab/>
      </w:r>
      <w:r>
        <w:rPr>
          <w:spacing w:val="-2"/>
          <w:sz w:val="28"/>
        </w:rPr>
        <w:t>7-</w:t>
      </w:r>
      <w:r>
        <w:rPr>
          <w:spacing w:val="-5"/>
          <w:sz w:val="28"/>
        </w:rPr>
        <w:t>25.</w:t>
      </w:r>
    </w:p>
    <w:p w:rsidR="002C65FF" w:rsidRDefault="008476BE">
      <w:pPr>
        <w:pStyle w:val="a3"/>
        <w:spacing w:before="161" w:line="360" w:lineRule="auto"/>
        <w:ind w:left="989" w:right="191"/>
        <w:jc w:val="left"/>
      </w:pPr>
      <w:hyperlink r:id="rId75">
        <w:r w:rsidR="00B2180F">
          <w:rPr>
            <w:color w:val="1154CC"/>
            <w:spacing w:val="-2"/>
            <w:u w:val="thick" w:color="1154CC"/>
          </w:rPr>
          <w:t>https://shs.cairn.info/journal-l-europe-en-formation-2018-1-page-7?lang=e</w:t>
        </w:r>
      </w:hyperlink>
      <w:hyperlink r:id="rId76">
        <w:r w:rsidR="00B2180F">
          <w:rPr>
            <w:color w:val="1154CC"/>
            <w:spacing w:val="-6"/>
            <w:u w:val="thick" w:color="1154CC"/>
          </w:rPr>
          <w:t>n</w:t>
        </w:r>
      </w:hyperlink>
      <w:r w:rsidR="00B2180F">
        <w:rPr>
          <w:spacing w:val="-6"/>
        </w:rPr>
        <w:t>.</w:t>
      </w:r>
    </w:p>
    <w:p w:rsidR="002C65FF" w:rsidRDefault="00B2180F">
      <w:pPr>
        <w:pStyle w:val="a3"/>
        <w:tabs>
          <w:tab w:val="left" w:pos="4999"/>
          <w:tab w:val="left" w:pos="8736"/>
        </w:tabs>
        <w:spacing w:line="360" w:lineRule="auto"/>
        <w:ind w:left="989" w:right="158" w:hanging="705"/>
      </w:pPr>
      <w:r>
        <w:rPr>
          <w:color w:val="1B1B1C"/>
        </w:rPr>
        <w:t xml:space="preserve">Duvanova, D. (2025). Syndrome of populism and the evolution of post-Soviet </w:t>
      </w:r>
      <w:r>
        <w:rPr>
          <w:color w:val="1B1B1C"/>
          <w:spacing w:val="-2"/>
        </w:rPr>
        <w:t>regimes.</w:t>
      </w:r>
      <w:r>
        <w:rPr>
          <w:color w:val="1B1B1C"/>
        </w:rPr>
        <w:tab/>
      </w:r>
      <w:r>
        <w:rPr>
          <w:i/>
          <w:color w:val="1B1B1C"/>
          <w:spacing w:val="-2"/>
        </w:rPr>
        <w:t>Front.</w:t>
      </w:r>
      <w:r>
        <w:rPr>
          <w:i/>
          <w:color w:val="1B1B1C"/>
        </w:rPr>
        <w:tab/>
      </w:r>
      <w:r>
        <w:rPr>
          <w:i/>
          <w:color w:val="1B1B1C"/>
          <w:spacing w:val="-2"/>
        </w:rPr>
        <w:t xml:space="preserve">Polit. </w:t>
      </w:r>
      <w:hyperlink r:id="rId77">
        <w:r>
          <w:rPr>
            <w:color w:val="1154CC"/>
            <w:spacing w:val="-2"/>
            <w:u w:val="thick" w:color="1154CC"/>
          </w:rPr>
          <w:t>https://www.frontiersin.org/journals/political-science/articles/10.3389/fpos</w:t>
        </w:r>
      </w:hyperlink>
    </w:p>
    <w:p w:rsidR="002C65FF" w:rsidRDefault="008476BE">
      <w:pPr>
        <w:pStyle w:val="a3"/>
        <w:ind w:left="989"/>
        <w:jc w:val="left"/>
      </w:pPr>
      <w:hyperlink r:id="rId78">
        <w:r w:rsidR="00B2180F">
          <w:rPr>
            <w:color w:val="1154CC"/>
            <w:spacing w:val="-2"/>
            <w:u w:val="thick" w:color="1154CC"/>
          </w:rPr>
          <w:t>.2025.1605136/full</w:t>
        </w:r>
      </w:hyperlink>
      <w:r w:rsidR="00B2180F">
        <w:rPr>
          <w:spacing w:val="-2"/>
        </w:rPr>
        <w:t>.</w:t>
      </w:r>
    </w:p>
    <w:p w:rsidR="002C65FF" w:rsidRDefault="00B2180F">
      <w:pPr>
        <w:pStyle w:val="a3"/>
        <w:spacing w:before="161" w:line="360" w:lineRule="auto"/>
        <w:ind w:left="989" w:hanging="705"/>
        <w:jc w:val="left"/>
        <w:rPr>
          <w:i/>
        </w:rPr>
      </w:pPr>
      <w:r>
        <w:rPr>
          <w:color w:val="1B1B1C"/>
        </w:rPr>
        <w:t>Elamiryan,R.(2024). Chapter 5: The specificities of populism in countries of democratictransition:ChallengesforArmenia.</w:t>
      </w:r>
      <w:r>
        <w:rPr>
          <w:i/>
          <w:color w:val="1B1B1C"/>
        </w:rPr>
        <w:t>Perspectiveson</w:t>
      </w:r>
      <w:r>
        <w:rPr>
          <w:i/>
          <w:color w:val="1B1B1C"/>
          <w:spacing w:val="-2"/>
        </w:rPr>
        <w:t>Populism.</w:t>
      </w:r>
    </w:p>
    <w:p w:rsidR="002C65FF" w:rsidRDefault="002C65FF">
      <w:pPr>
        <w:pStyle w:val="a3"/>
        <w:spacing w:line="360" w:lineRule="auto"/>
        <w:jc w:val="left"/>
        <w:rPr>
          <w:i/>
        </w:rPr>
        <w:sectPr w:rsidR="002C65FF">
          <w:pgSz w:w="11920" w:h="16840"/>
          <w:pgMar w:top="1040" w:right="708" w:bottom="280" w:left="1700" w:header="732" w:footer="0" w:gutter="0"/>
          <w:cols w:space="720"/>
        </w:sectPr>
      </w:pPr>
    </w:p>
    <w:p w:rsidR="002C65FF" w:rsidRDefault="00B2180F">
      <w:pPr>
        <w:pStyle w:val="a3"/>
        <w:tabs>
          <w:tab w:val="left" w:pos="2259"/>
          <w:tab w:val="left" w:pos="3374"/>
          <w:tab w:val="left" w:pos="4292"/>
          <w:tab w:val="left" w:pos="5034"/>
          <w:tab w:val="left" w:pos="6527"/>
          <w:tab w:val="left" w:pos="8427"/>
        </w:tabs>
        <w:spacing w:before="78" w:line="360" w:lineRule="auto"/>
        <w:ind w:left="989" w:right="159"/>
        <w:jc w:val="left"/>
      </w:pPr>
      <w:r>
        <w:rPr>
          <w:i/>
          <w:color w:val="1B1B1C"/>
          <w:spacing w:val="-2"/>
        </w:rPr>
        <w:t>Diverse</w:t>
      </w:r>
      <w:r>
        <w:rPr>
          <w:i/>
          <w:color w:val="1B1B1C"/>
        </w:rPr>
        <w:tab/>
      </w:r>
      <w:r>
        <w:rPr>
          <w:i/>
          <w:color w:val="1B1B1C"/>
          <w:spacing w:val="-2"/>
        </w:rPr>
        <w:t>Voices</w:t>
      </w:r>
      <w:r>
        <w:rPr>
          <w:i/>
          <w:color w:val="1B1B1C"/>
        </w:rPr>
        <w:tab/>
      </w:r>
      <w:r>
        <w:rPr>
          <w:i/>
          <w:color w:val="1B1B1C"/>
          <w:spacing w:val="-4"/>
        </w:rPr>
        <w:t>from</w:t>
      </w:r>
      <w:r>
        <w:rPr>
          <w:i/>
          <w:color w:val="1B1B1C"/>
        </w:rPr>
        <w:tab/>
      </w:r>
      <w:r>
        <w:rPr>
          <w:i/>
          <w:color w:val="1B1B1C"/>
          <w:spacing w:val="-4"/>
        </w:rPr>
        <w:t>the</w:t>
      </w:r>
      <w:r>
        <w:rPr>
          <w:i/>
          <w:color w:val="1B1B1C"/>
        </w:rPr>
        <w:tab/>
      </w:r>
      <w:r>
        <w:rPr>
          <w:i/>
          <w:color w:val="1B1B1C"/>
          <w:spacing w:val="-2"/>
        </w:rPr>
        <w:t>European</w:t>
      </w:r>
      <w:r>
        <w:rPr>
          <w:i/>
          <w:color w:val="1B1B1C"/>
        </w:rPr>
        <w:tab/>
      </w:r>
      <w:r>
        <w:rPr>
          <w:i/>
          <w:color w:val="1B1B1C"/>
          <w:spacing w:val="-2"/>
        </w:rPr>
        <w:t>“Periphery”</w:t>
      </w:r>
      <w:r>
        <w:rPr>
          <w:color w:val="1B1B1C"/>
          <w:spacing w:val="-2"/>
        </w:rPr>
        <w:t>,</w:t>
      </w:r>
      <w:r>
        <w:rPr>
          <w:color w:val="1B1B1C"/>
        </w:rPr>
        <w:tab/>
      </w:r>
      <w:r>
        <w:rPr>
          <w:color w:val="1B1B1C"/>
          <w:spacing w:val="-4"/>
        </w:rPr>
        <w:t xml:space="preserve">117-138 </w:t>
      </w:r>
      <w:hyperlink r:id="rId79">
        <w:r>
          <w:rPr>
            <w:color w:val="1154CC"/>
            <w:spacing w:val="-2"/>
            <w:u w:val="thick" w:color="1154CC"/>
          </w:rPr>
          <w:t>https://www.researchgate.net/publication/380135868_Chapter_5_The_Spe</w:t>
        </w:r>
      </w:hyperlink>
      <w:hyperlink r:id="rId80">
        <w:r>
          <w:rPr>
            <w:color w:val="1154CC"/>
            <w:spacing w:val="-2"/>
            <w:u w:val="thick" w:color="1154CC"/>
          </w:rPr>
          <w:t>cificities_of_Populism_in_Countries_of_Democratic_Transition_Challen</w:t>
        </w:r>
      </w:hyperlink>
      <w:hyperlink r:id="rId81">
        <w:r>
          <w:rPr>
            <w:color w:val="1154CC"/>
            <w:spacing w:val="-2"/>
            <w:u w:val="thick" w:color="1154CC"/>
          </w:rPr>
          <w:t>ges_for_Armenia/fulltext/662cf71208aa54017ac5edbb/Chapter-5-The-Sp</w:t>
        </w:r>
      </w:hyperlink>
      <w:hyperlink r:id="rId82">
        <w:r>
          <w:rPr>
            <w:color w:val="1154CC"/>
            <w:spacing w:val="-2"/>
            <w:u w:val="thick" w:color="1154CC"/>
          </w:rPr>
          <w:t>ecificities-of-Populism-in-Countries_of_Democratic-Transition-Challenge</w:t>
        </w:r>
      </w:hyperlink>
      <w:hyperlink r:id="rId83">
        <w:r>
          <w:rPr>
            <w:color w:val="1154CC"/>
            <w:spacing w:val="-2"/>
            <w:u w:val="thick" w:color="1154CC"/>
          </w:rPr>
          <w:t>s-for-Armenia.pdf</w:t>
        </w:r>
      </w:hyperlink>
      <w:r>
        <w:rPr>
          <w:color w:val="1B1B1C"/>
          <w:spacing w:val="-2"/>
        </w:rPr>
        <w:t>.</w:t>
      </w:r>
    </w:p>
    <w:p w:rsidR="002C65FF" w:rsidRDefault="00B2180F">
      <w:pPr>
        <w:tabs>
          <w:tab w:val="left" w:pos="2309"/>
          <w:tab w:val="left" w:pos="4626"/>
          <w:tab w:val="left" w:pos="7392"/>
          <w:tab w:val="left" w:pos="9241"/>
        </w:tabs>
        <w:spacing w:line="360" w:lineRule="auto"/>
        <w:ind w:left="989" w:right="157" w:hanging="705"/>
        <w:jc w:val="both"/>
        <w:rPr>
          <w:sz w:val="28"/>
        </w:rPr>
      </w:pPr>
      <w:r>
        <w:rPr>
          <w:sz w:val="28"/>
        </w:rPr>
        <w:t>FerganaMedia.(2017).</w:t>
      </w:r>
      <w:r>
        <w:rPr>
          <w:i/>
          <w:sz w:val="28"/>
        </w:rPr>
        <w:t xml:space="preserve">“ИсламигосударстваЦентральнойАзии:риторика </w:t>
      </w:r>
      <w:r>
        <w:rPr>
          <w:i/>
          <w:spacing w:val="-10"/>
          <w:sz w:val="28"/>
        </w:rPr>
        <w:t>и</w:t>
      </w:r>
      <w:r>
        <w:rPr>
          <w:i/>
          <w:sz w:val="28"/>
        </w:rPr>
        <w:tab/>
      </w:r>
      <w:r>
        <w:rPr>
          <w:i/>
          <w:spacing w:val="-2"/>
          <w:sz w:val="28"/>
        </w:rPr>
        <w:t>практика</w:t>
      </w:r>
      <w:r>
        <w:rPr>
          <w:i/>
          <w:sz w:val="28"/>
        </w:rPr>
        <w:tab/>
      </w:r>
      <w:r>
        <w:rPr>
          <w:i/>
          <w:spacing w:val="-2"/>
          <w:sz w:val="28"/>
        </w:rPr>
        <w:t>отношений”</w:t>
      </w:r>
      <w:r>
        <w:rPr>
          <w:spacing w:val="-2"/>
          <w:sz w:val="28"/>
        </w:rPr>
        <w:t>.</w:t>
      </w:r>
      <w:r>
        <w:rPr>
          <w:sz w:val="28"/>
        </w:rPr>
        <w:tab/>
      </w:r>
      <w:r>
        <w:rPr>
          <w:spacing w:val="-2"/>
          <w:sz w:val="28"/>
        </w:rPr>
        <w:t>Взято</w:t>
      </w:r>
      <w:r>
        <w:rPr>
          <w:sz w:val="28"/>
        </w:rPr>
        <w:tab/>
      </w:r>
      <w:r>
        <w:rPr>
          <w:spacing w:val="-10"/>
          <w:sz w:val="28"/>
        </w:rPr>
        <w:t xml:space="preserve">з </w:t>
      </w:r>
      <w:hyperlink r:id="rId84">
        <w:r>
          <w:rPr>
            <w:color w:val="1154CC"/>
            <w:spacing w:val="-2"/>
            <w:sz w:val="28"/>
            <w:u w:val="thick" w:color="1154CC"/>
          </w:rPr>
          <w:t>https://asiaplustj.info/ru/news/tajikistan/society/20171108/islam-i-gosudar</w:t>
        </w:r>
      </w:hyperlink>
      <w:hyperlink r:id="rId85">
        <w:r>
          <w:rPr>
            <w:color w:val="1154CC"/>
            <w:spacing w:val="-2"/>
            <w:sz w:val="28"/>
            <w:u w:val="thick" w:color="1154CC"/>
          </w:rPr>
          <w:t>stva-tsentralnoi-azii-ritorika-i-praktika-otnoshenii</w:t>
        </w:r>
      </w:hyperlink>
      <w:r>
        <w:rPr>
          <w:spacing w:val="-2"/>
          <w:sz w:val="28"/>
        </w:rPr>
        <w:t>.</w:t>
      </w:r>
    </w:p>
    <w:p w:rsidR="002C65FF" w:rsidRDefault="00B2180F">
      <w:pPr>
        <w:spacing w:line="360" w:lineRule="auto"/>
        <w:ind w:left="989" w:right="159" w:hanging="705"/>
        <w:jc w:val="both"/>
        <w:rPr>
          <w:sz w:val="28"/>
        </w:rPr>
      </w:pPr>
      <w:r>
        <w:rPr>
          <w:color w:val="1B1B1C"/>
          <w:sz w:val="28"/>
        </w:rPr>
        <w:t xml:space="preserve">Georgescu, S., &amp; Garayev, T. (2013). </w:t>
      </w:r>
      <w:r>
        <w:rPr>
          <w:i/>
          <w:color w:val="1B1B1C"/>
          <w:sz w:val="28"/>
        </w:rPr>
        <w:t xml:space="preserve">Geopolitical changes in Caucasus after 1991. </w:t>
      </w:r>
      <w:r>
        <w:rPr>
          <w:color w:val="1B1B1C"/>
          <w:sz w:val="28"/>
        </w:rPr>
        <w:t xml:space="preserve">Journal of Institute of Social Sciences of Karabuk University, </w:t>
      </w:r>
      <w:r>
        <w:rPr>
          <w:i/>
          <w:color w:val="1B1B1C"/>
          <w:sz w:val="28"/>
        </w:rPr>
        <w:t>3</w:t>
      </w:r>
      <w:r>
        <w:rPr>
          <w:color w:val="1B1B1C"/>
          <w:sz w:val="28"/>
        </w:rPr>
        <w:t xml:space="preserve">(2), 123-151. </w:t>
      </w:r>
      <w:hyperlink r:id="rId86">
        <w:r>
          <w:rPr>
            <w:color w:val="1154CC"/>
            <w:sz w:val="28"/>
            <w:u w:val="thick" w:color="1154CC"/>
          </w:rPr>
          <w:t>https://dergipark.org.tr/en/download/article-file/105606</w:t>
        </w:r>
      </w:hyperlink>
      <w:r>
        <w:rPr>
          <w:sz w:val="28"/>
        </w:rPr>
        <w:t>.</w:t>
      </w:r>
    </w:p>
    <w:p w:rsidR="002C65FF" w:rsidRDefault="00B2180F">
      <w:pPr>
        <w:spacing w:line="360" w:lineRule="auto"/>
        <w:ind w:left="989" w:right="166" w:hanging="705"/>
        <w:jc w:val="both"/>
        <w:rPr>
          <w:sz w:val="28"/>
        </w:rPr>
      </w:pPr>
      <w:r>
        <w:rPr>
          <w:color w:val="1B1B1C"/>
          <w:sz w:val="28"/>
        </w:rPr>
        <w:t xml:space="preserve">Giuashvili, T. (2025). </w:t>
      </w:r>
      <w:r>
        <w:rPr>
          <w:i/>
          <w:color w:val="1B1B1C"/>
          <w:sz w:val="28"/>
        </w:rPr>
        <w:t>The changing face of the South Caucasus</w:t>
      </w:r>
      <w:r>
        <w:rPr>
          <w:color w:val="1B1B1C"/>
          <w:sz w:val="28"/>
        </w:rPr>
        <w:t xml:space="preserve">. </w:t>
      </w:r>
      <w:hyperlink r:id="rId87">
        <w:r>
          <w:rPr>
            <w:color w:val="1154CC"/>
            <w:spacing w:val="-2"/>
            <w:sz w:val="28"/>
            <w:u w:val="thick" w:color="1154CC"/>
          </w:rPr>
          <w:t>https://www.lse.ac.uk/ideas/Assets/Documents/updates/2025-SU-SCaucas</w:t>
        </w:r>
      </w:hyperlink>
      <w:hyperlink r:id="rId88">
        <w:r>
          <w:rPr>
            <w:color w:val="1154CC"/>
            <w:spacing w:val="-2"/>
            <w:sz w:val="28"/>
            <w:u w:val="thick" w:color="1154CC"/>
          </w:rPr>
          <w:t>us-WEB-03.pdf</w:t>
        </w:r>
      </w:hyperlink>
      <w:r>
        <w:rPr>
          <w:spacing w:val="-2"/>
          <w:sz w:val="28"/>
        </w:rPr>
        <w:t>.</w:t>
      </w:r>
    </w:p>
    <w:p w:rsidR="002C65FF" w:rsidRDefault="00B2180F">
      <w:pPr>
        <w:tabs>
          <w:tab w:val="left" w:pos="3444"/>
          <w:tab w:val="left" w:pos="5744"/>
          <w:tab w:val="left" w:pos="8355"/>
        </w:tabs>
        <w:spacing w:line="360" w:lineRule="auto"/>
        <w:ind w:left="989" w:right="157" w:hanging="705"/>
        <w:jc w:val="both"/>
        <w:rPr>
          <w:sz w:val="28"/>
        </w:rPr>
      </w:pPr>
      <w:r>
        <w:rPr>
          <w:sz w:val="28"/>
        </w:rPr>
        <w:t xml:space="preserve">Hamilton, R. (2024). </w:t>
      </w:r>
      <w:r>
        <w:rPr>
          <w:i/>
          <w:sz w:val="28"/>
        </w:rPr>
        <w:t>China, Russia, and power transition in Central Asia</w:t>
      </w:r>
      <w:r>
        <w:rPr>
          <w:sz w:val="28"/>
        </w:rPr>
        <w:t xml:space="preserve">. </w:t>
      </w:r>
      <w:r>
        <w:rPr>
          <w:spacing w:val="-2"/>
          <w:sz w:val="28"/>
        </w:rPr>
        <w:t>Foreign</w:t>
      </w:r>
      <w:r>
        <w:rPr>
          <w:sz w:val="28"/>
        </w:rPr>
        <w:tab/>
      </w:r>
      <w:r>
        <w:rPr>
          <w:spacing w:val="-2"/>
          <w:sz w:val="28"/>
        </w:rPr>
        <w:t>Policy</w:t>
      </w:r>
      <w:r>
        <w:rPr>
          <w:sz w:val="28"/>
        </w:rPr>
        <w:tab/>
      </w:r>
      <w:r>
        <w:rPr>
          <w:spacing w:val="-2"/>
          <w:sz w:val="28"/>
        </w:rPr>
        <w:t>Research</w:t>
      </w:r>
      <w:r>
        <w:rPr>
          <w:sz w:val="28"/>
        </w:rPr>
        <w:tab/>
      </w:r>
      <w:r>
        <w:rPr>
          <w:spacing w:val="-2"/>
          <w:sz w:val="28"/>
        </w:rPr>
        <w:t xml:space="preserve">Institute. </w:t>
      </w:r>
      <w:hyperlink r:id="rId89">
        <w:r>
          <w:rPr>
            <w:color w:val="1154CC"/>
            <w:spacing w:val="-2"/>
            <w:sz w:val="28"/>
            <w:u w:val="thick" w:color="1154CC"/>
          </w:rPr>
          <w:t>https://www.fpri.org/article/2024/05/china-russia-and-power-transition-in-</w:t>
        </w:r>
      </w:hyperlink>
      <w:hyperlink r:id="rId90">
        <w:r>
          <w:rPr>
            <w:color w:val="1154CC"/>
            <w:spacing w:val="-2"/>
            <w:sz w:val="28"/>
            <w:u w:val="thick" w:color="1154CC"/>
          </w:rPr>
          <w:t>central-asia/</w:t>
        </w:r>
      </w:hyperlink>
      <w:r>
        <w:rPr>
          <w:spacing w:val="-2"/>
          <w:sz w:val="28"/>
        </w:rPr>
        <w:t>.</w:t>
      </w:r>
    </w:p>
    <w:p w:rsidR="002C65FF" w:rsidRDefault="00B2180F">
      <w:pPr>
        <w:tabs>
          <w:tab w:val="left" w:pos="3230"/>
          <w:tab w:val="left" w:pos="4950"/>
          <w:tab w:val="left" w:pos="6500"/>
          <w:tab w:val="left" w:pos="8361"/>
        </w:tabs>
        <w:spacing w:line="360" w:lineRule="auto"/>
        <w:ind w:left="989" w:right="161" w:hanging="705"/>
        <w:rPr>
          <w:sz w:val="28"/>
        </w:rPr>
      </w:pPr>
      <w:r>
        <w:rPr>
          <w:sz w:val="28"/>
        </w:rPr>
        <w:t>Hess,M.(2024).</w:t>
      </w:r>
      <w:r>
        <w:rPr>
          <w:i/>
          <w:sz w:val="28"/>
        </w:rPr>
        <w:t xml:space="preserve">RussiaandChinainCentralAsia:Potentialfordirect </w:t>
      </w:r>
      <w:r>
        <w:rPr>
          <w:i/>
          <w:spacing w:val="-2"/>
          <w:sz w:val="28"/>
        </w:rPr>
        <w:t>competition</w:t>
      </w:r>
      <w:r>
        <w:rPr>
          <w:spacing w:val="-2"/>
          <w:sz w:val="28"/>
        </w:rPr>
        <w:t>.</w:t>
      </w:r>
      <w:r>
        <w:rPr>
          <w:sz w:val="28"/>
        </w:rPr>
        <w:tab/>
      </w:r>
      <w:r>
        <w:rPr>
          <w:spacing w:val="-2"/>
          <w:sz w:val="28"/>
        </w:rPr>
        <w:t>Foreign</w:t>
      </w:r>
      <w:r>
        <w:rPr>
          <w:sz w:val="28"/>
        </w:rPr>
        <w:tab/>
      </w:r>
      <w:r>
        <w:rPr>
          <w:spacing w:val="-2"/>
          <w:sz w:val="28"/>
        </w:rPr>
        <w:t>Policy</w:t>
      </w:r>
      <w:r>
        <w:rPr>
          <w:sz w:val="28"/>
        </w:rPr>
        <w:tab/>
      </w:r>
      <w:r>
        <w:rPr>
          <w:spacing w:val="-2"/>
          <w:sz w:val="28"/>
        </w:rPr>
        <w:t>Research</w:t>
      </w:r>
      <w:r>
        <w:rPr>
          <w:sz w:val="28"/>
        </w:rPr>
        <w:tab/>
      </w:r>
      <w:r>
        <w:rPr>
          <w:spacing w:val="-2"/>
          <w:sz w:val="28"/>
        </w:rPr>
        <w:t xml:space="preserve">Institute. </w:t>
      </w:r>
      <w:hyperlink r:id="rId91">
        <w:r>
          <w:rPr>
            <w:color w:val="1154CC"/>
            <w:spacing w:val="-2"/>
            <w:sz w:val="28"/>
            <w:u w:val="thick" w:color="1154CC"/>
          </w:rPr>
          <w:t>https://www.fpri.org/article/2024/04/russia-and-china-in-central-asia-pote</w:t>
        </w:r>
      </w:hyperlink>
      <w:hyperlink r:id="rId92">
        <w:r>
          <w:rPr>
            <w:color w:val="1154CC"/>
            <w:spacing w:val="-2"/>
            <w:sz w:val="28"/>
            <w:u w:val="thick" w:color="1154CC"/>
          </w:rPr>
          <w:t>ntial-for-direct-competition/</w:t>
        </w:r>
      </w:hyperlink>
      <w:r>
        <w:rPr>
          <w:spacing w:val="-2"/>
          <w:sz w:val="28"/>
        </w:rPr>
        <w:t>.</w:t>
      </w:r>
    </w:p>
    <w:p w:rsidR="002C65FF" w:rsidRDefault="00B2180F">
      <w:pPr>
        <w:spacing w:line="360" w:lineRule="auto"/>
        <w:ind w:left="989" w:right="162" w:hanging="705"/>
        <w:jc w:val="both"/>
        <w:rPr>
          <w:sz w:val="28"/>
        </w:rPr>
      </w:pPr>
      <w:r>
        <w:rPr>
          <w:sz w:val="28"/>
        </w:rPr>
        <w:t xml:space="preserve">Heriansyah, H. &amp; Rofii, M. S. (2023). </w:t>
      </w:r>
      <w:r>
        <w:rPr>
          <w:i/>
          <w:sz w:val="28"/>
        </w:rPr>
        <w:t>“Hizb Ut-Tahrir’s Tabanni Concept: the Problem of Internal Unity and External Weakness”</w:t>
      </w:r>
      <w:r>
        <w:rPr>
          <w:sz w:val="28"/>
        </w:rPr>
        <w:t xml:space="preserve">. Взято з </w:t>
      </w:r>
      <w:hyperlink r:id="rId93">
        <w:r>
          <w:rPr>
            <w:color w:val="1154CC"/>
            <w:spacing w:val="-2"/>
            <w:sz w:val="28"/>
            <w:u w:val="thick" w:color="1154CC"/>
          </w:rPr>
          <w:t>https://journal.uinsgd.ac.id/index.php/politicon/article/view/14309/8854</w:t>
        </w:r>
      </w:hyperlink>
      <w:r>
        <w:rPr>
          <w:spacing w:val="-2"/>
          <w:sz w:val="28"/>
        </w:rPr>
        <w:t>.</w:t>
      </w:r>
    </w:p>
    <w:p w:rsidR="002C65FF" w:rsidRDefault="00B2180F">
      <w:pPr>
        <w:spacing w:line="360" w:lineRule="auto"/>
        <w:ind w:left="989" w:right="165" w:hanging="705"/>
        <w:jc w:val="both"/>
        <w:rPr>
          <w:sz w:val="28"/>
        </w:rPr>
      </w:pPr>
      <w:r>
        <w:rPr>
          <w:sz w:val="28"/>
        </w:rPr>
        <w:t>Hoagland, R., Repass, M., &amp; Wolkov, N. (2021).</w:t>
      </w:r>
      <w:r>
        <w:rPr>
          <w:i/>
          <w:sz w:val="28"/>
        </w:rPr>
        <w:t>Russia’shistoricaldefenseties and China’s rising military presence in Central Asia</w:t>
      </w:r>
      <w:r>
        <w:rPr>
          <w:sz w:val="28"/>
        </w:rPr>
        <w:t xml:space="preserve">. Caspian Policy </w:t>
      </w:r>
      <w:r>
        <w:rPr>
          <w:spacing w:val="-2"/>
          <w:sz w:val="28"/>
        </w:rPr>
        <w:t>Center.</w:t>
      </w:r>
    </w:p>
    <w:p w:rsidR="002C65FF" w:rsidRDefault="002C65FF">
      <w:pPr>
        <w:spacing w:line="360" w:lineRule="auto"/>
        <w:jc w:val="both"/>
        <w:rPr>
          <w:sz w:val="28"/>
        </w:rPr>
        <w:sectPr w:rsidR="002C65FF">
          <w:pgSz w:w="11920" w:h="16840"/>
          <w:pgMar w:top="1040" w:right="708" w:bottom="280" w:left="1700" w:header="732" w:footer="0" w:gutter="0"/>
          <w:cols w:space="720"/>
        </w:sectPr>
      </w:pPr>
    </w:p>
    <w:p w:rsidR="002C65FF" w:rsidRDefault="008476BE">
      <w:pPr>
        <w:pStyle w:val="a3"/>
        <w:spacing w:before="78" w:line="360" w:lineRule="auto"/>
        <w:ind w:left="989" w:right="243"/>
        <w:jc w:val="left"/>
      </w:pPr>
      <w:hyperlink r:id="rId94">
        <w:r w:rsidR="00B2180F">
          <w:rPr>
            <w:color w:val="1154CC"/>
            <w:spacing w:val="-2"/>
            <w:u w:val="thick" w:color="1154CC"/>
          </w:rPr>
          <w:t>https://api.caspianpolicy.org/media/uploads/2021/04/Russias-Historical-D</w:t>
        </w:r>
      </w:hyperlink>
      <w:hyperlink r:id="rId95">
        <w:r w:rsidR="00B2180F">
          <w:rPr>
            <w:color w:val="1154CC"/>
            <w:spacing w:val="-2"/>
            <w:u w:val="thick" w:color="1154CC"/>
          </w:rPr>
          <w:t>efense-Ties-and-Chinas-Rising-Military-Presence-in-Central-Asia.pdf</w:t>
        </w:r>
      </w:hyperlink>
      <w:r w:rsidR="00B2180F">
        <w:rPr>
          <w:spacing w:val="-2"/>
        </w:rPr>
        <w:t>.</w:t>
      </w:r>
    </w:p>
    <w:p w:rsidR="002C65FF" w:rsidRDefault="00B2180F">
      <w:pPr>
        <w:tabs>
          <w:tab w:val="left" w:pos="4066"/>
          <w:tab w:val="left" w:pos="6919"/>
          <w:tab w:val="left" w:pos="9233"/>
        </w:tabs>
        <w:spacing w:line="360" w:lineRule="auto"/>
        <w:ind w:left="989" w:right="160" w:hanging="705"/>
        <w:jc w:val="both"/>
        <w:rPr>
          <w:sz w:val="28"/>
        </w:rPr>
      </w:pPr>
      <w:r>
        <w:rPr>
          <w:sz w:val="28"/>
        </w:rPr>
        <w:t xml:space="preserve">Human Rights Watch. (2023). </w:t>
      </w:r>
      <w:r>
        <w:rPr>
          <w:i/>
          <w:sz w:val="28"/>
        </w:rPr>
        <w:t xml:space="preserve">“Узбекистан: отступление от обещанной </w:t>
      </w:r>
      <w:r>
        <w:rPr>
          <w:i/>
          <w:spacing w:val="-2"/>
          <w:sz w:val="28"/>
        </w:rPr>
        <w:t>религиозной</w:t>
      </w:r>
      <w:r>
        <w:rPr>
          <w:i/>
          <w:sz w:val="28"/>
        </w:rPr>
        <w:tab/>
      </w:r>
      <w:r>
        <w:rPr>
          <w:i/>
          <w:spacing w:val="-2"/>
          <w:sz w:val="28"/>
        </w:rPr>
        <w:t>свободы”.</w:t>
      </w:r>
      <w:r>
        <w:rPr>
          <w:i/>
          <w:sz w:val="28"/>
        </w:rPr>
        <w:tab/>
      </w:r>
      <w:r>
        <w:rPr>
          <w:spacing w:val="-2"/>
          <w:sz w:val="28"/>
        </w:rPr>
        <w:t>Взято</w:t>
      </w:r>
      <w:r>
        <w:rPr>
          <w:sz w:val="28"/>
        </w:rPr>
        <w:tab/>
      </w:r>
      <w:r>
        <w:rPr>
          <w:spacing w:val="-10"/>
          <w:sz w:val="28"/>
        </w:rPr>
        <w:t xml:space="preserve">з </w:t>
      </w:r>
      <w:hyperlink r:id="rId96">
        <w:r>
          <w:rPr>
            <w:color w:val="1154CC"/>
            <w:spacing w:val="-2"/>
            <w:sz w:val="28"/>
            <w:u w:val="thick" w:color="1154CC"/>
          </w:rPr>
          <w:t>https://www.hrw.org/ru/news/2023/05/25/uzbekistan-backsliding-religious</w:t>
        </w:r>
      </w:hyperlink>
    </w:p>
    <w:p w:rsidR="002C65FF" w:rsidRDefault="008476BE">
      <w:pPr>
        <w:pStyle w:val="a3"/>
        <w:ind w:left="989"/>
        <w:jc w:val="left"/>
      </w:pPr>
      <w:hyperlink r:id="rId97">
        <w:r w:rsidR="00B2180F">
          <w:rPr>
            <w:color w:val="1154CC"/>
            <w:spacing w:val="-2"/>
            <w:u w:val="thick" w:color="1154CC"/>
          </w:rPr>
          <w:t>-freedom-promises</w:t>
        </w:r>
      </w:hyperlink>
      <w:r w:rsidR="00B2180F">
        <w:rPr>
          <w:spacing w:val="-2"/>
        </w:rPr>
        <w:t>.</w:t>
      </w:r>
    </w:p>
    <w:p w:rsidR="002C65FF" w:rsidRDefault="00B2180F">
      <w:pPr>
        <w:pStyle w:val="a3"/>
        <w:tabs>
          <w:tab w:val="left" w:pos="1722"/>
        </w:tabs>
        <w:spacing w:before="161" w:line="360" w:lineRule="auto"/>
        <w:ind w:left="989" w:right="191" w:hanging="705"/>
        <w:jc w:val="left"/>
      </w:pPr>
      <w:r>
        <w:t>Huseynov, V. (2023). Geopolitics of the South Caucasus in Flux; Towards a</w:t>
      </w:r>
      <w:r>
        <w:rPr>
          <w:spacing w:val="-4"/>
        </w:rPr>
        <w:t>New</w:t>
      </w:r>
      <w:r>
        <w:tab/>
        <w:t>SecurityOrder.</w:t>
      </w:r>
      <w:r>
        <w:rPr>
          <w:i/>
        </w:rPr>
        <w:t>CaucasusStrategicPerspectives</w:t>
      </w:r>
      <w:r>
        <w:t>,</w:t>
      </w:r>
      <w:r>
        <w:rPr>
          <w:i/>
        </w:rPr>
        <w:t>4</w:t>
      </w:r>
      <w:r>
        <w:t xml:space="preserve">(2),61-76. </w:t>
      </w:r>
      <w:hyperlink r:id="rId98">
        <w:r>
          <w:rPr>
            <w:color w:val="1154CC"/>
            <w:spacing w:val="-2"/>
            <w:u w:val="thick" w:color="1154CC"/>
          </w:rPr>
          <w:t>http://dspace.khazar.org/jspui/handle/20.500.12323/7117</w:t>
        </w:r>
      </w:hyperlink>
      <w:r>
        <w:rPr>
          <w:spacing w:val="-2"/>
        </w:rPr>
        <w:t>.</w:t>
      </w:r>
    </w:p>
    <w:p w:rsidR="002C65FF" w:rsidRDefault="00B2180F">
      <w:pPr>
        <w:spacing w:line="360" w:lineRule="auto"/>
        <w:ind w:left="989" w:right="161" w:hanging="705"/>
        <w:jc w:val="both"/>
        <w:rPr>
          <w:sz w:val="28"/>
        </w:rPr>
      </w:pPr>
      <w:r>
        <w:rPr>
          <w:sz w:val="28"/>
        </w:rPr>
        <w:t>Koskina,S.(2024).</w:t>
      </w:r>
      <w:r>
        <w:rPr>
          <w:i/>
          <w:sz w:val="28"/>
        </w:rPr>
        <w:t xml:space="preserve">Populism,Democracy,andAuthoritarianismintheSouthern Caucasus. </w:t>
      </w:r>
      <w:r>
        <w:rPr>
          <w:sz w:val="28"/>
        </w:rPr>
        <w:t xml:space="preserve">European Center for Populism Studies (ECPS). </w:t>
      </w:r>
      <w:hyperlink r:id="rId99">
        <w:r>
          <w:rPr>
            <w:color w:val="1154CC"/>
            <w:spacing w:val="-2"/>
            <w:sz w:val="28"/>
            <w:u w:val="thick" w:color="1154CC"/>
          </w:rPr>
          <w:t>https://www.populismstudies.org/populism-democracy-and-authoritarianis</w:t>
        </w:r>
      </w:hyperlink>
      <w:hyperlink r:id="rId100">
        <w:r>
          <w:rPr>
            <w:color w:val="1154CC"/>
            <w:spacing w:val="-2"/>
            <w:sz w:val="28"/>
            <w:u w:val="thick" w:color="1154CC"/>
          </w:rPr>
          <w:t>m-in-the-southern-caucasus/</w:t>
        </w:r>
      </w:hyperlink>
      <w:r>
        <w:rPr>
          <w:color w:val="333333"/>
          <w:spacing w:val="-2"/>
          <w:sz w:val="28"/>
        </w:rPr>
        <w:t>.</w:t>
      </w:r>
    </w:p>
    <w:p w:rsidR="002C65FF" w:rsidRDefault="00B2180F">
      <w:pPr>
        <w:pStyle w:val="a3"/>
        <w:tabs>
          <w:tab w:val="left" w:pos="1716"/>
          <w:tab w:val="left" w:pos="2754"/>
          <w:tab w:val="left" w:pos="4265"/>
          <w:tab w:val="left" w:pos="6055"/>
          <w:tab w:val="left" w:pos="7303"/>
          <w:tab w:val="left" w:pos="8349"/>
        </w:tabs>
        <w:spacing w:line="360" w:lineRule="auto"/>
        <w:ind w:left="989" w:right="157" w:hanging="705"/>
        <w:jc w:val="left"/>
      </w:pPr>
      <w:r>
        <w:rPr>
          <w:color w:val="333333"/>
        </w:rPr>
        <w:t xml:space="preserve">Krawatzek, F., &amp; Pfeilschifter, V. (2025). Young People, Politics and Society in </w:t>
      </w:r>
      <w:r>
        <w:rPr>
          <w:color w:val="333333"/>
          <w:spacing w:val="-4"/>
        </w:rPr>
        <w:t>the</w:t>
      </w:r>
      <w:r>
        <w:rPr>
          <w:color w:val="333333"/>
        </w:rPr>
        <w:tab/>
      </w:r>
      <w:r>
        <w:rPr>
          <w:color w:val="333333"/>
          <w:spacing w:val="-2"/>
        </w:rPr>
        <w:t>South</w:t>
      </w:r>
      <w:r>
        <w:rPr>
          <w:color w:val="333333"/>
        </w:rPr>
        <w:tab/>
      </w:r>
      <w:r>
        <w:rPr>
          <w:color w:val="333333"/>
          <w:spacing w:val="-2"/>
        </w:rPr>
        <w:t>Caucasus.</w:t>
      </w:r>
      <w:r>
        <w:rPr>
          <w:color w:val="333333"/>
        </w:rPr>
        <w:tab/>
      </w:r>
      <w:r>
        <w:rPr>
          <w:i/>
          <w:color w:val="333333"/>
          <w:spacing w:val="-2"/>
        </w:rPr>
        <w:t>Europe-Asia</w:t>
      </w:r>
      <w:r>
        <w:rPr>
          <w:i/>
          <w:color w:val="333333"/>
        </w:rPr>
        <w:tab/>
      </w:r>
      <w:r>
        <w:rPr>
          <w:i/>
          <w:color w:val="333333"/>
          <w:spacing w:val="-2"/>
        </w:rPr>
        <w:t>Studies</w:t>
      </w:r>
      <w:r>
        <w:rPr>
          <w:color w:val="333333"/>
          <w:spacing w:val="-2"/>
        </w:rPr>
        <w:t>,</w:t>
      </w:r>
      <w:r>
        <w:rPr>
          <w:color w:val="333333"/>
        </w:rPr>
        <w:tab/>
      </w:r>
      <w:r>
        <w:rPr>
          <w:i/>
          <w:color w:val="333333"/>
          <w:spacing w:val="-2"/>
        </w:rPr>
        <w:t>77</w:t>
      </w:r>
      <w:r>
        <w:rPr>
          <w:color w:val="333333"/>
          <w:spacing w:val="-2"/>
        </w:rPr>
        <w:t>(4),</w:t>
      </w:r>
      <w:r>
        <w:rPr>
          <w:color w:val="333333"/>
        </w:rPr>
        <w:tab/>
      </w:r>
      <w:r>
        <w:rPr>
          <w:color w:val="333333"/>
          <w:spacing w:val="-2"/>
        </w:rPr>
        <w:t xml:space="preserve">588-616. </w:t>
      </w:r>
      <w:hyperlink r:id="rId101">
        <w:r>
          <w:rPr>
            <w:color w:val="1154CC"/>
            <w:spacing w:val="-2"/>
            <w:u w:val="thick" w:color="1154CC"/>
          </w:rPr>
          <w:t>https://www.tandfonline.com/doi/full/10.1080/09668136.2025.2492328?s</w:t>
        </w:r>
      </w:hyperlink>
      <w:hyperlink r:id="rId102">
        <w:r>
          <w:rPr>
            <w:color w:val="1154CC"/>
            <w:spacing w:val="-2"/>
            <w:u w:val="thick" w:color="1154CC"/>
          </w:rPr>
          <w:t>croll=top&amp;needAccess=true</w:t>
        </w:r>
      </w:hyperlink>
      <w:r>
        <w:rPr>
          <w:spacing w:val="-2"/>
        </w:rPr>
        <w:t>.</w:t>
      </w:r>
    </w:p>
    <w:p w:rsidR="002C65FF" w:rsidRDefault="00B2180F">
      <w:pPr>
        <w:tabs>
          <w:tab w:val="left" w:pos="2166"/>
          <w:tab w:val="left" w:pos="3638"/>
          <w:tab w:val="left" w:pos="5654"/>
          <w:tab w:val="left" w:pos="7609"/>
          <w:tab w:val="left" w:pos="8756"/>
        </w:tabs>
        <w:spacing w:line="360" w:lineRule="auto"/>
        <w:ind w:left="989" w:right="157" w:hanging="705"/>
        <w:rPr>
          <w:sz w:val="28"/>
        </w:rPr>
      </w:pPr>
      <w:r>
        <w:rPr>
          <w:color w:val="1B1B1C"/>
          <w:sz w:val="28"/>
        </w:rPr>
        <w:t xml:space="preserve">Mchedlishvili, G. (2016). Chatham House. </w:t>
      </w:r>
      <w:r>
        <w:rPr>
          <w:i/>
          <w:color w:val="1B1B1C"/>
          <w:sz w:val="28"/>
        </w:rPr>
        <w:t xml:space="preserve">Changing perceptions of the West in </w:t>
      </w:r>
      <w:r>
        <w:rPr>
          <w:i/>
          <w:color w:val="1B1B1C"/>
          <w:spacing w:val="-4"/>
          <w:sz w:val="28"/>
        </w:rPr>
        <w:t>the</w:t>
      </w:r>
      <w:r>
        <w:rPr>
          <w:i/>
          <w:color w:val="1B1B1C"/>
          <w:sz w:val="28"/>
        </w:rPr>
        <w:tab/>
      </w:r>
      <w:r>
        <w:rPr>
          <w:i/>
          <w:color w:val="1B1B1C"/>
          <w:spacing w:val="-2"/>
          <w:sz w:val="28"/>
        </w:rPr>
        <w:t>South</w:t>
      </w:r>
      <w:r>
        <w:rPr>
          <w:i/>
          <w:color w:val="1B1B1C"/>
          <w:sz w:val="28"/>
        </w:rPr>
        <w:tab/>
      </w:r>
      <w:r>
        <w:rPr>
          <w:i/>
          <w:color w:val="1B1B1C"/>
          <w:spacing w:val="-2"/>
          <w:sz w:val="28"/>
        </w:rPr>
        <w:t>Caucasus:</w:t>
      </w:r>
      <w:r>
        <w:rPr>
          <w:i/>
          <w:color w:val="1B1B1C"/>
          <w:sz w:val="28"/>
        </w:rPr>
        <w:tab/>
      </w:r>
      <w:r>
        <w:rPr>
          <w:i/>
          <w:color w:val="1B1B1C"/>
          <w:spacing w:val="-2"/>
          <w:sz w:val="28"/>
        </w:rPr>
        <w:t>Adoration</w:t>
      </w:r>
      <w:r>
        <w:rPr>
          <w:i/>
          <w:color w:val="1B1B1C"/>
          <w:sz w:val="28"/>
        </w:rPr>
        <w:tab/>
      </w:r>
      <w:r>
        <w:rPr>
          <w:i/>
          <w:color w:val="1B1B1C"/>
          <w:spacing w:val="-6"/>
          <w:sz w:val="28"/>
        </w:rPr>
        <w:t>No</w:t>
      </w:r>
      <w:r>
        <w:rPr>
          <w:i/>
          <w:color w:val="1B1B1C"/>
          <w:sz w:val="28"/>
        </w:rPr>
        <w:tab/>
      </w:r>
      <w:r>
        <w:rPr>
          <w:i/>
          <w:color w:val="1B1B1C"/>
          <w:spacing w:val="-6"/>
          <w:sz w:val="28"/>
        </w:rPr>
        <w:t xml:space="preserve">More </w:t>
      </w:r>
      <w:hyperlink r:id="rId103">
        <w:r>
          <w:rPr>
            <w:color w:val="1154CC"/>
            <w:spacing w:val="-2"/>
            <w:sz w:val="28"/>
            <w:u w:val="thick" w:color="1154CC"/>
          </w:rPr>
          <w:t>https://www.chathamhouse.org/sites/default/files/publications/research/20</w:t>
        </w:r>
      </w:hyperlink>
      <w:hyperlink r:id="rId104">
        <w:r>
          <w:rPr>
            <w:color w:val="1154CC"/>
            <w:spacing w:val="-2"/>
            <w:sz w:val="28"/>
            <w:u w:val="thick" w:color="1154CC"/>
          </w:rPr>
          <w:t>16-02-12-west-south-caucasus-mchedlishvili-final.pdf</w:t>
        </w:r>
      </w:hyperlink>
      <w:r>
        <w:rPr>
          <w:spacing w:val="-2"/>
          <w:sz w:val="28"/>
        </w:rPr>
        <w:t>.</w:t>
      </w:r>
    </w:p>
    <w:p w:rsidR="002C65FF" w:rsidRDefault="00B2180F">
      <w:pPr>
        <w:spacing w:line="360" w:lineRule="auto"/>
        <w:ind w:left="989" w:hanging="705"/>
        <w:rPr>
          <w:sz w:val="28"/>
        </w:rPr>
      </w:pPr>
      <w:r>
        <w:rPr>
          <w:sz w:val="28"/>
        </w:rPr>
        <w:t xml:space="preserve">Mearsheimer, J. J. (2001). </w:t>
      </w:r>
      <w:r>
        <w:rPr>
          <w:i/>
          <w:sz w:val="28"/>
        </w:rPr>
        <w:t>The tragedy of great power politics</w:t>
      </w:r>
      <w:r>
        <w:rPr>
          <w:sz w:val="28"/>
        </w:rPr>
        <w:t>. W.W.Norton&amp;</w:t>
      </w:r>
      <w:r>
        <w:rPr>
          <w:spacing w:val="-2"/>
          <w:sz w:val="28"/>
        </w:rPr>
        <w:t>Company.</w:t>
      </w:r>
    </w:p>
    <w:p w:rsidR="002C65FF" w:rsidRDefault="00B2180F">
      <w:pPr>
        <w:ind w:left="284"/>
        <w:rPr>
          <w:sz w:val="28"/>
        </w:rPr>
      </w:pPr>
      <w:r>
        <w:rPr>
          <w:sz w:val="28"/>
        </w:rPr>
        <w:t>Meister,S.(2021).</w:t>
      </w:r>
      <w:r>
        <w:rPr>
          <w:i/>
          <w:sz w:val="28"/>
        </w:rPr>
        <w:t>ShiftingGeopoliticalRealitiesintheSouth</w:t>
      </w:r>
      <w:r>
        <w:rPr>
          <w:i/>
          <w:spacing w:val="-2"/>
          <w:sz w:val="28"/>
        </w:rPr>
        <w:t>Caucasus</w:t>
      </w:r>
      <w:r>
        <w:rPr>
          <w:spacing w:val="-2"/>
          <w:sz w:val="28"/>
        </w:rPr>
        <w:t>.</w:t>
      </w:r>
    </w:p>
    <w:p w:rsidR="002C65FF" w:rsidRDefault="00B2180F">
      <w:pPr>
        <w:pStyle w:val="a3"/>
        <w:spacing w:before="161" w:line="360" w:lineRule="auto"/>
        <w:ind w:left="989" w:right="155"/>
      </w:pPr>
      <w:r>
        <w:t xml:space="preserve">German Council on Foreign Relations (DGAP). </w:t>
      </w:r>
      <w:hyperlink r:id="rId105">
        <w:r>
          <w:rPr>
            <w:color w:val="1154CC"/>
            <w:spacing w:val="-2"/>
            <w:u w:val="thick" w:color="1154CC"/>
          </w:rPr>
          <w:t>https://dgap.org/en/research/publications/shifting-geopolitical-realities-sou</w:t>
        </w:r>
      </w:hyperlink>
      <w:hyperlink r:id="rId106">
        <w:r>
          <w:rPr>
            <w:color w:val="1154CC"/>
            <w:spacing w:val="-2"/>
            <w:u w:val="thick" w:color="1154CC"/>
          </w:rPr>
          <w:t>th-caucasus</w:t>
        </w:r>
      </w:hyperlink>
      <w:r>
        <w:rPr>
          <w:spacing w:val="-2"/>
        </w:rPr>
        <w:t>.</w:t>
      </w:r>
    </w:p>
    <w:p w:rsidR="002C65FF" w:rsidRDefault="00B2180F">
      <w:pPr>
        <w:ind w:left="284"/>
        <w:jc w:val="both"/>
        <w:rPr>
          <w:i/>
          <w:sz w:val="28"/>
        </w:rPr>
      </w:pPr>
      <w:r>
        <w:rPr>
          <w:sz w:val="28"/>
        </w:rPr>
        <w:t>Meister,S.(2023).</w:t>
      </w:r>
      <w:r>
        <w:rPr>
          <w:i/>
          <w:sz w:val="28"/>
        </w:rPr>
        <w:t>Russia’sWaragainstUkraine:Connectivityand</w:t>
      </w:r>
      <w:r>
        <w:rPr>
          <w:i/>
          <w:spacing w:val="-2"/>
          <w:sz w:val="28"/>
        </w:rPr>
        <w:t>Disruption</w:t>
      </w:r>
    </w:p>
    <w:p w:rsidR="002C65FF" w:rsidRDefault="002C65FF">
      <w:pPr>
        <w:jc w:val="both"/>
        <w:rPr>
          <w:i/>
          <w:sz w:val="28"/>
        </w:rPr>
        <w:sectPr w:rsidR="002C65FF">
          <w:pgSz w:w="11920" w:h="16840"/>
          <w:pgMar w:top="1040" w:right="708" w:bottom="280" w:left="1700" w:header="732" w:footer="0" w:gutter="0"/>
          <w:cols w:space="720"/>
        </w:sectPr>
      </w:pPr>
    </w:p>
    <w:p w:rsidR="002C65FF" w:rsidRDefault="00B2180F">
      <w:pPr>
        <w:pStyle w:val="a3"/>
        <w:spacing w:before="78" w:line="360" w:lineRule="auto"/>
        <w:ind w:left="989" w:right="161"/>
      </w:pPr>
      <w:r>
        <w:rPr>
          <w:i/>
        </w:rPr>
        <w:t>in the South Caucasus</w:t>
      </w:r>
      <w:r>
        <w:t xml:space="preserve">. German Council on Foreign Relations (DGAP). </w:t>
      </w:r>
      <w:hyperlink r:id="rId107">
        <w:r>
          <w:rPr>
            <w:color w:val="1154CC"/>
            <w:spacing w:val="-2"/>
            <w:u w:val="thick" w:color="1154CC"/>
          </w:rPr>
          <w:t>https://dgap.org/en/research/publications/russias-war-against-ukraine-conn</w:t>
        </w:r>
      </w:hyperlink>
      <w:hyperlink r:id="rId108">
        <w:r>
          <w:rPr>
            <w:color w:val="1154CC"/>
            <w:spacing w:val="-2"/>
            <w:u w:val="thick" w:color="1154CC"/>
          </w:rPr>
          <w:t>ectivity-and-disruption-south-caucasus</w:t>
        </w:r>
      </w:hyperlink>
      <w:r>
        <w:rPr>
          <w:spacing w:val="-2"/>
        </w:rPr>
        <w:t>.</w:t>
      </w:r>
    </w:p>
    <w:p w:rsidR="002C65FF" w:rsidRDefault="00B2180F">
      <w:pPr>
        <w:spacing w:line="360" w:lineRule="auto"/>
        <w:ind w:left="989" w:hanging="705"/>
        <w:rPr>
          <w:sz w:val="28"/>
        </w:rPr>
      </w:pPr>
      <w:r>
        <w:rPr>
          <w:sz w:val="28"/>
        </w:rPr>
        <w:t xml:space="preserve">Meister, S. (2024). </w:t>
      </w:r>
      <w:r>
        <w:rPr>
          <w:i/>
          <w:sz w:val="28"/>
        </w:rPr>
        <w:t>The End of Russian Hegemony: A new transactional order arisesintheSouthCaucasus</w:t>
      </w:r>
      <w:r>
        <w:rPr>
          <w:sz w:val="28"/>
        </w:rPr>
        <w:t xml:space="preserve">.GermanCouncilonForeignRelations </w:t>
      </w:r>
      <w:r>
        <w:rPr>
          <w:spacing w:val="-2"/>
          <w:sz w:val="28"/>
        </w:rPr>
        <w:t>(DGAP).</w:t>
      </w:r>
    </w:p>
    <w:p w:rsidR="002C65FF" w:rsidRDefault="008476BE">
      <w:pPr>
        <w:pStyle w:val="a3"/>
        <w:spacing w:line="360" w:lineRule="auto"/>
        <w:ind w:left="989" w:right="249"/>
        <w:jc w:val="left"/>
      </w:pPr>
      <w:hyperlink r:id="rId109">
        <w:r w:rsidR="00B2180F">
          <w:rPr>
            <w:color w:val="1154CC"/>
            <w:spacing w:val="-2"/>
            <w:u w:val="thick" w:color="1154CC"/>
          </w:rPr>
          <w:t>https://dgap.org/en/research/publications/end-russian-hegemony-new-tran</w:t>
        </w:r>
      </w:hyperlink>
      <w:hyperlink r:id="rId110">
        <w:r w:rsidR="00B2180F">
          <w:rPr>
            <w:color w:val="1154CC"/>
            <w:spacing w:val="-2"/>
            <w:u w:val="thick" w:color="1154CC"/>
          </w:rPr>
          <w:t>sactional-order-arises-south-caucasus</w:t>
        </w:r>
      </w:hyperlink>
      <w:r w:rsidR="00B2180F">
        <w:rPr>
          <w:spacing w:val="-2"/>
        </w:rPr>
        <w:t>.</w:t>
      </w:r>
    </w:p>
    <w:p w:rsidR="002C65FF" w:rsidRDefault="00B2180F">
      <w:pPr>
        <w:tabs>
          <w:tab w:val="left" w:pos="2518"/>
          <w:tab w:val="left" w:pos="4690"/>
          <w:tab w:val="left" w:pos="6878"/>
          <w:tab w:val="left" w:pos="8350"/>
        </w:tabs>
        <w:spacing w:line="360" w:lineRule="auto"/>
        <w:ind w:left="989" w:right="166" w:hanging="705"/>
        <w:rPr>
          <w:sz w:val="28"/>
        </w:rPr>
      </w:pPr>
      <w:r>
        <w:rPr>
          <w:i/>
          <w:color w:val="1B1B1C"/>
          <w:spacing w:val="-2"/>
          <w:sz w:val="28"/>
        </w:rPr>
        <w:t>National</w:t>
      </w:r>
      <w:r>
        <w:rPr>
          <w:i/>
          <w:color w:val="1B1B1C"/>
          <w:sz w:val="28"/>
        </w:rPr>
        <w:tab/>
      </w:r>
      <w:r>
        <w:rPr>
          <w:i/>
          <w:color w:val="1B1B1C"/>
          <w:spacing w:val="-2"/>
          <w:sz w:val="28"/>
        </w:rPr>
        <w:t>Security</w:t>
      </w:r>
      <w:r>
        <w:rPr>
          <w:i/>
          <w:color w:val="1B1B1C"/>
          <w:sz w:val="28"/>
        </w:rPr>
        <w:tab/>
      </w:r>
      <w:r>
        <w:rPr>
          <w:i/>
          <w:color w:val="1B1B1C"/>
          <w:spacing w:val="-2"/>
          <w:sz w:val="28"/>
        </w:rPr>
        <w:t>Concept</w:t>
      </w:r>
      <w:r>
        <w:rPr>
          <w:i/>
          <w:color w:val="1B1B1C"/>
          <w:sz w:val="28"/>
        </w:rPr>
        <w:tab/>
      </w:r>
      <w:r>
        <w:rPr>
          <w:i/>
          <w:color w:val="1B1B1C"/>
          <w:spacing w:val="-6"/>
          <w:sz w:val="28"/>
        </w:rPr>
        <w:t>of</w:t>
      </w:r>
      <w:r>
        <w:rPr>
          <w:i/>
          <w:color w:val="1B1B1C"/>
          <w:sz w:val="28"/>
        </w:rPr>
        <w:tab/>
      </w:r>
      <w:r>
        <w:rPr>
          <w:i/>
          <w:color w:val="1B1B1C"/>
          <w:spacing w:val="-4"/>
          <w:sz w:val="28"/>
        </w:rPr>
        <w:t>Georgia</w:t>
      </w:r>
      <w:r>
        <w:rPr>
          <w:color w:val="1B1B1C"/>
          <w:spacing w:val="-4"/>
          <w:sz w:val="28"/>
        </w:rPr>
        <w:t xml:space="preserve">. </w:t>
      </w:r>
      <w:hyperlink r:id="rId111">
        <w:r>
          <w:rPr>
            <w:color w:val="1154CC"/>
            <w:spacing w:val="-2"/>
            <w:sz w:val="28"/>
            <w:u w:val="thick" w:color="1154CC"/>
          </w:rPr>
          <w:t>https://gfsis.org.ge/media/download/GSAC/resources/National_Security_</w:t>
        </w:r>
      </w:hyperlink>
      <w:hyperlink r:id="rId112">
        <w:r>
          <w:rPr>
            <w:color w:val="1154CC"/>
            <w:spacing w:val="-2"/>
            <w:sz w:val="28"/>
            <w:u w:val="thick" w:color="1154CC"/>
          </w:rPr>
          <w:t>Concept_Georgia.pdf</w:t>
        </w:r>
      </w:hyperlink>
      <w:r>
        <w:rPr>
          <w:color w:val="333333"/>
          <w:spacing w:val="-2"/>
          <w:sz w:val="28"/>
        </w:rPr>
        <w:t>.</w:t>
      </w:r>
    </w:p>
    <w:p w:rsidR="002C65FF" w:rsidRDefault="00B2180F">
      <w:pPr>
        <w:pStyle w:val="a3"/>
        <w:spacing w:line="360" w:lineRule="auto"/>
        <w:ind w:left="989" w:right="154" w:hanging="705"/>
      </w:pPr>
      <w:r>
        <w:rPr>
          <w:color w:val="333333"/>
        </w:rPr>
        <w:t xml:space="preserve">Nikoghosyan, H., &amp; Ter-Matevosyan, V. (2022). From ‘revolution’ to war: deciphering Armenia’s populist foreign policy-making process. </w:t>
      </w:r>
      <w:r>
        <w:rPr>
          <w:i/>
          <w:color w:val="333333"/>
        </w:rPr>
        <w:t>Southeast European and Black Sea Studies</w:t>
      </w:r>
      <w:r>
        <w:rPr>
          <w:color w:val="333333"/>
        </w:rPr>
        <w:t xml:space="preserve">, </w:t>
      </w:r>
      <w:r>
        <w:rPr>
          <w:i/>
          <w:color w:val="333333"/>
        </w:rPr>
        <w:t>23</w:t>
      </w:r>
      <w:r>
        <w:rPr>
          <w:color w:val="333333"/>
        </w:rPr>
        <w:t xml:space="preserve">(2), 207-227. </w:t>
      </w:r>
      <w:hyperlink r:id="rId113">
        <w:r>
          <w:rPr>
            <w:color w:val="1154CC"/>
            <w:spacing w:val="-2"/>
            <w:u w:val="thick" w:color="1154CC"/>
          </w:rPr>
          <w:t>https://www.tandfonline.com/doi/abs/10.1080/14683857.2022.2111111</w:t>
        </w:r>
      </w:hyperlink>
      <w:r>
        <w:rPr>
          <w:spacing w:val="-2"/>
        </w:rPr>
        <w:t>.</w:t>
      </w:r>
    </w:p>
    <w:p w:rsidR="002C65FF" w:rsidRDefault="00B2180F">
      <w:pPr>
        <w:tabs>
          <w:tab w:val="left" w:pos="4569"/>
          <w:tab w:val="left" w:pos="8336"/>
        </w:tabs>
        <w:spacing w:line="360" w:lineRule="auto"/>
        <w:ind w:left="989" w:right="154" w:hanging="705"/>
        <w:rPr>
          <w:sz w:val="28"/>
        </w:rPr>
      </w:pPr>
      <w:r>
        <w:rPr>
          <w:sz w:val="28"/>
        </w:rPr>
        <w:t xml:space="preserve">Nuriyev, E. (2015). </w:t>
      </w:r>
      <w:r>
        <w:rPr>
          <w:i/>
          <w:sz w:val="28"/>
        </w:rPr>
        <w:t>South Caucasus Caught in the Middle</w:t>
      </w:r>
      <w:r>
        <w:rPr>
          <w:sz w:val="28"/>
        </w:rPr>
        <w:t xml:space="preserve">. German Council on </w:t>
      </w:r>
      <w:r>
        <w:rPr>
          <w:spacing w:val="-2"/>
          <w:sz w:val="28"/>
        </w:rPr>
        <w:t>Foreign</w:t>
      </w:r>
      <w:r>
        <w:rPr>
          <w:sz w:val="28"/>
        </w:rPr>
        <w:tab/>
      </w:r>
      <w:r>
        <w:rPr>
          <w:spacing w:val="-2"/>
          <w:sz w:val="28"/>
        </w:rPr>
        <w:t>Relations</w:t>
      </w:r>
      <w:r>
        <w:rPr>
          <w:sz w:val="28"/>
        </w:rPr>
        <w:tab/>
      </w:r>
      <w:r>
        <w:rPr>
          <w:spacing w:val="-2"/>
          <w:sz w:val="28"/>
        </w:rPr>
        <w:t xml:space="preserve">(DGAP). </w:t>
      </w:r>
      <w:hyperlink r:id="rId114">
        <w:r>
          <w:rPr>
            <w:color w:val="1154CC"/>
            <w:spacing w:val="-2"/>
            <w:sz w:val="28"/>
            <w:u w:val="thick" w:color="1154CC"/>
          </w:rPr>
          <w:t>https://dgap.org/en/research/publications/south-caucasus-caught-middle</w:t>
        </w:r>
      </w:hyperlink>
      <w:r>
        <w:rPr>
          <w:spacing w:val="-2"/>
          <w:sz w:val="28"/>
        </w:rPr>
        <w:t>.</w:t>
      </w:r>
    </w:p>
    <w:p w:rsidR="002C65FF" w:rsidRDefault="00B2180F">
      <w:pPr>
        <w:spacing w:line="360" w:lineRule="auto"/>
        <w:ind w:left="989" w:right="164" w:hanging="705"/>
        <w:rPr>
          <w:sz w:val="28"/>
        </w:rPr>
      </w:pPr>
      <w:r>
        <w:rPr>
          <w:sz w:val="28"/>
        </w:rPr>
        <w:t>Omelicheva,M.(2018).</w:t>
      </w:r>
      <w:r>
        <w:rPr>
          <w:i/>
          <w:sz w:val="28"/>
        </w:rPr>
        <w:t>Russia's foreign policy in Central Asia</w:t>
      </w:r>
      <w:r>
        <w:rPr>
          <w:sz w:val="28"/>
        </w:rPr>
        <w:t xml:space="preserve">. National War </w:t>
      </w:r>
      <w:r>
        <w:rPr>
          <w:spacing w:val="-2"/>
          <w:sz w:val="28"/>
        </w:rPr>
        <w:t xml:space="preserve">College. </w:t>
      </w:r>
      <w:hyperlink r:id="rId115">
        <w:r>
          <w:rPr>
            <w:color w:val="1154CC"/>
            <w:spacing w:val="-2"/>
            <w:sz w:val="28"/>
            <w:u w:val="thick" w:color="1154CC"/>
          </w:rPr>
          <w:t>https://nwc.ndu.edu/Portals/71/Images/Publications/OmelichevaRussiaFPi</w:t>
        </w:r>
      </w:hyperlink>
      <w:hyperlink r:id="rId116">
        <w:r>
          <w:rPr>
            <w:color w:val="1154CC"/>
            <w:spacing w:val="-2"/>
            <w:sz w:val="28"/>
            <w:u w:val="thick" w:color="1154CC"/>
          </w:rPr>
          <w:t>nCentralAsia.pdf</w:t>
        </w:r>
      </w:hyperlink>
      <w:r>
        <w:rPr>
          <w:spacing w:val="-2"/>
          <w:sz w:val="28"/>
        </w:rPr>
        <w:t>.</w:t>
      </w:r>
    </w:p>
    <w:p w:rsidR="002C65FF" w:rsidRDefault="00B2180F">
      <w:pPr>
        <w:tabs>
          <w:tab w:val="left" w:pos="8354"/>
        </w:tabs>
        <w:spacing w:line="360" w:lineRule="auto"/>
        <w:ind w:left="989" w:right="158" w:hanging="705"/>
        <w:rPr>
          <w:sz w:val="28"/>
        </w:rPr>
      </w:pPr>
      <w:r>
        <w:rPr>
          <w:sz w:val="28"/>
        </w:rPr>
        <w:t xml:space="preserve">Pannier, B. (2024) </w:t>
      </w:r>
      <w:r>
        <w:rPr>
          <w:i/>
          <w:sz w:val="28"/>
        </w:rPr>
        <w:t>Countering a “Great Jihad” in Central Asia</w:t>
      </w:r>
      <w:r>
        <w:rPr>
          <w:sz w:val="28"/>
        </w:rPr>
        <w:t xml:space="preserve">. Foreign Policy </w:t>
      </w:r>
      <w:r>
        <w:rPr>
          <w:spacing w:val="-2"/>
          <w:sz w:val="28"/>
        </w:rPr>
        <w:t>Research</w:t>
      </w:r>
      <w:r>
        <w:rPr>
          <w:sz w:val="28"/>
        </w:rPr>
        <w:tab/>
      </w:r>
      <w:r>
        <w:rPr>
          <w:spacing w:val="-2"/>
          <w:sz w:val="28"/>
        </w:rPr>
        <w:t>Institute.</w:t>
      </w:r>
    </w:p>
    <w:p w:rsidR="002C65FF" w:rsidRDefault="008476BE">
      <w:pPr>
        <w:pStyle w:val="a3"/>
        <w:ind w:left="989"/>
        <w:jc w:val="left"/>
      </w:pPr>
      <w:hyperlink r:id="rId117">
        <w:r w:rsidR="00B2180F">
          <w:rPr>
            <w:color w:val="1154CC"/>
            <w:spacing w:val="-2"/>
            <w:u w:val="thick" w:color="1154CC"/>
          </w:rPr>
          <w:t>https://www.fpri.org/wp-content/uploads/2024/11/countering-a-great-jihad</w:t>
        </w:r>
      </w:hyperlink>
    </w:p>
    <w:p w:rsidR="002C65FF" w:rsidRDefault="008476BE">
      <w:pPr>
        <w:pStyle w:val="a3"/>
        <w:spacing w:before="161"/>
        <w:ind w:left="989"/>
        <w:jc w:val="left"/>
      </w:pPr>
      <w:hyperlink r:id="rId118">
        <w:r w:rsidR="00B2180F">
          <w:rPr>
            <w:color w:val="1154CC"/>
            <w:spacing w:val="-2"/>
            <w:u w:val="thick" w:color="1154CC"/>
          </w:rPr>
          <w:t>-in-central-asia.pdf</w:t>
        </w:r>
      </w:hyperlink>
      <w:r w:rsidR="00B2180F">
        <w:rPr>
          <w:spacing w:val="-2"/>
        </w:rPr>
        <w:t>.</w:t>
      </w:r>
    </w:p>
    <w:p w:rsidR="002C65FF" w:rsidRDefault="00B2180F">
      <w:pPr>
        <w:pStyle w:val="a3"/>
        <w:tabs>
          <w:tab w:val="left" w:pos="2767"/>
          <w:tab w:val="left" w:pos="4832"/>
          <w:tab w:val="left" w:pos="6245"/>
          <w:tab w:val="left" w:pos="8466"/>
        </w:tabs>
        <w:spacing w:before="161" w:line="360" w:lineRule="auto"/>
        <w:ind w:left="989" w:right="166" w:hanging="705"/>
      </w:pPr>
      <w:r>
        <w:t xml:space="preserve">Peyrouse, S. (2015). Discussing China: Sinophilia and sinophobia in Central </w:t>
      </w:r>
      <w:r>
        <w:rPr>
          <w:spacing w:val="-2"/>
        </w:rPr>
        <w:t>Asia.</w:t>
      </w:r>
      <w:r>
        <w:tab/>
      </w:r>
      <w:r>
        <w:rPr>
          <w:i/>
          <w:spacing w:val="-2"/>
        </w:rPr>
        <w:t>Journal</w:t>
      </w:r>
      <w:r>
        <w:rPr>
          <w:i/>
        </w:rPr>
        <w:tab/>
      </w:r>
      <w:r>
        <w:rPr>
          <w:i/>
          <w:spacing w:val="-6"/>
        </w:rPr>
        <w:t>of</w:t>
      </w:r>
      <w:r>
        <w:rPr>
          <w:i/>
        </w:rPr>
        <w:tab/>
      </w:r>
      <w:r>
        <w:rPr>
          <w:i/>
          <w:spacing w:val="-2"/>
        </w:rPr>
        <w:t>Eurasian</w:t>
      </w:r>
      <w:r>
        <w:rPr>
          <w:i/>
        </w:rPr>
        <w:tab/>
      </w:r>
      <w:r>
        <w:rPr>
          <w:i/>
          <w:spacing w:val="-2"/>
        </w:rPr>
        <w:t>Studies</w:t>
      </w:r>
      <w:r>
        <w:rPr>
          <w:spacing w:val="-2"/>
        </w:rPr>
        <w:t xml:space="preserve">. </w:t>
      </w:r>
      <w:hyperlink r:id="rId119">
        <w:r>
          <w:rPr>
            <w:color w:val="1154CC"/>
            <w:spacing w:val="-2"/>
            <w:u w:val="thick" w:color="1154CC"/>
          </w:rPr>
          <w:t>https://www.sciencedirect.com/science/article/pii/S1879366515000251</w:t>
        </w:r>
      </w:hyperlink>
      <w:r>
        <w:rPr>
          <w:spacing w:val="-2"/>
        </w:rPr>
        <w:t>.</w:t>
      </w:r>
    </w:p>
    <w:p w:rsidR="002C65FF" w:rsidRDefault="002C65FF">
      <w:pPr>
        <w:pStyle w:val="a3"/>
        <w:spacing w:line="360" w:lineRule="auto"/>
        <w:sectPr w:rsidR="002C65FF">
          <w:pgSz w:w="11920" w:h="16840"/>
          <w:pgMar w:top="1040" w:right="708" w:bottom="280" w:left="1700" w:header="732" w:footer="0" w:gutter="0"/>
          <w:cols w:space="720"/>
        </w:sectPr>
      </w:pPr>
    </w:p>
    <w:p w:rsidR="002C65FF" w:rsidRDefault="00B2180F">
      <w:pPr>
        <w:tabs>
          <w:tab w:val="left" w:pos="8294"/>
        </w:tabs>
        <w:spacing w:before="78" w:line="360" w:lineRule="auto"/>
        <w:ind w:left="989" w:right="159" w:hanging="705"/>
        <w:rPr>
          <w:sz w:val="28"/>
        </w:rPr>
      </w:pPr>
      <w:r>
        <w:rPr>
          <w:sz w:val="28"/>
        </w:rPr>
        <w:t xml:space="preserve">Poita, Y. (2023). </w:t>
      </w:r>
      <w:r>
        <w:rPr>
          <w:i/>
          <w:sz w:val="28"/>
        </w:rPr>
        <w:t>Russia’s geopoliticalstrategyinCentralAsia</w:t>
      </w:r>
      <w:r>
        <w:rPr>
          <w:sz w:val="28"/>
        </w:rPr>
        <w:t xml:space="preserve">.NewGeopolitics </w:t>
      </w:r>
      <w:r>
        <w:rPr>
          <w:spacing w:val="-2"/>
          <w:sz w:val="28"/>
        </w:rPr>
        <w:t>Research</w:t>
      </w:r>
      <w:r>
        <w:rPr>
          <w:sz w:val="28"/>
        </w:rPr>
        <w:tab/>
      </w:r>
      <w:r>
        <w:rPr>
          <w:spacing w:val="-2"/>
          <w:sz w:val="28"/>
        </w:rPr>
        <w:t>Network.</w:t>
      </w:r>
    </w:p>
    <w:p w:rsidR="002C65FF" w:rsidRDefault="008476BE">
      <w:pPr>
        <w:pStyle w:val="a3"/>
        <w:spacing w:line="360" w:lineRule="auto"/>
        <w:ind w:left="989" w:right="196"/>
        <w:jc w:val="left"/>
      </w:pPr>
      <w:hyperlink r:id="rId120">
        <w:r w:rsidR="00B2180F">
          <w:rPr>
            <w:color w:val="1154CC"/>
            <w:spacing w:val="-2"/>
            <w:u w:val="thick" w:color="1154CC"/>
          </w:rPr>
          <w:t>https://www.newgeopolitics.org/2023/10/03/russias-geopolitical-strategy-i</w:t>
        </w:r>
      </w:hyperlink>
      <w:hyperlink r:id="rId121">
        <w:r w:rsidR="00B2180F">
          <w:rPr>
            <w:color w:val="1154CC"/>
            <w:spacing w:val="-2"/>
            <w:u w:val="thick" w:color="1154CC"/>
          </w:rPr>
          <w:t>n-central-asia/</w:t>
        </w:r>
      </w:hyperlink>
      <w:r w:rsidR="00B2180F">
        <w:rPr>
          <w:spacing w:val="-2"/>
        </w:rPr>
        <w:t>.</w:t>
      </w:r>
    </w:p>
    <w:p w:rsidR="002C65FF" w:rsidRDefault="00B2180F">
      <w:pPr>
        <w:tabs>
          <w:tab w:val="left" w:pos="2206"/>
          <w:tab w:val="left" w:pos="3523"/>
          <w:tab w:val="left" w:pos="4531"/>
          <w:tab w:val="left" w:pos="6383"/>
          <w:tab w:val="left" w:pos="8098"/>
        </w:tabs>
        <w:spacing w:line="360" w:lineRule="auto"/>
        <w:ind w:left="989" w:right="157" w:hanging="705"/>
        <w:rPr>
          <w:sz w:val="28"/>
        </w:rPr>
      </w:pPr>
      <w:r>
        <w:rPr>
          <w:i/>
          <w:color w:val="1B1B1C"/>
          <w:spacing w:val="-2"/>
          <w:sz w:val="28"/>
        </w:rPr>
        <w:t>Religion's</w:t>
      </w:r>
      <w:r>
        <w:rPr>
          <w:i/>
          <w:color w:val="1B1B1C"/>
          <w:sz w:val="28"/>
        </w:rPr>
        <w:tab/>
      </w:r>
      <w:r>
        <w:rPr>
          <w:i/>
          <w:color w:val="1B1B1C"/>
          <w:spacing w:val="-4"/>
          <w:sz w:val="28"/>
        </w:rPr>
        <w:t>Role</w:t>
      </w:r>
      <w:r>
        <w:rPr>
          <w:i/>
          <w:color w:val="1B1B1C"/>
          <w:sz w:val="28"/>
        </w:rPr>
        <w:tab/>
      </w:r>
      <w:r>
        <w:rPr>
          <w:i/>
          <w:color w:val="1B1B1C"/>
          <w:spacing w:val="-6"/>
          <w:sz w:val="28"/>
        </w:rPr>
        <w:t>in</w:t>
      </w:r>
      <w:r>
        <w:rPr>
          <w:i/>
          <w:color w:val="1B1B1C"/>
          <w:sz w:val="28"/>
        </w:rPr>
        <w:tab/>
      </w:r>
      <w:r>
        <w:rPr>
          <w:i/>
          <w:color w:val="1B1B1C"/>
          <w:spacing w:val="-2"/>
          <w:sz w:val="28"/>
        </w:rPr>
        <w:t>Georgian</w:t>
      </w:r>
      <w:r>
        <w:rPr>
          <w:i/>
          <w:color w:val="1B1B1C"/>
          <w:sz w:val="28"/>
        </w:rPr>
        <w:tab/>
      </w:r>
      <w:r>
        <w:rPr>
          <w:i/>
          <w:color w:val="1B1B1C"/>
          <w:spacing w:val="-2"/>
          <w:sz w:val="28"/>
        </w:rPr>
        <w:t>Politics.</w:t>
      </w:r>
      <w:r>
        <w:rPr>
          <w:i/>
          <w:color w:val="1B1B1C"/>
          <w:sz w:val="28"/>
        </w:rPr>
        <w:tab/>
      </w:r>
      <w:r>
        <w:rPr>
          <w:color w:val="1B1B1C"/>
          <w:spacing w:val="-2"/>
          <w:sz w:val="28"/>
        </w:rPr>
        <w:t xml:space="preserve">Georgia.to. </w:t>
      </w:r>
      <w:hyperlink r:id="rId122">
        <w:r>
          <w:rPr>
            <w:color w:val="1154CC"/>
            <w:spacing w:val="-2"/>
            <w:sz w:val="28"/>
            <w:u w:val="thick" w:color="1154CC"/>
          </w:rPr>
          <w:t>https://georgia.to/en/religion-role-in-georgian-politics/</w:t>
        </w:r>
      </w:hyperlink>
      <w:r>
        <w:rPr>
          <w:spacing w:val="-2"/>
          <w:sz w:val="28"/>
        </w:rPr>
        <w:t>.</w:t>
      </w:r>
    </w:p>
    <w:p w:rsidR="002C65FF" w:rsidRDefault="00B2180F">
      <w:pPr>
        <w:pStyle w:val="a3"/>
        <w:spacing w:line="360" w:lineRule="auto"/>
        <w:ind w:left="989" w:right="155" w:hanging="705"/>
      </w:pPr>
      <w:r>
        <w:t xml:space="preserve">Skalamera, M. (2017). </w:t>
      </w:r>
      <w:r>
        <w:rPr>
          <w:i/>
        </w:rPr>
        <w:t>Russia’s lasting influence in Central Asia</w:t>
      </w:r>
      <w:r>
        <w:t xml:space="preserve">. Harvard Kennedy School. Belfer Center for Science and International Affairs. </w:t>
      </w:r>
      <w:hyperlink r:id="rId123">
        <w:r>
          <w:rPr>
            <w:color w:val="1154CC"/>
            <w:spacing w:val="-2"/>
            <w:u w:val="thick" w:color="1154CC"/>
          </w:rPr>
          <w:t>https://www.belfercenter.org/publication/russias-lasting-influence-central-</w:t>
        </w:r>
      </w:hyperlink>
      <w:hyperlink r:id="rId124">
        <w:r>
          <w:rPr>
            <w:color w:val="1154CC"/>
            <w:spacing w:val="-2"/>
            <w:u w:val="thick" w:color="1154CC"/>
          </w:rPr>
          <w:t>asia</w:t>
        </w:r>
      </w:hyperlink>
      <w:r>
        <w:rPr>
          <w:spacing w:val="-2"/>
        </w:rPr>
        <w:t>.</w:t>
      </w:r>
    </w:p>
    <w:p w:rsidR="002C65FF" w:rsidRDefault="00B2180F">
      <w:pPr>
        <w:pStyle w:val="a3"/>
        <w:tabs>
          <w:tab w:val="left" w:pos="2255"/>
          <w:tab w:val="left" w:pos="4120"/>
          <w:tab w:val="left" w:pos="5299"/>
          <w:tab w:val="left" w:pos="6224"/>
          <w:tab w:val="left" w:pos="7226"/>
          <w:tab w:val="left" w:pos="8405"/>
        </w:tabs>
        <w:spacing w:line="360" w:lineRule="auto"/>
        <w:ind w:left="989" w:right="163" w:hanging="705"/>
        <w:jc w:val="left"/>
      </w:pPr>
      <w:r>
        <w:t xml:space="preserve">Sliwinski, K. (2025). The Security Complex of South Caucasus and its Role in </w:t>
      </w:r>
      <w:r>
        <w:rPr>
          <w:spacing w:val="-2"/>
        </w:rPr>
        <w:t>Global</w:t>
      </w:r>
      <w:r>
        <w:tab/>
      </w:r>
      <w:r>
        <w:rPr>
          <w:spacing w:val="-2"/>
        </w:rPr>
        <w:t>Geopolitics.</w:t>
      </w:r>
      <w:r>
        <w:tab/>
      </w:r>
      <w:r>
        <w:rPr>
          <w:i/>
          <w:spacing w:val="-2"/>
        </w:rPr>
        <w:t>World</w:t>
      </w:r>
      <w:r>
        <w:rPr>
          <w:i/>
        </w:rPr>
        <w:tab/>
      </w:r>
      <w:r>
        <w:rPr>
          <w:i/>
          <w:spacing w:val="-4"/>
        </w:rPr>
        <w:t>and</w:t>
      </w:r>
      <w:r>
        <w:rPr>
          <w:i/>
        </w:rPr>
        <w:tab/>
      </w:r>
      <w:r>
        <w:rPr>
          <w:i/>
          <w:spacing w:val="-4"/>
        </w:rPr>
        <w:t>New</w:t>
      </w:r>
      <w:r>
        <w:rPr>
          <w:i/>
        </w:rPr>
        <w:tab/>
      </w:r>
      <w:r>
        <w:rPr>
          <w:i/>
          <w:spacing w:val="-2"/>
        </w:rPr>
        <w:t>World</w:t>
      </w:r>
      <w:r>
        <w:rPr>
          <w:i/>
        </w:rPr>
        <w:tab/>
      </w:r>
      <w:r>
        <w:rPr>
          <w:i/>
          <w:spacing w:val="-2"/>
        </w:rPr>
        <w:t>Journal</w:t>
      </w:r>
      <w:r>
        <w:rPr>
          <w:spacing w:val="-2"/>
        </w:rPr>
        <w:t xml:space="preserve">. </w:t>
      </w:r>
      <w:hyperlink r:id="rId125">
        <w:r>
          <w:rPr>
            <w:color w:val="1154CC"/>
            <w:spacing w:val="-2"/>
            <w:u w:val="thick" w:color="1154CC"/>
          </w:rPr>
          <w:t>https://worldnewworld.com/page/content.php?no=4411</w:t>
        </w:r>
      </w:hyperlink>
      <w:r>
        <w:rPr>
          <w:spacing w:val="-2"/>
        </w:rPr>
        <w:t>.</w:t>
      </w:r>
    </w:p>
    <w:p w:rsidR="002C65FF" w:rsidRDefault="00B2180F">
      <w:pPr>
        <w:spacing w:line="360" w:lineRule="auto"/>
        <w:ind w:left="989" w:right="154" w:hanging="705"/>
        <w:jc w:val="both"/>
        <w:rPr>
          <w:sz w:val="28"/>
        </w:rPr>
      </w:pPr>
      <w:r>
        <w:rPr>
          <w:sz w:val="28"/>
        </w:rPr>
        <w:t xml:space="preserve">Stronski, P., &amp; Ng, N. (2018). </w:t>
      </w:r>
      <w:r>
        <w:rPr>
          <w:i/>
          <w:sz w:val="28"/>
        </w:rPr>
        <w:t>Cooperation and competition: Russia and China in Central Asia</w:t>
      </w:r>
      <w:r>
        <w:rPr>
          <w:sz w:val="28"/>
        </w:rPr>
        <w:t xml:space="preserve">. Carnegie Endowment for International Peace. </w:t>
      </w:r>
      <w:hyperlink r:id="rId126">
        <w:r>
          <w:rPr>
            <w:color w:val="1154CC"/>
            <w:spacing w:val="-2"/>
            <w:sz w:val="28"/>
            <w:u w:val="thick" w:color="1154CC"/>
          </w:rPr>
          <w:t>https://carnegieendowment.org/2018/02/28/cooperation-and-competition-r</w:t>
        </w:r>
      </w:hyperlink>
      <w:hyperlink r:id="rId127">
        <w:r>
          <w:rPr>
            <w:color w:val="1154CC"/>
            <w:spacing w:val="-2"/>
            <w:sz w:val="28"/>
            <w:u w:val="thick" w:color="1154CC"/>
          </w:rPr>
          <w:t>ussia-and-china-in-central-asia-russian-far-east-and-arctic-pub-75673</w:t>
        </w:r>
      </w:hyperlink>
      <w:r>
        <w:rPr>
          <w:spacing w:val="-2"/>
          <w:sz w:val="28"/>
        </w:rPr>
        <w:t>.</w:t>
      </w:r>
    </w:p>
    <w:p w:rsidR="002C65FF" w:rsidRDefault="00B2180F">
      <w:pPr>
        <w:spacing w:line="360" w:lineRule="auto"/>
        <w:ind w:left="989" w:right="159" w:hanging="705"/>
        <w:jc w:val="both"/>
        <w:rPr>
          <w:sz w:val="28"/>
        </w:rPr>
      </w:pPr>
      <w:r>
        <w:rPr>
          <w:sz w:val="28"/>
        </w:rPr>
        <w:t xml:space="preserve">Supyaldiyarov, I. (2024). </w:t>
      </w:r>
      <w:r>
        <w:rPr>
          <w:i/>
          <w:sz w:val="28"/>
        </w:rPr>
        <w:t>Central Asia’s geopolitical crossroads: The dynamics of ‘coopetition’ between Russia and China</w:t>
      </w:r>
      <w:r>
        <w:rPr>
          <w:sz w:val="28"/>
        </w:rPr>
        <w:t xml:space="preserve">. Central Asia Forum. </w:t>
      </w:r>
      <w:hyperlink r:id="rId128">
        <w:r>
          <w:rPr>
            <w:color w:val="1154CC"/>
            <w:spacing w:val="-2"/>
            <w:sz w:val="28"/>
            <w:u w:val="thick" w:color="1154CC"/>
          </w:rPr>
          <w:t>https://centralasiaforum.org/2024/03/11/central-asias-geopolitical-crossroa</w:t>
        </w:r>
      </w:hyperlink>
      <w:hyperlink r:id="rId129">
        <w:r>
          <w:rPr>
            <w:color w:val="1154CC"/>
            <w:spacing w:val="-2"/>
            <w:sz w:val="28"/>
            <w:u w:val="thick" w:color="1154CC"/>
          </w:rPr>
          <w:t>ds-the-dynamics-of-coopetition-between-russia-and-china/</w:t>
        </w:r>
      </w:hyperlink>
      <w:r>
        <w:rPr>
          <w:spacing w:val="-2"/>
          <w:sz w:val="28"/>
        </w:rPr>
        <w:t>.</w:t>
      </w:r>
    </w:p>
    <w:p w:rsidR="002C65FF" w:rsidRDefault="00B2180F">
      <w:pPr>
        <w:tabs>
          <w:tab w:val="left" w:pos="4771"/>
          <w:tab w:val="left" w:pos="8051"/>
        </w:tabs>
        <w:spacing w:line="360" w:lineRule="auto"/>
        <w:ind w:left="989" w:right="156" w:hanging="705"/>
        <w:jc w:val="both"/>
        <w:rPr>
          <w:sz w:val="28"/>
        </w:rPr>
      </w:pPr>
      <w:r>
        <w:rPr>
          <w:color w:val="1B1B1C"/>
          <w:sz w:val="28"/>
        </w:rPr>
        <w:t xml:space="preserve">Ter-Matevosyan, V. (2013). </w:t>
      </w:r>
      <w:r>
        <w:rPr>
          <w:i/>
          <w:color w:val="1B1B1C"/>
          <w:sz w:val="28"/>
        </w:rPr>
        <w:t xml:space="preserve">Framing national security objectives: The cases of </w:t>
      </w:r>
      <w:r>
        <w:rPr>
          <w:i/>
          <w:color w:val="1B1B1C"/>
          <w:spacing w:val="-2"/>
          <w:sz w:val="28"/>
        </w:rPr>
        <w:t>Georgia</w:t>
      </w:r>
      <w:r>
        <w:rPr>
          <w:i/>
          <w:color w:val="1B1B1C"/>
          <w:sz w:val="28"/>
        </w:rPr>
        <w:tab/>
      </w:r>
      <w:r>
        <w:rPr>
          <w:i/>
          <w:color w:val="1B1B1C"/>
          <w:spacing w:val="-4"/>
          <w:sz w:val="28"/>
        </w:rPr>
        <w:t>and</w:t>
      </w:r>
      <w:r>
        <w:rPr>
          <w:i/>
          <w:color w:val="1B1B1C"/>
          <w:sz w:val="28"/>
        </w:rPr>
        <w:tab/>
      </w:r>
      <w:r>
        <w:rPr>
          <w:i/>
          <w:color w:val="1B1B1C"/>
          <w:spacing w:val="-2"/>
          <w:sz w:val="28"/>
        </w:rPr>
        <w:t>Azerbaijan</w:t>
      </w:r>
      <w:r>
        <w:rPr>
          <w:color w:val="1B1B1C"/>
          <w:spacing w:val="-2"/>
          <w:sz w:val="28"/>
        </w:rPr>
        <w:t xml:space="preserve">. </w:t>
      </w:r>
      <w:hyperlink r:id="rId130">
        <w:r>
          <w:rPr>
            <w:color w:val="1154CC"/>
            <w:spacing w:val="-2"/>
            <w:sz w:val="28"/>
            <w:u w:val="thick" w:color="1154CC"/>
          </w:rPr>
          <w:t>https://www.researchgate.net/publication/263240094_Framing_national_s</w:t>
        </w:r>
      </w:hyperlink>
      <w:hyperlink r:id="rId131">
        <w:r>
          <w:rPr>
            <w:color w:val="1154CC"/>
            <w:spacing w:val="-2"/>
            <w:sz w:val="28"/>
            <w:u w:val="thick" w:color="1154CC"/>
          </w:rPr>
          <w:t>ecurity_objectives_the_cases_of_Georgia_and_Azerbaijan</w:t>
        </w:r>
      </w:hyperlink>
      <w:r>
        <w:rPr>
          <w:spacing w:val="-2"/>
          <w:sz w:val="28"/>
        </w:rPr>
        <w:t>.</w:t>
      </w:r>
    </w:p>
    <w:p w:rsidR="002C65FF" w:rsidRDefault="00B2180F">
      <w:pPr>
        <w:tabs>
          <w:tab w:val="left" w:pos="7900"/>
        </w:tabs>
        <w:spacing w:line="360" w:lineRule="auto"/>
        <w:ind w:left="989" w:right="155" w:hanging="705"/>
        <w:jc w:val="both"/>
        <w:rPr>
          <w:sz w:val="28"/>
        </w:rPr>
      </w:pPr>
      <w:r>
        <w:rPr>
          <w:sz w:val="28"/>
        </w:rPr>
        <w:t xml:space="preserve">Topchubashov Center. (2023). </w:t>
      </w:r>
      <w:r>
        <w:rPr>
          <w:i/>
          <w:sz w:val="28"/>
        </w:rPr>
        <w:t xml:space="preserve">South Caucasus: Global, Geopolitical and </w:t>
      </w:r>
      <w:r>
        <w:rPr>
          <w:i/>
          <w:spacing w:val="-2"/>
          <w:sz w:val="28"/>
        </w:rPr>
        <w:t>Security</w:t>
      </w:r>
      <w:r>
        <w:rPr>
          <w:i/>
          <w:sz w:val="28"/>
        </w:rPr>
        <w:tab/>
      </w:r>
      <w:r>
        <w:rPr>
          <w:i/>
          <w:spacing w:val="-2"/>
          <w:sz w:val="28"/>
        </w:rPr>
        <w:t>Significance</w:t>
      </w:r>
      <w:r>
        <w:rPr>
          <w:spacing w:val="-2"/>
          <w:sz w:val="28"/>
        </w:rPr>
        <w:t>.</w:t>
      </w:r>
    </w:p>
    <w:p w:rsidR="002C65FF" w:rsidRDefault="008476BE">
      <w:pPr>
        <w:pStyle w:val="a3"/>
        <w:spacing w:line="360" w:lineRule="auto"/>
        <w:ind w:left="989" w:right="156"/>
        <w:jc w:val="left"/>
      </w:pPr>
      <w:hyperlink r:id="rId132">
        <w:r w:rsidR="00B2180F">
          <w:rPr>
            <w:color w:val="1154CC"/>
            <w:spacing w:val="-2"/>
            <w:u w:val="thick" w:color="1154CC"/>
          </w:rPr>
          <w:t>https://top-center.org/en/reports/3496/south-caucasus-global-geopolitical-a</w:t>
        </w:r>
      </w:hyperlink>
      <w:hyperlink r:id="rId133">
        <w:r w:rsidR="00B2180F">
          <w:rPr>
            <w:color w:val="1154CC"/>
            <w:spacing w:val="-2"/>
            <w:u w:val="thick" w:color="1154CC"/>
          </w:rPr>
          <w:t>nd-security-significance</w:t>
        </w:r>
      </w:hyperlink>
      <w:r w:rsidR="00B2180F">
        <w:rPr>
          <w:spacing w:val="-2"/>
        </w:rPr>
        <w:t>.</w:t>
      </w:r>
    </w:p>
    <w:p w:rsidR="002C65FF" w:rsidRDefault="002C65FF">
      <w:pPr>
        <w:pStyle w:val="a3"/>
        <w:spacing w:line="360" w:lineRule="auto"/>
        <w:jc w:val="left"/>
        <w:sectPr w:rsidR="002C65FF">
          <w:pgSz w:w="11920" w:h="16840"/>
          <w:pgMar w:top="1040" w:right="708" w:bottom="280" w:left="1700" w:header="732" w:footer="0" w:gutter="0"/>
          <w:cols w:space="720"/>
        </w:sectPr>
      </w:pPr>
    </w:p>
    <w:p w:rsidR="002C65FF" w:rsidRDefault="00B2180F">
      <w:pPr>
        <w:tabs>
          <w:tab w:val="left" w:pos="3633"/>
          <w:tab w:val="left" w:pos="6248"/>
          <w:tab w:val="left" w:pos="7809"/>
          <w:tab w:val="left" w:pos="9239"/>
        </w:tabs>
        <w:spacing w:before="78" w:line="360" w:lineRule="auto"/>
        <w:ind w:left="989" w:right="154" w:hanging="705"/>
        <w:jc w:val="both"/>
        <w:rPr>
          <w:sz w:val="28"/>
        </w:rPr>
      </w:pPr>
      <w:r>
        <w:rPr>
          <w:i/>
          <w:sz w:val="28"/>
        </w:rPr>
        <w:t xml:space="preserve">Türkiye Cumhuriyeti ile Azerbaycan Cumhuriyeti Arasında Müttefiklik İlişkileri Hakkında. ŞUŞA BEYANNAMESİ. (Про союзницькі відносини між Турецькою Республікою та Азербайджанською Республікою. </w:t>
      </w:r>
      <w:r>
        <w:rPr>
          <w:i/>
          <w:spacing w:val="-2"/>
          <w:sz w:val="28"/>
        </w:rPr>
        <w:t>ШУШИНСЬКА</w:t>
      </w:r>
      <w:r>
        <w:rPr>
          <w:i/>
          <w:sz w:val="28"/>
        </w:rPr>
        <w:tab/>
      </w:r>
      <w:r>
        <w:rPr>
          <w:i/>
          <w:spacing w:val="-2"/>
          <w:sz w:val="28"/>
        </w:rPr>
        <w:t>ДЕКЛАРАЦІЯ).</w:t>
      </w:r>
      <w:r>
        <w:rPr>
          <w:i/>
          <w:sz w:val="28"/>
        </w:rPr>
        <w:tab/>
      </w:r>
      <w:r>
        <w:rPr>
          <w:spacing w:val="-2"/>
          <w:sz w:val="28"/>
        </w:rPr>
        <w:t>(2021).</w:t>
      </w:r>
      <w:r>
        <w:rPr>
          <w:sz w:val="28"/>
        </w:rPr>
        <w:tab/>
      </w:r>
      <w:r>
        <w:rPr>
          <w:spacing w:val="-2"/>
          <w:sz w:val="28"/>
        </w:rPr>
        <w:t>Взято</w:t>
      </w:r>
      <w:r>
        <w:rPr>
          <w:sz w:val="28"/>
        </w:rPr>
        <w:tab/>
      </w:r>
      <w:r>
        <w:rPr>
          <w:spacing w:val="-10"/>
          <w:sz w:val="28"/>
        </w:rPr>
        <w:t>з</w:t>
      </w:r>
    </w:p>
    <w:p w:rsidR="002C65FF" w:rsidRDefault="008476BE">
      <w:pPr>
        <w:pStyle w:val="a3"/>
        <w:spacing w:line="360" w:lineRule="auto"/>
        <w:ind w:left="989" w:right="264"/>
      </w:pPr>
      <w:hyperlink r:id="rId134">
        <w:r w:rsidR="00B2180F">
          <w:rPr>
            <w:color w:val="1154CC"/>
            <w:spacing w:val="-2"/>
            <w:u w:val="thick" w:color="1154CC"/>
          </w:rPr>
          <w:t>https://www.tccb.gov.tr/assets/dosya/2021-06-15-Azaebaycan-SusaBeyan</w:t>
        </w:r>
      </w:hyperlink>
      <w:hyperlink r:id="rId135">
        <w:r w:rsidR="00B2180F">
          <w:rPr>
            <w:color w:val="1154CC"/>
            <w:u w:val="thick" w:color="1154CC"/>
          </w:rPr>
          <w:t>namesi.pdf</w:t>
        </w:r>
      </w:hyperlink>
      <w:r w:rsidR="00B2180F">
        <w:t>(турецькою мовою).</w:t>
      </w:r>
    </w:p>
    <w:p w:rsidR="002C65FF" w:rsidRDefault="00B2180F">
      <w:pPr>
        <w:tabs>
          <w:tab w:val="left" w:pos="2944"/>
          <w:tab w:val="left" w:pos="3981"/>
          <w:tab w:val="left" w:pos="6099"/>
          <w:tab w:val="left" w:pos="7735"/>
          <w:tab w:val="left" w:pos="9240"/>
        </w:tabs>
        <w:spacing w:line="360" w:lineRule="auto"/>
        <w:ind w:left="989" w:right="159" w:hanging="705"/>
        <w:jc w:val="both"/>
        <w:rPr>
          <w:sz w:val="28"/>
        </w:rPr>
      </w:pPr>
      <w:r>
        <w:rPr>
          <w:i/>
          <w:sz w:val="28"/>
        </w:rPr>
        <w:t xml:space="preserve">UN General Assembly Resolution 62/243: The situation in the occupied </w:t>
      </w:r>
      <w:r>
        <w:rPr>
          <w:i/>
          <w:spacing w:val="-2"/>
          <w:sz w:val="28"/>
        </w:rPr>
        <w:t>territories</w:t>
      </w:r>
      <w:r>
        <w:rPr>
          <w:i/>
          <w:sz w:val="28"/>
        </w:rPr>
        <w:tab/>
      </w:r>
      <w:r>
        <w:rPr>
          <w:i/>
          <w:spacing w:val="-6"/>
          <w:sz w:val="28"/>
        </w:rPr>
        <w:t>of</w:t>
      </w:r>
      <w:r>
        <w:rPr>
          <w:i/>
          <w:sz w:val="28"/>
        </w:rPr>
        <w:tab/>
      </w:r>
      <w:r>
        <w:rPr>
          <w:i/>
          <w:spacing w:val="-2"/>
          <w:sz w:val="28"/>
        </w:rPr>
        <w:t>Azerbaijan</w:t>
      </w:r>
      <w:r>
        <w:rPr>
          <w:spacing w:val="-2"/>
          <w:sz w:val="28"/>
        </w:rPr>
        <w:t>.</w:t>
      </w:r>
      <w:r>
        <w:rPr>
          <w:sz w:val="28"/>
        </w:rPr>
        <w:tab/>
      </w:r>
      <w:r>
        <w:rPr>
          <w:spacing w:val="-2"/>
          <w:sz w:val="28"/>
        </w:rPr>
        <w:t>(2008).</w:t>
      </w:r>
      <w:r>
        <w:rPr>
          <w:sz w:val="28"/>
        </w:rPr>
        <w:tab/>
      </w:r>
      <w:r>
        <w:rPr>
          <w:spacing w:val="-2"/>
          <w:sz w:val="28"/>
        </w:rPr>
        <w:t>Взято</w:t>
      </w:r>
      <w:r>
        <w:rPr>
          <w:sz w:val="28"/>
        </w:rPr>
        <w:tab/>
      </w:r>
      <w:r>
        <w:rPr>
          <w:spacing w:val="-10"/>
          <w:sz w:val="28"/>
        </w:rPr>
        <w:t xml:space="preserve">з </w:t>
      </w:r>
      <w:hyperlink r:id="rId136">
        <w:r>
          <w:rPr>
            <w:color w:val="1154CC"/>
            <w:spacing w:val="-2"/>
            <w:sz w:val="28"/>
            <w:u w:val="thick" w:color="1154CC"/>
          </w:rPr>
          <w:t>https://undocs.org/en/A/RES/62/243</w:t>
        </w:r>
      </w:hyperlink>
      <w:r>
        <w:rPr>
          <w:spacing w:val="-2"/>
          <w:sz w:val="28"/>
        </w:rPr>
        <w:t>.</w:t>
      </w:r>
    </w:p>
    <w:p w:rsidR="002C65FF" w:rsidRDefault="00B2180F">
      <w:pPr>
        <w:pStyle w:val="a3"/>
        <w:spacing w:line="360" w:lineRule="auto"/>
        <w:ind w:left="989" w:hanging="705"/>
        <w:jc w:val="left"/>
      </w:pPr>
      <w:r>
        <w:t>Valiyeva, K. (2016). The EU’s Eastern Partnership: normative or geopolitical powerprojection?.</w:t>
      </w:r>
      <w:r>
        <w:rPr>
          <w:i/>
        </w:rPr>
        <w:t>EasternJournalofEuropeanStudies</w:t>
      </w:r>
      <w:r>
        <w:t xml:space="preserve">,7(2),11-29. </w:t>
      </w:r>
      <w:hyperlink r:id="rId137">
        <w:r>
          <w:rPr>
            <w:color w:val="1154CC"/>
            <w:spacing w:val="-2"/>
            <w:u w:val="thick" w:color="1154CC"/>
          </w:rPr>
          <w:t>https://ejes.uaic.ro/articles/EJES2016_0702_VAL.pdf</w:t>
        </w:r>
      </w:hyperlink>
      <w:r>
        <w:rPr>
          <w:spacing w:val="-2"/>
        </w:rPr>
        <w:t>.</w:t>
      </w:r>
    </w:p>
    <w:p w:rsidR="002C65FF" w:rsidRDefault="00B2180F">
      <w:pPr>
        <w:spacing w:line="360" w:lineRule="auto"/>
        <w:ind w:left="284" w:right="708"/>
        <w:rPr>
          <w:sz w:val="28"/>
        </w:rPr>
      </w:pPr>
      <w:r>
        <w:rPr>
          <w:sz w:val="28"/>
        </w:rPr>
        <w:t>Walt,S.M.(1987).</w:t>
      </w:r>
      <w:r>
        <w:rPr>
          <w:i/>
          <w:sz w:val="28"/>
        </w:rPr>
        <w:t>Theoriginsofalliances</w:t>
      </w:r>
      <w:r>
        <w:rPr>
          <w:sz w:val="28"/>
        </w:rPr>
        <w:t xml:space="preserve">.CornellUniversityPress. Waltz, K. N. (1979). </w:t>
      </w:r>
      <w:r>
        <w:rPr>
          <w:i/>
          <w:sz w:val="28"/>
        </w:rPr>
        <w:t>Theory of international politics</w:t>
      </w:r>
      <w:r>
        <w:rPr>
          <w:sz w:val="28"/>
        </w:rPr>
        <w:t>. McGraw-Hill.</w:t>
      </w:r>
    </w:p>
    <w:p w:rsidR="002C65FF" w:rsidRDefault="00B2180F">
      <w:pPr>
        <w:tabs>
          <w:tab w:val="left" w:pos="2333"/>
          <w:tab w:val="left" w:pos="2880"/>
          <w:tab w:val="left" w:pos="4008"/>
          <w:tab w:val="left" w:pos="6590"/>
          <w:tab w:val="left" w:pos="7523"/>
          <w:tab w:val="left" w:pos="8604"/>
        </w:tabs>
        <w:spacing w:line="360" w:lineRule="auto"/>
        <w:ind w:left="989" w:right="154" w:hanging="705"/>
        <w:rPr>
          <w:sz w:val="28"/>
        </w:rPr>
      </w:pPr>
      <w:r>
        <w:rPr>
          <w:sz w:val="28"/>
        </w:rPr>
        <w:t xml:space="preserve">Wrobel, R. (2023). </w:t>
      </w:r>
      <w:r>
        <w:rPr>
          <w:i/>
          <w:sz w:val="28"/>
        </w:rPr>
        <w:t>The changing geopolitics in the South Caucasus during the warinUkraine:Chancesandrisksfortheregion</w:t>
      </w:r>
      <w:r>
        <w:rPr>
          <w:sz w:val="28"/>
        </w:rPr>
        <w:t xml:space="preserve">.Ordnungspolitische </w:t>
      </w:r>
      <w:r>
        <w:rPr>
          <w:spacing w:val="-2"/>
          <w:sz w:val="28"/>
        </w:rPr>
        <w:t>Diskurse,</w:t>
      </w:r>
      <w:r>
        <w:rPr>
          <w:sz w:val="28"/>
        </w:rPr>
        <w:tab/>
      </w:r>
      <w:r>
        <w:rPr>
          <w:spacing w:val="-10"/>
          <w:sz w:val="28"/>
        </w:rPr>
        <w:t>№</w:t>
      </w:r>
      <w:r>
        <w:rPr>
          <w:sz w:val="28"/>
        </w:rPr>
        <w:tab/>
      </w:r>
      <w:r>
        <w:rPr>
          <w:spacing w:val="-2"/>
          <w:sz w:val="28"/>
        </w:rPr>
        <w:t>2023-2,</w:t>
      </w:r>
      <w:r>
        <w:rPr>
          <w:sz w:val="28"/>
        </w:rPr>
        <w:tab/>
      </w:r>
      <w:r>
        <w:rPr>
          <w:spacing w:val="-2"/>
          <w:sz w:val="28"/>
        </w:rPr>
        <w:t>OrdnungsPolitisches</w:t>
      </w:r>
      <w:r>
        <w:rPr>
          <w:sz w:val="28"/>
        </w:rPr>
        <w:tab/>
      </w:r>
      <w:r>
        <w:rPr>
          <w:spacing w:val="-2"/>
          <w:sz w:val="28"/>
        </w:rPr>
        <w:t>Portal</w:t>
      </w:r>
      <w:r>
        <w:rPr>
          <w:sz w:val="28"/>
        </w:rPr>
        <w:tab/>
      </w:r>
      <w:r>
        <w:rPr>
          <w:spacing w:val="-2"/>
          <w:sz w:val="28"/>
        </w:rPr>
        <w:t>(OPO),</w:t>
      </w:r>
      <w:r>
        <w:rPr>
          <w:sz w:val="28"/>
        </w:rPr>
        <w:tab/>
      </w:r>
      <w:r>
        <w:rPr>
          <w:spacing w:val="-2"/>
          <w:sz w:val="28"/>
        </w:rPr>
        <w:t xml:space="preserve">Erfurt. </w:t>
      </w:r>
      <w:hyperlink r:id="rId138">
        <w:r>
          <w:rPr>
            <w:color w:val="1154CC"/>
            <w:spacing w:val="-2"/>
            <w:sz w:val="28"/>
            <w:u w:val="thick" w:color="1154CC"/>
          </w:rPr>
          <w:t>https://www.econstor.eu/bitstream/10419/279777/1/1869377958.pdf</w:t>
        </w:r>
      </w:hyperlink>
      <w:r>
        <w:rPr>
          <w:spacing w:val="-2"/>
          <w:sz w:val="28"/>
        </w:rPr>
        <w:t>.</w:t>
      </w:r>
    </w:p>
    <w:p w:rsidR="002C65FF" w:rsidRDefault="00B2180F">
      <w:pPr>
        <w:pStyle w:val="a3"/>
        <w:spacing w:line="360" w:lineRule="auto"/>
        <w:ind w:left="989" w:right="164" w:hanging="705"/>
      </w:pPr>
      <w:r>
        <w:rPr>
          <w:color w:val="202529"/>
        </w:rPr>
        <w:t xml:space="preserve">Zuenko, I. (2025).China’sActivityinCentralAsiainLightofRussianInterests. </w:t>
      </w:r>
      <w:r>
        <w:rPr>
          <w:i/>
          <w:color w:val="202529"/>
        </w:rPr>
        <w:t>Russia in Global Affairs</w:t>
      </w:r>
      <w:r>
        <w:rPr>
          <w:color w:val="202529"/>
        </w:rPr>
        <w:t xml:space="preserve">, 23(2), pp. 146–164. </w:t>
      </w:r>
      <w:hyperlink r:id="rId139">
        <w:r>
          <w:rPr>
            <w:color w:val="1154CC"/>
            <w:spacing w:val="-2"/>
            <w:u w:val="thick" w:color="1154CC"/>
          </w:rPr>
          <w:t>https://eng.globalaffairs.ru/articles/china-central-asia-zuenko/</w:t>
        </w:r>
      </w:hyperlink>
      <w:r>
        <w:rPr>
          <w:spacing w:val="-2"/>
        </w:rPr>
        <w:t>.</w:t>
      </w:r>
    </w:p>
    <w:p w:rsidR="002C65FF" w:rsidRDefault="00B2180F">
      <w:pPr>
        <w:pStyle w:val="a3"/>
        <w:spacing w:line="360" w:lineRule="auto"/>
        <w:ind w:left="989" w:right="157" w:hanging="705"/>
      </w:pPr>
      <w:r>
        <w:rPr>
          <w:color w:val="1B1B1C"/>
        </w:rPr>
        <w:t xml:space="preserve">Zviadadze, S.(2021).ReligionintheSouthCaucasus.Tradition,Ambiguity,and Transformation. </w:t>
      </w:r>
      <w:r>
        <w:rPr>
          <w:i/>
          <w:color w:val="1B1B1C"/>
        </w:rPr>
        <w:t>Journal of Religion in Europe</w:t>
      </w:r>
      <w:r>
        <w:rPr>
          <w:color w:val="1B1B1C"/>
        </w:rPr>
        <w:t xml:space="preserve">. </w:t>
      </w:r>
      <w:hyperlink r:id="rId140">
        <w:r>
          <w:rPr>
            <w:color w:val="1154CC"/>
            <w:spacing w:val="-2"/>
            <w:u w:val="thick" w:color="1154CC"/>
          </w:rPr>
          <w:t>https://brill.com/view/journals/jre/14/3-4/article-p207_1.xml.\</w:t>
        </w:r>
      </w:hyperlink>
      <w:r>
        <w:rPr>
          <w:spacing w:val="-2"/>
        </w:rPr>
        <w:t>.</w:t>
      </w:r>
    </w:p>
    <w:p w:rsidR="002C65FF" w:rsidRDefault="001D0E8B">
      <w:pPr>
        <w:pStyle w:val="a3"/>
        <w:spacing w:before="172"/>
        <w:ind w:left="0"/>
        <w:jc w:val="left"/>
        <w:rPr>
          <w:sz w:val="20"/>
        </w:rPr>
      </w:pPr>
      <w:r w:rsidRPr="001D0E8B">
        <w:rPr>
          <w:sz w:val="20"/>
        </w:rPr>
        <w:drawing>
          <wp:inline distT="0" distB="0" distL="0" distR="0">
            <wp:extent cx="1337310" cy="288000"/>
            <wp:effectExtent l="19050" t="0" r="0" b="0"/>
            <wp:docPr id="3" name="Рисунок 1" descr="подпись0001"/>
            <wp:cNvGraphicFramePr/>
            <a:graphic xmlns:a="http://schemas.openxmlformats.org/drawingml/2006/main">
              <a:graphicData uri="http://schemas.openxmlformats.org/drawingml/2006/picture">
                <pic:pic xmlns:pic="http://schemas.openxmlformats.org/drawingml/2006/picture">
                  <pic:nvPicPr>
                    <pic:cNvPr id="0" name="Рисунок 2" descr="подпись0001"/>
                    <pic:cNvPicPr>
                      <a:picLocks noChangeAspect="1" noChangeArrowheads="1"/>
                    </pic:cNvPicPr>
                  </pic:nvPicPr>
                  <pic:blipFill>
                    <a:blip r:embed="rId7" cstate="print"/>
                    <a:srcRect/>
                    <a:stretch>
                      <a:fillRect/>
                    </a:stretch>
                  </pic:blipFill>
                  <pic:spPr bwMode="auto">
                    <a:xfrm>
                      <a:off x="0" y="0"/>
                      <a:ext cx="1337310" cy="288000"/>
                    </a:xfrm>
                    <a:prstGeom prst="rect">
                      <a:avLst/>
                    </a:prstGeom>
                    <a:noFill/>
                    <a:ln w="9525">
                      <a:noFill/>
                      <a:miter lim="800000"/>
                      <a:headEnd/>
                      <a:tailEnd/>
                    </a:ln>
                  </pic:spPr>
                </pic:pic>
              </a:graphicData>
            </a:graphic>
          </wp:inline>
        </w:drawing>
      </w:r>
      <w:r w:rsidR="00B2180F">
        <w:rPr>
          <w:noProof/>
          <w:sz w:val="20"/>
          <w:lang w:val="ru-RU" w:eastAsia="ru-RU"/>
        </w:rPr>
        <w:drawing>
          <wp:anchor distT="0" distB="0" distL="0" distR="0" simplePos="0" relativeHeight="487590912" behindDoc="1" locked="0" layoutInCell="1" allowOverlap="1">
            <wp:simplePos x="0" y="0"/>
            <wp:positionH relativeFrom="page">
              <wp:posOffset>1269803</wp:posOffset>
            </wp:positionH>
            <wp:positionV relativeFrom="paragraph">
              <wp:posOffset>270497</wp:posOffset>
            </wp:positionV>
            <wp:extent cx="1146483" cy="825817"/>
            <wp:effectExtent l="0" t="0" r="0" b="0"/>
            <wp:wrapTopAndBottom/>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41" cstate="print"/>
                    <a:stretch>
                      <a:fillRect/>
                    </a:stretch>
                  </pic:blipFill>
                  <pic:spPr>
                    <a:xfrm>
                      <a:off x="0" y="0"/>
                      <a:ext cx="1146483" cy="825817"/>
                    </a:xfrm>
                    <a:prstGeom prst="rect">
                      <a:avLst/>
                    </a:prstGeom>
                  </pic:spPr>
                </pic:pic>
              </a:graphicData>
            </a:graphic>
          </wp:anchor>
        </w:drawing>
      </w:r>
    </w:p>
    <w:sectPr w:rsidR="002C65FF" w:rsidSect="002C65FF">
      <w:pgSz w:w="11920" w:h="16840"/>
      <w:pgMar w:top="1040" w:right="708" w:bottom="280" w:left="1700" w:header="732"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53A5" w:rsidRDefault="001053A5" w:rsidP="002C65FF">
      <w:r>
        <w:separator/>
      </w:r>
    </w:p>
  </w:endnote>
  <w:endnote w:type="continuationSeparator" w:id="1">
    <w:p w:rsidR="001053A5" w:rsidRDefault="001053A5" w:rsidP="002C65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ExtB">
    <w:altName w:val="SimSun-ExtB"/>
    <w:panose1 w:val="02010609060101010101"/>
    <w:charset w:val="86"/>
    <w:family w:val="modern"/>
    <w:pitch w:val="fixed"/>
    <w:sig w:usb0="00000003" w:usb1="0A0E0000" w:usb2="00000010"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53A5" w:rsidRDefault="001053A5" w:rsidP="002C65FF">
      <w:r>
        <w:separator/>
      </w:r>
    </w:p>
  </w:footnote>
  <w:footnote w:type="continuationSeparator" w:id="1">
    <w:p w:rsidR="001053A5" w:rsidRDefault="001053A5" w:rsidP="002C65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2D2C" w:rsidRDefault="008476BE">
    <w:pPr>
      <w:pStyle w:val="a3"/>
      <w:spacing w:line="14" w:lineRule="auto"/>
      <w:ind w:left="0"/>
      <w:jc w:val="left"/>
      <w:rPr>
        <w:sz w:val="20"/>
      </w:rPr>
    </w:pPr>
    <w:r w:rsidRPr="008476BE">
      <w:rPr>
        <w:sz w:val="20"/>
      </w:rPr>
      <w:pict>
        <v:shapetype id="_x0000_t202" coordsize="21600,21600" o:spt="202" path="m,l,21600r21600,l21600,xe">
          <v:stroke joinstyle="miter"/>
          <v:path gradientshapeok="t" o:connecttype="rect"/>
        </v:shapetype>
        <v:shape id="docshape7" o:spid="_x0000_s2049" type="#_x0000_t202" style="position:absolute;margin-left:537.75pt;margin-top:35.6pt;width:19pt;height:17.55pt;z-index:-251658752;mso-position-horizontal-relative:page;mso-position-vertical-relative:page" filled="f" stroked="f">
          <v:textbox inset="0,0,0,0">
            <w:txbxContent>
              <w:p w:rsidR="00D02D2C" w:rsidRDefault="008476BE">
                <w:pPr>
                  <w:pStyle w:val="a3"/>
                  <w:spacing w:before="8"/>
                  <w:ind w:left="20"/>
                  <w:jc w:val="left"/>
                </w:pPr>
                <w:r>
                  <w:rPr>
                    <w:spacing w:val="-5"/>
                  </w:rPr>
                  <w:fldChar w:fldCharType="begin"/>
                </w:r>
                <w:r w:rsidR="00D02D2C">
                  <w:rPr>
                    <w:spacing w:val="-5"/>
                  </w:rPr>
                  <w:instrText xml:space="preserve"> PAGE </w:instrText>
                </w:r>
                <w:r>
                  <w:rPr>
                    <w:spacing w:val="-5"/>
                  </w:rPr>
                  <w:fldChar w:fldCharType="separate"/>
                </w:r>
                <w:r w:rsidR="001D0E8B">
                  <w:rPr>
                    <w:noProof/>
                    <w:spacing w:val="-5"/>
                  </w:rPr>
                  <w:t>79</w:t>
                </w:r>
                <w:r>
                  <w:rPr>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A6E24"/>
    <w:multiLevelType w:val="hybridMultilevel"/>
    <w:tmpl w:val="37201734"/>
    <w:lvl w:ilvl="0" w:tplc="825204E0">
      <w:start w:val="1"/>
      <w:numFmt w:val="decimal"/>
      <w:lvlText w:val="%1"/>
      <w:lvlJc w:val="left"/>
      <w:pPr>
        <w:ind w:left="284" w:hanging="535"/>
        <w:jc w:val="left"/>
      </w:pPr>
      <w:rPr>
        <w:rFonts w:hint="default"/>
        <w:lang w:val="uk-UA" w:eastAsia="en-US" w:bidi="ar-SA"/>
      </w:rPr>
    </w:lvl>
    <w:lvl w:ilvl="1" w:tplc="83D05922">
      <w:numFmt w:val="none"/>
      <w:lvlText w:val=""/>
      <w:lvlJc w:val="left"/>
      <w:pPr>
        <w:tabs>
          <w:tab w:val="num" w:pos="360"/>
        </w:tabs>
      </w:pPr>
    </w:lvl>
    <w:lvl w:ilvl="2" w:tplc="EC7C017C">
      <w:numFmt w:val="bullet"/>
      <w:lvlText w:val="•"/>
      <w:lvlJc w:val="left"/>
      <w:pPr>
        <w:ind w:left="2126" w:hanging="535"/>
      </w:pPr>
      <w:rPr>
        <w:rFonts w:hint="default"/>
        <w:lang w:val="uk-UA" w:eastAsia="en-US" w:bidi="ar-SA"/>
      </w:rPr>
    </w:lvl>
    <w:lvl w:ilvl="3" w:tplc="323EF948">
      <w:numFmt w:val="bullet"/>
      <w:lvlText w:val="•"/>
      <w:lvlJc w:val="left"/>
      <w:pPr>
        <w:ind w:left="3049" w:hanging="535"/>
      </w:pPr>
      <w:rPr>
        <w:rFonts w:hint="default"/>
        <w:lang w:val="uk-UA" w:eastAsia="en-US" w:bidi="ar-SA"/>
      </w:rPr>
    </w:lvl>
    <w:lvl w:ilvl="4" w:tplc="DD64D14C">
      <w:numFmt w:val="bullet"/>
      <w:lvlText w:val="•"/>
      <w:lvlJc w:val="left"/>
      <w:pPr>
        <w:ind w:left="3972" w:hanging="535"/>
      </w:pPr>
      <w:rPr>
        <w:rFonts w:hint="default"/>
        <w:lang w:val="uk-UA" w:eastAsia="en-US" w:bidi="ar-SA"/>
      </w:rPr>
    </w:lvl>
    <w:lvl w:ilvl="5" w:tplc="F6224170">
      <w:numFmt w:val="bullet"/>
      <w:lvlText w:val="•"/>
      <w:lvlJc w:val="left"/>
      <w:pPr>
        <w:ind w:left="4896" w:hanging="535"/>
      </w:pPr>
      <w:rPr>
        <w:rFonts w:hint="default"/>
        <w:lang w:val="uk-UA" w:eastAsia="en-US" w:bidi="ar-SA"/>
      </w:rPr>
    </w:lvl>
    <w:lvl w:ilvl="6" w:tplc="DE3A1464">
      <w:numFmt w:val="bullet"/>
      <w:lvlText w:val="•"/>
      <w:lvlJc w:val="left"/>
      <w:pPr>
        <w:ind w:left="5819" w:hanging="535"/>
      </w:pPr>
      <w:rPr>
        <w:rFonts w:hint="default"/>
        <w:lang w:val="uk-UA" w:eastAsia="en-US" w:bidi="ar-SA"/>
      </w:rPr>
    </w:lvl>
    <w:lvl w:ilvl="7" w:tplc="864C8944">
      <w:numFmt w:val="bullet"/>
      <w:lvlText w:val="•"/>
      <w:lvlJc w:val="left"/>
      <w:pPr>
        <w:ind w:left="6742" w:hanging="535"/>
      </w:pPr>
      <w:rPr>
        <w:rFonts w:hint="default"/>
        <w:lang w:val="uk-UA" w:eastAsia="en-US" w:bidi="ar-SA"/>
      </w:rPr>
    </w:lvl>
    <w:lvl w:ilvl="8" w:tplc="5D064950">
      <w:numFmt w:val="bullet"/>
      <w:lvlText w:val="•"/>
      <w:lvlJc w:val="left"/>
      <w:pPr>
        <w:ind w:left="7665" w:hanging="535"/>
      </w:pPr>
      <w:rPr>
        <w:rFonts w:hint="default"/>
        <w:lang w:val="uk-UA" w:eastAsia="en-US" w:bidi="ar-SA"/>
      </w:rPr>
    </w:lvl>
  </w:abstractNum>
  <w:abstractNum w:abstractNumId="1">
    <w:nsid w:val="48790ED4"/>
    <w:multiLevelType w:val="hybridMultilevel"/>
    <w:tmpl w:val="D2664FAE"/>
    <w:lvl w:ilvl="0" w:tplc="57F002DA">
      <w:start w:val="2"/>
      <w:numFmt w:val="decimal"/>
      <w:lvlText w:val="%1"/>
      <w:lvlJc w:val="left"/>
      <w:pPr>
        <w:ind w:left="893" w:hanging="610"/>
        <w:jc w:val="left"/>
      </w:pPr>
      <w:rPr>
        <w:rFonts w:hint="default"/>
        <w:lang w:val="uk-UA" w:eastAsia="en-US" w:bidi="ar-SA"/>
      </w:rPr>
    </w:lvl>
    <w:lvl w:ilvl="1" w:tplc="A0D81876">
      <w:numFmt w:val="none"/>
      <w:lvlText w:val=""/>
      <w:lvlJc w:val="left"/>
      <w:pPr>
        <w:tabs>
          <w:tab w:val="num" w:pos="360"/>
        </w:tabs>
      </w:pPr>
    </w:lvl>
    <w:lvl w:ilvl="2" w:tplc="E2B4A0C6">
      <w:numFmt w:val="bullet"/>
      <w:lvlText w:val="•"/>
      <w:lvlJc w:val="left"/>
      <w:pPr>
        <w:ind w:left="2622" w:hanging="610"/>
      </w:pPr>
      <w:rPr>
        <w:rFonts w:hint="default"/>
        <w:lang w:val="uk-UA" w:eastAsia="en-US" w:bidi="ar-SA"/>
      </w:rPr>
    </w:lvl>
    <w:lvl w:ilvl="3" w:tplc="51D4A186">
      <w:numFmt w:val="bullet"/>
      <w:lvlText w:val="•"/>
      <w:lvlJc w:val="left"/>
      <w:pPr>
        <w:ind w:left="3483" w:hanging="610"/>
      </w:pPr>
      <w:rPr>
        <w:rFonts w:hint="default"/>
        <w:lang w:val="uk-UA" w:eastAsia="en-US" w:bidi="ar-SA"/>
      </w:rPr>
    </w:lvl>
    <w:lvl w:ilvl="4" w:tplc="2814F3AC">
      <w:numFmt w:val="bullet"/>
      <w:lvlText w:val="•"/>
      <w:lvlJc w:val="left"/>
      <w:pPr>
        <w:ind w:left="4344" w:hanging="610"/>
      </w:pPr>
      <w:rPr>
        <w:rFonts w:hint="default"/>
        <w:lang w:val="uk-UA" w:eastAsia="en-US" w:bidi="ar-SA"/>
      </w:rPr>
    </w:lvl>
    <w:lvl w:ilvl="5" w:tplc="CB96F886">
      <w:numFmt w:val="bullet"/>
      <w:lvlText w:val="•"/>
      <w:lvlJc w:val="left"/>
      <w:pPr>
        <w:ind w:left="5206" w:hanging="610"/>
      </w:pPr>
      <w:rPr>
        <w:rFonts w:hint="default"/>
        <w:lang w:val="uk-UA" w:eastAsia="en-US" w:bidi="ar-SA"/>
      </w:rPr>
    </w:lvl>
    <w:lvl w:ilvl="6" w:tplc="BB7C2186">
      <w:numFmt w:val="bullet"/>
      <w:lvlText w:val="•"/>
      <w:lvlJc w:val="left"/>
      <w:pPr>
        <w:ind w:left="6067" w:hanging="610"/>
      </w:pPr>
      <w:rPr>
        <w:rFonts w:hint="default"/>
        <w:lang w:val="uk-UA" w:eastAsia="en-US" w:bidi="ar-SA"/>
      </w:rPr>
    </w:lvl>
    <w:lvl w:ilvl="7" w:tplc="5802BE2A">
      <w:numFmt w:val="bullet"/>
      <w:lvlText w:val="•"/>
      <w:lvlJc w:val="left"/>
      <w:pPr>
        <w:ind w:left="6928" w:hanging="610"/>
      </w:pPr>
      <w:rPr>
        <w:rFonts w:hint="default"/>
        <w:lang w:val="uk-UA" w:eastAsia="en-US" w:bidi="ar-SA"/>
      </w:rPr>
    </w:lvl>
    <w:lvl w:ilvl="8" w:tplc="C71645F8">
      <w:numFmt w:val="bullet"/>
      <w:lvlText w:val="•"/>
      <w:lvlJc w:val="left"/>
      <w:pPr>
        <w:ind w:left="7789" w:hanging="610"/>
      </w:pPr>
      <w:rPr>
        <w:rFonts w:hint="default"/>
        <w:lang w:val="uk-UA" w:eastAsia="en-US" w:bidi="ar-SA"/>
      </w:rPr>
    </w:lvl>
  </w:abstractNum>
  <w:abstractNum w:abstractNumId="2">
    <w:nsid w:val="597F253B"/>
    <w:multiLevelType w:val="hybridMultilevel"/>
    <w:tmpl w:val="8A1E2016"/>
    <w:lvl w:ilvl="0" w:tplc="2F08BFF0">
      <w:start w:val="3"/>
      <w:numFmt w:val="decimal"/>
      <w:lvlText w:val="%1"/>
      <w:lvlJc w:val="left"/>
      <w:pPr>
        <w:ind w:left="284" w:hanging="715"/>
        <w:jc w:val="left"/>
      </w:pPr>
      <w:rPr>
        <w:rFonts w:hint="default"/>
        <w:lang w:val="uk-UA" w:eastAsia="en-US" w:bidi="ar-SA"/>
      </w:rPr>
    </w:lvl>
    <w:lvl w:ilvl="1" w:tplc="1396A190">
      <w:numFmt w:val="none"/>
      <w:lvlText w:val=""/>
      <w:lvlJc w:val="left"/>
      <w:pPr>
        <w:tabs>
          <w:tab w:val="num" w:pos="360"/>
        </w:tabs>
      </w:pPr>
    </w:lvl>
    <w:lvl w:ilvl="2" w:tplc="8F3C908A">
      <w:numFmt w:val="bullet"/>
      <w:lvlText w:val="•"/>
      <w:lvlJc w:val="left"/>
      <w:pPr>
        <w:ind w:left="2126" w:hanging="715"/>
      </w:pPr>
      <w:rPr>
        <w:rFonts w:hint="default"/>
        <w:lang w:val="uk-UA" w:eastAsia="en-US" w:bidi="ar-SA"/>
      </w:rPr>
    </w:lvl>
    <w:lvl w:ilvl="3" w:tplc="AA1807F2">
      <w:numFmt w:val="bullet"/>
      <w:lvlText w:val="•"/>
      <w:lvlJc w:val="left"/>
      <w:pPr>
        <w:ind w:left="3049" w:hanging="715"/>
      </w:pPr>
      <w:rPr>
        <w:rFonts w:hint="default"/>
        <w:lang w:val="uk-UA" w:eastAsia="en-US" w:bidi="ar-SA"/>
      </w:rPr>
    </w:lvl>
    <w:lvl w:ilvl="4" w:tplc="3A287BA0">
      <w:numFmt w:val="bullet"/>
      <w:lvlText w:val="•"/>
      <w:lvlJc w:val="left"/>
      <w:pPr>
        <w:ind w:left="3972" w:hanging="715"/>
      </w:pPr>
      <w:rPr>
        <w:rFonts w:hint="default"/>
        <w:lang w:val="uk-UA" w:eastAsia="en-US" w:bidi="ar-SA"/>
      </w:rPr>
    </w:lvl>
    <w:lvl w:ilvl="5" w:tplc="31BE9578">
      <w:numFmt w:val="bullet"/>
      <w:lvlText w:val="•"/>
      <w:lvlJc w:val="left"/>
      <w:pPr>
        <w:ind w:left="4896" w:hanging="715"/>
      </w:pPr>
      <w:rPr>
        <w:rFonts w:hint="default"/>
        <w:lang w:val="uk-UA" w:eastAsia="en-US" w:bidi="ar-SA"/>
      </w:rPr>
    </w:lvl>
    <w:lvl w:ilvl="6" w:tplc="88CA3184">
      <w:numFmt w:val="bullet"/>
      <w:lvlText w:val="•"/>
      <w:lvlJc w:val="left"/>
      <w:pPr>
        <w:ind w:left="5819" w:hanging="715"/>
      </w:pPr>
      <w:rPr>
        <w:rFonts w:hint="default"/>
        <w:lang w:val="uk-UA" w:eastAsia="en-US" w:bidi="ar-SA"/>
      </w:rPr>
    </w:lvl>
    <w:lvl w:ilvl="7" w:tplc="ECE0D8B0">
      <w:numFmt w:val="bullet"/>
      <w:lvlText w:val="•"/>
      <w:lvlJc w:val="left"/>
      <w:pPr>
        <w:ind w:left="6742" w:hanging="715"/>
      </w:pPr>
      <w:rPr>
        <w:rFonts w:hint="default"/>
        <w:lang w:val="uk-UA" w:eastAsia="en-US" w:bidi="ar-SA"/>
      </w:rPr>
    </w:lvl>
    <w:lvl w:ilvl="8" w:tplc="59C66EEA">
      <w:numFmt w:val="bullet"/>
      <w:lvlText w:val="•"/>
      <w:lvlJc w:val="left"/>
      <w:pPr>
        <w:ind w:left="7665" w:hanging="715"/>
      </w:pPr>
      <w:rPr>
        <w:rFonts w:hint="default"/>
        <w:lang w:val="uk-UA" w:eastAsia="en-US" w:bidi="ar-S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20"/>
  <w:drawingGridHorizontalSpacing w:val="110"/>
  <w:displayHorizontalDrawingGridEvery w:val="2"/>
  <w:characterSpacingControl w:val="doNotCompress"/>
  <w:savePreviewPicture/>
  <w:hdrShapeDefaults>
    <o:shapedefaults v:ext="edit" spidmax="7170"/>
    <o:shapelayout v:ext="edit">
      <o:idmap v:ext="edit" data="2"/>
    </o:shapelayout>
  </w:hdrShapeDefaults>
  <w:footnotePr>
    <w:footnote w:id="0"/>
    <w:footnote w:id="1"/>
  </w:footnotePr>
  <w:endnotePr>
    <w:endnote w:id="0"/>
    <w:endnote w:id="1"/>
  </w:endnotePr>
  <w:compat>
    <w:ulTrailSpace/>
    <w:shapeLayoutLikeWW8/>
  </w:compat>
  <w:rsids>
    <w:rsidRoot w:val="00E731D2"/>
    <w:rsid w:val="00035F68"/>
    <w:rsid w:val="001053A5"/>
    <w:rsid w:val="00184ACD"/>
    <w:rsid w:val="001D0E8B"/>
    <w:rsid w:val="002C65FF"/>
    <w:rsid w:val="008476BE"/>
    <w:rsid w:val="00B2180F"/>
    <w:rsid w:val="00B33A00"/>
    <w:rsid w:val="00D02D2C"/>
    <w:rsid w:val="00E731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C65FF"/>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C65FF"/>
    <w:tblPr>
      <w:tblInd w:w="0" w:type="dxa"/>
      <w:tblCellMar>
        <w:top w:w="0" w:type="dxa"/>
        <w:left w:w="0" w:type="dxa"/>
        <w:bottom w:w="0" w:type="dxa"/>
        <w:right w:w="0" w:type="dxa"/>
      </w:tblCellMar>
    </w:tblPr>
  </w:style>
  <w:style w:type="paragraph" w:customStyle="1" w:styleId="TOC1">
    <w:name w:val="TOC 1"/>
    <w:basedOn w:val="a"/>
    <w:uiPriority w:val="1"/>
    <w:qFormat/>
    <w:rsid w:val="002C65FF"/>
    <w:pPr>
      <w:spacing w:before="161"/>
      <w:ind w:left="284"/>
    </w:pPr>
    <w:rPr>
      <w:sz w:val="28"/>
      <w:szCs w:val="28"/>
    </w:rPr>
  </w:style>
  <w:style w:type="paragraph" w:styleId="a3">
    <w:name w:val="Body Text"/>
    <w:basedOn w:val="a"/>
    <w:uiPriority w:val="1"/>
    <w:qFormat/>
    <w:rsid w:val="002C65FF"/>
    <w:pPr>
      <w:ind w:left="284"/>
      <w:jc w:val="both"/>
    </w:pPr>
    <w:rPr>
      <w:sz w:val="28"/>
      <w:szCs w:val="28"/>
    </w:rPr>
  </w:style>
  <w:style w:type="paragraph" w:customStyle="1" w:styleId="Heading1">
    <w:name w:val="Heading 1"/>
    <w:basedOn w:val="a"/>
    <w:uiPriority w:val="1"/>
    <w:qFormat/>
    <w:rsid w:val="002C65FF"/>
    <w:pPr>
      <w:spacing w:before="78"/>
      <w:ind w:left="157" w:right="30"/>
      <w:jc w:val="center"/>
      <w:outlineLvl w:val="1"/>
    </w:pPr>
    <w:rPr>
      <w:b/>
      <w:bCs/>
      <w:sz w:val="28"/>
      <w:szCs w:val="28"/>
    </w:rPr>
  </w:style>
  <w:style w:type="paragraph" w:customStyle="1" w:styleId="Heading2">
    <w:name w:val="Heading 2"/>
    <w:basedOn w:val="a"/>
    <w:uiPriority w:val="1"/>
    <w:qFormat/>
    <w:rsid w:val="002C65FF"/>
    <w:pPr>
      <w:ind w:left="284"/>
      <w:outlineLvl w:val="2"/>
    </w:pPr>
    <w:rPr>
      <w:b/>
      <w:bCs/>
      <w:sz w:val="28"/>
      <w:szCs w:val="28"/>
    </w:rPr>
  </w:style>
  <w:style w:type="paragraph" w:styleId="a4">
    <w:name w:val="Title"/>
    <w:basedOn w:val="a"/>
    <w:uiPriority w:val="1"/>
    <w:qFormat/>
    <w:rsid w:val="002C65FF"/>
    <w:pPr>
      <w:ind w:left="157" w:right="30"/>
      <w:jc w:val="center"/>
    </w:pPr>
    <w:rPr>
      <w:b/>
      <w:bCs/>
      <w:sz w:val="32"/>
      <w:szCs w:val="32"/>
    </w:rPr>
  </w:style>
  <w:style w:type="paragraph" w:styleId="a5">
    <w:name w:val="List Paragraph"/>
    <w:basedOn w:val="a"/>
    <w:uiPriority w:val="1"/>
    <w:qFormat/>
    <w:rsid w:val="002C65FF"/>
    <w:pPr>
      <w:ind w:left="284"/>
    </w:pPr>
  </w:style>
  <w:style w:type="paragraph" w:customStyle="1" w:styleId="TableParagraph">
    <w:name w:val="Table Paragraph"/>
    <w:basedOn w:val="a"/>
    <w:uiPriority w:val="1"/>
    <w:qFormat/>
    <w:rsid w:val="002C65FF"/>
    <w:pPr>
      <w:ind w:left="52"/>
    </w:pPr>
  </w:style>
  <w:style w:type="paragraph" w:styleId="a6">
    <w:name w:val="Balloon Text"/>
    <w:basedOn w:val="a"/>
    <w:link w:val="a7"/>
    <w:uiPriority w:val="99"/>
    <w:semiHidden/>
    <w:unhideWhenUsed/>
    <w:rsid w:val="00D02D2C"/>
    <w:rPr>
      <w:rFonts w:ascii="Tahoma" w:hAnsi="Tahoma" w:cs="Tahoma"/>
      <w:sz w:val="16"/>
      <w:szCs w:val="16"/>
    </w:rPr>
  </w:style>
  <w:style w:type="character" w:customStyle="1" w:styleId="a7">
    <w:name w:val="Текст выноски Знак"/>
    <w:basedOn w:val="a0"/>
    <w:link w:val="a6"/>
    <w:uiPriority w:val="99"/>
    <w:semiHidden/>
    <w:rsid w:val="00D02D2C"/>
    <w:rPr>
      <w:rFonts w:ascii="Tahoma" w:eastAsia="Times New Roman" w:hAnsi="Tahoma" w:cs="Tahoma"/>
      <w:sz w:val="16"/>
      <w:szCs w:val="16"/>
      <w:lang w:val="uk-U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niss.gov.ua/doslidzhennya/nacionalna-bezpeka/geopolitichni-vplivi-na-regionalnu-bezpeku-v-centralniy-azii" TargetMode="External"/><Relationship Id="rId117" Type="http://schemas.openxmlformats.org/officeDocument/2006/relationships/hyperlink" Target="https://www.fpri.org/wp-content/uploads/2024/11/countering-a-great-jihad-in-central-asia.pdf" TargetMode="External"/><Relationship Id="rId21" Type="http://schemas.openxmlformats.org/officeDocument/2006/relationships/hyperlink" Target="https://niss.gov.ua/doslidzhennya/mizhnarodni-vidnosyny/stan-ta-perspektyvy-rozvytku-vidnosyn-u-trykutnyku-turechchyna" TargetMode="External"/><Relationship Id="rId42" Type="http://schemas.openxmlformats.org/officeDocument/2006/relationships/hyperlink" Target="https://ourarchive.otago.ac.nz/esploro/outputs/doctoral/The-Soviet-Legacy-and-PostCommunist-Civil/9926480435901891" TargetMode="External"/><Relationship Id="rId47" Type="http://schemas.openxmlformats.org/officeDocument/2006/relationships/hyperlink" Target="https://enforceddisappearances.dealingwiththepast.org/armenia-azerbaijan-georgia/" TargetMode="External"/><Relationship Id="rId63" Type="http://schemas.openxmlformats.org/officeDocument/2006/relationships/hyperlink" Target="https://www.ssoar.info/ssoar/bitstream/handle/document/89905/ssoar-caucasusad-2023-134-cieslewska-Armenians_and_Azerbaijanis_in_Georgia.pdf?sequence=1&amp;isAllowed=y" TargetMode="External"/><Relationship Id="rId68" Type="http://schemas.openxmlformats.org/officeDocument/2006/relationships/hyperlink" Target="https://scispace.com/pdf/geopolitics-and-strategic-alignments-in-the-caucasus-and-2vc9pvt18v.pdf" TargetMode="External"/><Relationship Id="rId84" Type="http://schemas.openxmlformats.org/officeDocument/2006/relationships/hyperlink" Target="https://asiaplustj.info/ru/news/tajikistan/society/20171108/islam-i-gosudarstva-tsentralnoi-azii-ritorika-i-praktika-otnoshenii" TargetMode="External"/><Relationship Id="rId89" Type="http://schemas.openxmlformats.org/officeDocument/2006/relationships/hyperlink" Target="https://www.fpri.org/article/2024/05/china-russia-and-power-transition-in-central-asia/" TargetMode="External"/><Relationship Id="rId112" Type="http://schemas.openxmlformats.org/officeDocument/2006/relationships/hyperlink" Target="https://gfsis.org.ge/media/download/GSAC/resources/National_Security_Concept_Georgia.pdf" TargetMode="External"/><Relationship Id="rId133" Type="http://schemas.openxmlformats.org/officeDocument/2006/relationships/hyperlink" Target="https://top-center.org/en/reports/3496/south-caucasus-global-geopolitical-and-security-significance" TargetMode="External"/><Relationship Id="rId138" Type="http://schemas.openxmlformats.org/officeDocument/2006/relationships/hyperlink" Target="https://www.econstor.eu/bitstream/10419/279777/1/1869377958.pdf" TargetMode="External"/><Relationship Id="rId16" Type="http://schemas.openxmlformats.org/officeDocument/2006/relationships/hyperlink" Target="https://analytics.intsecurity.org/ukraine-eu-central-asia/" TargetMode="External"/><Relationship Id="rId107" Type="http://schemas.openxmlformats.org/officeDocument/2006/relationships/hyperlink" Target="https://dgap.org/en/research/publications/russias-war-against-ukraine-connectivity-and-disruption-south-caucasus" TargetMode="External"/><Relationship Id="rId11" Type="http://schemas.openxmlformats.org/officeDocument/2006/relationships/hyperlink" Target="https://bintel.org.ua/analytics/voenni-voprosy/armii-voorugenie/pivdennij-kavkaz-v-geopolitichnomu-trikutniku-turechchina-rosiya-iran/" TargetMode="External"/><Relationship Id="rId32" Type="http://schemas.openxmlformats.org/officeDocument/2006/relationships/hyperlink" Target="https://enpuir.udu.edu.ua/handle/123456789/14889" TargetMode="External"/><Relationship Id="rId37" Type="http://schemas.openxmlformats.org/officeDocument/2006/relationships/hyperlink" Target="https://niss.gov.ua/doslidzhennya/mizhnarodni-vidnosyny/tendentsiyi-vplyvu-rosiyi-v-tsentralniy-aziyi-pidsumky-2024" TargetMode="External"/><Relationship Id="rId53" Type="http://schemas.openxmlformats.org/officeDocument/2006/relationships/hyperlink" Target="https://www.techlaw.az/article/the-analysis-of-the-status-of-religion-in-the-constitutions-of-south-caucasus-difference-among-armenia-azerbaijan-and-georgia" TargetMode="External"/><Relationship Id="rId58" Type="http://schemas.openxmlformats.org/officeDocument/2006/relationships/hyperlink" Target="https://www.kas.de/documents/259121/37272391/EN_kas_ai_02-2025_Malerius_Binder_Web.pdf/c501873c-a0aa-f9ae-9da7-b1972bc906f9?version=3.1&amp;t=1753265668156" TargetMode="External"/><Relationship Id="rId74" Type="http://schemas.openxmlformats.org/officeDocument/2006/relationships/hyperlink" Target="https://www.clingendael.org/pub/2023/the-eu-in-the-south-caucasus/1-the-geopolitical-gordian-knot-of-the-south-caucasus/" TargetMode="External"/><Relationship Id="rId79" Type="http://schemas.openxmlformats.org/officeDocument/2006/relationships/hyperlink" Target="https://www.researchgate.net/publication/380135868_Chapter_5_The_Specificities_of_Populism_in_Countries_of_Democratic_Transition_Challenges_for_Armenia/fulltext/662cf71208aa54017ac5edbb/Chapter-5-The-Specificities-of-Populism-in-Countries_of_Democratic-Transition-Challenges-for-Armenia.pdf" TargetMode="External"/><Relationship Id="rId102" Type="http://schemas.openxmlformats.org/officeDocument/2006/relationships/hyperlink" Target="https://www.tandfonline.com/doi/full/10.1080/09668136.2025.2492328?scroll=top&amp;needAccess=true" TargetMode="External"/><Relationship Id="rId123" Type="http://schemas.openxmlformats.org/officeDocument/2006/relationships/hyperlink" Target="https://www.belfercenter.org/publication/russias-lasting-influence-central-asia" TargetMode="External"/><Relationship Id="rId128" Type="http://schemas.openxmlformats.org/officeDocument/2006/relationships/hyperlink" Target="https://centralasiaforum.org/2024/03/11/central-asias-geopolitical-crossroads-the-dynamics-of-coopetition-between-russia-and-china/" TargetMode="External"/><Relationship Id="rId5" Type="http://schemas.openxmlformats.org/officeDocument/2006/relationships/footnotes" Target="footnotes.xml"/><Relationship Id="rId90" Type="http://schemas.openxmlformats.org/officeDocument/2006/relationships/hyperlink" Target="https://www.fpri.org/article/2024/05/china-russia-and-power-transition-in-central-asia/" TargetMode="External"/><Relationship Id="rId95" Type="http://schemas.openxmlformats.org/officeDocument/2006/relationships/hyperlink" Target="https://api.caspianpolicy.org/media/uploads/2021/04/Russias-Historical-Defense-Ties-and-Chinas-Rising-Military-Presence-in-Central-Asia.pdf" TargetMode="External"/><Relationship Id="rId22" Type="http://schemas.openxmlformats.org/officeDocument/2006/relationships/hyperlink" Target="https://adastra.org.ua/blog/geopolitika-pivdennogo-kavkazu-blizkoshidnij-vektor" TargetMode="External"/><Relationship Id="rId27" Type="http://schemas.openxmlformats.org/officeDocument/2006/relationships/hyperlink" Target="https://bintel.org.ua/analytics/rosiya-vtrachae-kavkaz-erdogan-silnishiy-za-putina/" TargetMode="External"/><Relationship Id="rId43" Type="http://schemas.openxmlformats.org/officeDocument/2006/relationships/hyperlink" Target="https://iseees.berkeley.edu/sites/default/files/2000_01-alie.pdf" TargetMode="External"/><Relationship Id="rId48" Type="http://schemas.openxmlformats.org/officeDocument/2006/relationships/hyperlink" Target="https://enforceddisappearances.dealingwiththepast.org/armenia-azerbaijan-georgia/" TargetMode="External"/><Relationship Id="rId64" Type="http://schemas.openxmlformats.org/officeDocument/2006/relationships/hyperlink" Target="https://www.ssoar.info/ssoar/bitstream/handle/document/89905/ssoar-caucasusad-2023-134-cieslewska-Armenians_and_Azerbaijanis_in_Georgia.pdf?sequence=1&amp;isAllowed=y" TargetMode="External"/><Relationship Id="rId69" Type="http://schemas.openxmlformats.org/officeDocument/2006/relationships/hyperlink" Target="https://scispace.com/pdf/geopolitics-and-strategic-alignments-in-the-caucasus-and-2vc9pvt18v.pdf" TargetMode="External"/><Relationship Id="rId113" Type="http://schemas.openxmlformats.org/officeDocument/2006/relationships/hyperlink" Target="https://www.tandfonline.com/doi/abs/10.1080/14683857.2022.2111111" TargetMode="External"/><Relationship Id="rId118" Type="http://schemas.openxmlformats.org/officeDocument/2006/relationships/hyperlink" Target="https://www.fpri.org/wp-content/uploads/2024/11/countering-a-great-jihad-in-central-asia.pdf" TargetMode="External"/><Relationship Id="rId134" Type="http://schemas.openxmlformats.org/officeDocument/2006/relationships/hyperlink" Target="https://www.tccb.gov.tr/assets/dosya/2021-06-15-Azaebaycan-SusaBeyannamesi.pdf" TargetMode="External"/><Relationship Id="rId139" Type="http://schemas.openxmlformats.org/officeDocument/2006/relationships/hyperlink" Target="https://eng.globalaffairs.ru/articles/china-central-asia-zuenko/" TargetMode="External"/><Relationship Id="rId8" Type="http://schemas.openxmlformats.org/officeDocument/2006/relationships/header" Target="header1.xml"/><Relationship Id="rId51" Type="http://schemas.openxmlformats.org/officeDocument/2006/relationships/hyperlink" Target="https://www.techlaw.az/article/the-analysis-of-the-status-of-religion-in-the-constitutions-of-south-caucasus-difference-among-armenia-azerbaijan-and-georgia" TargetMode="External"/><Relationship Id="rId72" Type="http://schemas.openxmlformats.org/officeDocument/2006/relationships/hyperlink" Target="https://journals.umcs.pl/k/article/viewFile/2851/2081" TargetMode="External"/><Relationship Id="rId80" Type="http://schemas.openxmlformats.org/officeDocument/2006/relationships/hyperlink" Target="https://www.researchgate.net/publication/380135868_Chapter_5_The_Specificities_of_Populism_in_Countries_of_Democratic_Transition_Challenges_for_Armenia/fulltext/662cf71208aa54017ac5edbb/Chapter-5-The-Specificities-of-Populism-in-Countries_of_Democratic-Transition-Challenges-for-Armenia.pdf" TargetMode="External"/><Relationship Id="rId85" Type="http://schemas.openxmlformats.org/officeDocument/2006/relationships/hyperlink" Target="https://asiaplustj.info/ru/news/tajikistan/society/20171108/islam-i-gosudarstva-tsentralnoi-azii-ritorika-i-praktika-otnoshenii" TargetMode="External"/><Relationship Id="rId93" Type="http://schemas.openxmlformats.org/officeDocument/2006/relationships/hyperlink" Target="https://journal.uinsgd.ac.id/index.php/politicon/article/view/14309/8854" TargetMode="External"/><Relationship Id="rId98" Type="http://schemas.openxmlformats.org/officeDocument/2006/relationships/hyperlink" Target="http://dspace.khazar.org/jspui/handle/20.500.12323/7117" TargetMode="External"/><Relationship Id="rId121" Type="http://schemas.openxmlformats.org/officeDocument/2006/relationships/hyperlink" Target="https://www.newgeopolitics.org/2023/10/03/russias-geopolitical-strategy-in-central-asia/" TargetMode="External"/><Relationship Id="rId14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bintel.org.ua/analytics/voenni-voprosy/armii-voorugenie/pivdennij-kavkaz-v-geopolitichnomu-trikutniku-turechchina-rosiya-iran/" TargetMode="External"/><Relationship Id="rId17" Type="http://schemas.openxmlformats.org/officeDocument/2006/relationships/hyperlink" Target="https://niss.gov.ua/sites/default/files/2017-10/supernytstvo-a4f03.pdf" TargetMode="External"/><Relationship Id="rId25" Type="http://schemas.openxmlformats.org/officeDocument/2006/relationships/hyperlink" Target="https://niss.gov.ua/doslidzhennya/nacionalna-bezpeka/geopolitichni-vplivi-na-regionalnu-bezpeku-v-centralniy-azii" TargetMode="External"/><Relationship Id="rId33" Type="http://schemas.openxmlformats.org/officeDocument/2006/relationships/hyperlink" Target="https://analytics.intsecurity.org/wp-content/uploads/2023/09/Ukr_NGRN_07_Russia_Central-Asia-1.pdf" TargetMode="External"/><Relationship Id="rId38" Type="http://schemas.openxmlformats.org/officeDocument/2006/relationships/hyperlink" Target="https://niss.gov.ua/doslidzhennya/mizhnarodni-vidnosyny/tendentsiyi-vplyvu-rosiyi-v-tsentralniy-aziyi-pidsumky-2024" TargetMode="External"/><Relationship Id="rId46" Type="http://schemas.openxmlformats.org/officeDocument/2006/relationships/hyperlink" Target="https://www.ijirss.com/index.php/ijirss/article/download/5138/836/8278" TargetMode="External"/><Relationship Id="rId59" Type="http://schemas.openxmlformats.org/officeDocument/2006/relationships/hyperlink" Target="https://www.europarl.europa.eu/meetdocs/2004_2009/documents/nt/604/604272/604272en.pdf" TargetMode="External"/><Relationship Id="rId67" Type="http://schemas.openxmlformats.org/officeDocument/2006/relationships/hyperlink" Target="https://www.ft.com/content/2bb87769-805a-4270-bab2-2382e0b84cec" TargetMode="External"/><Relationship Id="rId103" Type="http://schemas.openxmlformats.org/officeDocument/2006/relationships/hyperlink" Target="https://www.chathamhouse.org/sites/default/files/publications/research/2016-02-12-west-south-caucasus-mchedlishvili-final.pdf" TargetMode="External"/><Relationship Id="rId108" Type="http://schemas.openxmlformats.org/officeDocument/2006/relationships/hyperlink" Target="https://dgap.org/en/research/publications/russias-war-against-ukraine-connectivity-and-disruption-south-caucasus" TargetMode="External"/><Relationship Id="rId116" Type="http://schemas.openxmlformats.org/officeDocument/2006/relationships/hyperlink" Target="https://nwc.ndu.edu/Portals/71/Images/Publications/OmelichevaRussiaFPinCentralAsia.pdf" TargetMode="External"/><Relationship Id="rId124" Type="http://schemas.openxmlformats.org/officeDocument/2006/relationships/hyperlink" Target="https://www.belfercenter.org/publication/russias-lasting-influence-central-asia" TargetMode="External"/><Relationship Id="rId129" Type="http://schemas.openxmlformats.org/officeDocument/2006/relationships/hyperlink" Target="https://centralasiaforum.org/2024/03/11/central-asias-geopolitical-crossroads-the-dynamics-of-coopetition-between-russia-and-china/" TargetMode="External"/><Relationship Id="rId137" Type="http://schemas.openxmlformats.org/officeDocument/2006/relationships/hyperlink" Target="https://ejes.uaic.ro/articles/EJES2016_0702_VAL.pdf" TargetMode="External"/><Relationship Id="rId20" Type="http://schemas.openxmlformats.org/officeDocument/2006/relationships/hyperlink" Target="https://niss.gov.ua/doslidzhennya/mizhnarodni-vidnosyny/stan-ta-perspektyvy-rozvytku-vidnosyn-u-trykutnyku-turechchyna" TargetMode="External"/><Relationship Id="rId41" Type="http://schemas.openxmlformats.org/officeDocument/2006/relationships/hyperlink" Target="https://ourarchive.otago.ac.nz/esploro/outputs/doctoral/The-Soviet-Legacy-and-PostCommunist-Civil/9926480435901891" TargetMode="External"/><Relationship Id="rId54" Type="http://schemas.openxmlformats.org/officeDocument/2006/relationships/hyperlink" Target="https://www.kas.de/documents/259121/37272391/EN_kas_ai_02-2025_Malerius_Binder_Web.pdf/c501873c-a0aa-f9ae-9da7-b1972bc906f9?version=3.1&amp;t=1753265668156" TargetMode="External"/><Relationship Id="rId62" Type="http://schemas.openxmlformats.org/officeDocument/2006/relationships/hyperlink" Target="https://www.hdcentre.org/wp-content/uploads/2016/07/South-Caucasus-Regional-and-International-Conflict-Resolution-June-2001.pdf" TargetMode="External"/><Relationship Id="rId70" Type="http://schemas.openxmlformats.org/officeDocument/2006/relationships/hyperlink" Target="https://www.ft.com/content/47d62156-75e8-4d7e-bc6c-9f6d66043c30" TargetMode="External"/><Relationship Id="rId75" Type="http://schemas.openxmlformats.org/officeDocument/2006/relationships/hyperlink" Target="https://shs.cairn.info/journal-l-europe-en-formation-2018-1-page-7?lang=en" TargetMode="External"/><Relationship Id="rId83" Type="http://schemas.openxmlformats.org/officeDocument/2006/relationships/hyperlink" Target="https://www.researchgate.net/publication/380135868_Chapter_5_The_Specificities_of_Populism_in_Countries_of_Democratic_Transition_Challenges_for_Armenia/fulltext/662cf71208aa54017ac5edbb/Chapter-5-The-Specificities-of-Populism-in-Countries_of_Democratic-Transition-Challenges-for-Armenia.pdf" TargetMode="External"/><Relationship Id="rId88" Type="http://schemas.openxmlformats.org/officeDocument/2006/relationships/hyperlink" Target="https://www.lse.ac.uk/ideas/Assets/Documents/updates/2025-SU-SCaucasus-WEB-03.pdf" TargetMode="External"/><Relationship Id="rId91" Type="http://schemas.openxmlformats.org/officeDocument/2006/relationships/hyperlink" Target="https://www.fpri.org/article/2024/04/russia-and-china-in-central-asia-potential-for-direct-competition/" TargetMode="External"/><Relationship Id="rId96" Type="http://schemas.openxmlformats.org/officeDocument/2006/relationships/hyperlink" Target="https://www.hrw.org/ru/news/2023/05/25/uzbekistan-backsliding-religious-freedom-promises" TargetMode="External"/><Relationship Id="rId111" Type="http://schemas.openxmlformats.org/officeDocument/2006/relationships/hyperlink" Target="https://gfsis.org.ge/media/download/GSAC/resources/National_Security_Concept_Georgia.pdf" TargetMode="External"/><Relationship Id="rId132" Type="http://schemas.openxmlformats.org/officeDocument/2006/relationships/hyperlink" Target="https://top-center.org/en/reports/3496/south-caucasus-global-geopolitical-and-security-significance" TargetMode="External"/><Relationship Id="rId140" Type="http://schemas.openxmlformats.org/officeDocument/2006/relationships/hyperlink" Target="https://brill.com/view/journals/jre/14/3-4/article-p207_1.xml.%5C"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prismua.org/sacntions2467/" TargetMode="External"/><Relationship Id="rId23" Type="http://schemas.openxmlformats.org/officeDocument/2006/relationships/hyperlink" Target="https://adastra.org.ua/blog/geopolitika-pivdennogo-kavkazu-blizkoshidnij-vektor" TargetMode="External"/><Relationship Id="rId28" Type="http://schemas.openxmlformats.org/officeDocument/2006/relationships/hyperlink" Target="https://bintel.org.ua/analytics/rosiya-vtrachae-kavkaz-erdogan-silnishiy-za-putina/" TargetMode="External"/><Relationship Id="rId36" Type="http://schemas.openxmlformats.org/officeDocument/2006/relationships/hyperlink" Target="https://spravdi.gov.ua/ukrayina-maye-tochky-vhodu-v-czentralnu-aziyu-doslidzhennya/" TargetMode="External"/><Relationship Id="rId49" Type="http://schemas.openxmlformats.org/officeDocument/2006/relationships/hyperlink" Target="https://www.cmi.no/publications/8911-changing-geopolitics-of-the-south-caucasus-after-the-second-karabakh-war" TargetMode="External"/><Relationship Id="rId57" Type="http://schemas.openxmlformats.org/officeDocument/2006/relationships/hyperlink" Target="https://www.kas.de/documents/259121/37272391/EN_kas_ai_02-2025_Malerius_Binder_Web.pdf/c501873c-a0aa-f9ae-9da7-b1972bc906f9?version=3.1&amp;t=1753265668156" TargetMode="External"/><Relationship Id="rId106" Type="http://schemas.openxmlformats.org/officeDocument/2006/relationships/hyperlink" Target="https://dgap.org/en/research/publications/shifting-geopolitical-realities-south-caucasus" TargetMode="External"/><Relationship Id="rId114" Type="http://schemas.openxmlformats.org/officeDocument/2006/relationships/hyperlink" Target="https://dgap.org/en/research/publications/south-caucasus-caught-middle" TargetMode="External"/><Relationship Id="rId119" Type="http://schemas.openxmlformats.org/officeDocument/2006/relationships/hyperlink" Target="https://www.sciencedirect.com/science/article/pii/S1879366515000251" TargetMode="External"/><Relationship Id="rId127" Type="http://schemas.openxmlformats.org/officeDocument/2006/relationships/hyperlink" Target="https://carnegieendowment.org/2018/02/28/cooperation-and-competition-russia-and-china-in-central-asia-russian-far-east-and-arctic-pub-75673" TargetMode="External"/><Relationship Id="rId10" Type="http://schemas.openxmlformats.org/officeDocument/2006/relationships/hyperlink" Target="https://analytics.intsecurity.org/wp-content/uploads/2023/06/Ukr_CIS_04_South-Caucasus.pdf" TargetMode="External"/><Relationship Id="rId31" Type="http://schemas.openxmlformats.org/officeDocument/2006/relationships/hyperlink" Target="https://enpuir.udu.edu.ua/handle/123456789/14347" TargetMode="External"/><Relationship Id="rId44" Type="http://schemas.openxmlformats.org/officeDocument/2006/relationships/hyperlink" Target="https://www.thetimes.co.uk/article/chinas-electric-silk-road-tests-local-loyalties-to-moscow-vxqb3zv2d" TargetMode="External"/><Relationship Id="rId52" Type="http://schemas.openxmlformats.org/officeDocument/2006/relationships/hyperlink" Target="https://www.techlaw.az/article/the-analysis-of-the-status-of-religion-in-the-constitutions-of-south-caucasus-difference-among-armenia-azerbaijan-and-georgia" TargetMode="External"/><Relationship Id="rId60" Type="http://schemas.openxmlformats.org/officeDocument/2006/relationships/hyperlink" Target="https://www.europarl.europa.eu/meetdocs/2004_2009/documents/nt/604/604272/604272en.pdf" TargetMode="External"/><Relationship Id="rId65" Type="http://schemas.openxmlformats.org/officeDocument/2006/relationships/hyperlink" Target="https://www.ssoar.info/ssoar/bitstream/handle/document/89905/ssoar-caucasusad-2023-134-cieslewska-Armenians_and_Azerbaijanis_in_Georgia.pdf?sequence=1&amp;isAllowed=y" TargetMode="External"/><Relationship Id="rId73" Type="http://schemas.openxmlformats.org/officeDocument/2006/relationships/hyperlink" Target="https://www.clingendael.org/pub/2023/the-eu-in-the-south-caucasus/1-the-geopolitical-gordian-knot-of-the-south-caucasus/" TargetMode="External"/><Relationship Id="rId78" Type="http://schemas.openxmlformats.org/officeDocument/2006/relationships/hyperlink" Target="https://www.frontiersin.org/journals/political-science/articles/10.3389/fpos.2025.1605136/full" TargetMode="External"/><Relationship Id="rId81" Type="http://schemas.openxmlformats.org/officeDocument/2006/relationships/hyperlink" Target="https://www.researchgate.net/publication/380135868_Chapter_5_The_Specificities_of_Populism_in_Countries_of_Democratic_Transition_Challenges_for_Armenia/fulltext/662cf71208aa54017ac5edbb/Chapter-5-The-Specificities-of-Populism-in-Countries_of_Democratic-Transition-Challenges-for-Armenia.pdf" TargetMode="External"/><Relationship Id="rId86" Type="http://schemas.openxmlformats.org/officeDocument/2006/relationships/hyperlink" Target="https://dergipark.org.tr/en/download/article-file/105606" TargetMode="External"/><Relationship Id="rId94" Type="http://schemas.openxmlformats.org/officeDocument/2006/relationships/hyperlink" Target="https://api.caspianpolicy.org/media/uploads/2021/04/Russias-Historical-Defense-Ties-and-Chinas-Rising-Military-Presence-in-Central-Asia.pdf" TargetMode="External"/><Relationship Id="rId99" Type="http://schemas.openxmlformats.org/officeDocument/2006/relationships/hyperlink" Target="https://www.populismstudies.org/populism-democracy-and-authoritarianism-in-the-southern-caucasus/" TargetMode="External"/><Relationship Id="rId101" Type="http://schemas.openxmlformats.org/officeDocument/2006/relationships/hyperlink" Target="https://www.tandfonline.com/doi/full/10.1080/09668136.2025.2492328?scroll=top&amp;needAccess=true" TargetMode="External"/><Relationship Id="rId122" Type="http://schemas.openxmlformats.org/officeDocument/2006/relationships/hyperlink" Target="https://georgia.to/en/religion-role-in-georgian-politics/" TargetMode="External"/><Relationship Id="rId130" Type="http://schemas.openxmlformats.org/officeDocument/2006/relationships/hyperlink" Target="https://www.researchgate.net/publication/263240094_Framing_national_security_objectives_the_cases_of_Georgia_and_Azerbaijan" TargetMode="External"/><Relationship Id="rId135" Type="http://schemas.openxmlformats.org/officeDocument/2006/relationships/hyperlink" Target="https://www.tccb.gov.tr/assets/dosya/2021-06-15-Azaebaycan-SusaBeyannamesi.pdf" TargetMode="External"/><Relationship Id="rId14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analytics.intsecurity.org/wp-content/uploads/2023/06/Ukr_CIS_04_South-Caucasus.pdf" TargetMode="External"/><Relationship Id="rId13" Type="http://schemas.openxmlformats.org/officeDocument/2006/relationships/hyperlink" Target="https://bintel.org.ua/analytics/geopolitics/centralna-aziya-yabluko-rozbratu/" TargetMode="External"/><Relationship Id="rId18" Type="http://schemas.openxmlformats.org/officeDocument/2006/relationships/hyperlink" Target="https://www.ipg-journal.io/ua/regioni/azija/vedmezhii-slid-na-shovkovomu-shljakhu-2425/" TargetMode="External"/><Relationship Id="rId39" Type="http://schemas.openxmlformats.org/officeDocument/2006/relationships/hyperlink" Target="https://caucasusedition.net/the-rise-of-new-nationalism-in-armenia-azerbaijan-and-georgia-in-the-late-1980s-and-early-1990s/" TargetMode="External"/><Relationship Id="rId109" Type="http://schemas.openxmlformats.org/officeDocument/2006/relationships/hyperlink" Target="https://dgap.org/en/research/publications/end-russian-hegemony-new-transactional-order-arises-south-caucasus" TargetMode="External"/><Relationship Id="rId34" Type="http://schemas.openxmlformats.org/officeDocument/2006/relationships/hyperlink" Target="https://analytics.intsecurity.org/wp-content/uploads/2023/09/Ukr_NGRN_07_Russia_Central-Asia-1.pdf" TargetMode="External"/><Relationship Id="rId50" Type="http://schemas.openxmlformats.org/officeDocument/2006/relationships/hyperlink" Target="https://www.cmi.no/publications/8911-changing-geopolitics-of-the-south-caucasus-after-the-second-karabakh-war" TargetMode="External"/><Relationship Id="rId55" Type="http://schemas.openxmlformats.org/officeDocument/2006/relationships/hyperlink" Target="https://www.kas.de/documents/259121/37272391/EN_kas_ai_02-2025_Malerius_Binder_Web.pdf/c501873c-a0aa-f9ae-9da7-b1972bc906f9?version=3.1&amp;t=1753265668156" TargetMode="External"/><Relationship Id="rId76" Type="http://schemas.openxmlformats.org/officeDocument/2006/relationships/hyperlink" Target="https://shs.cairn.info/journal-l-europe-en-formation-2018-1-page-7?lang=en" TargetMode="External"/><Relationship Id="rId97" Type="http://schemas.openxmlformats.org/officeDocument/2006/relationships/hyperlink" Target="https://www.hrw.org/ru/news/2023/05/25/uzbekistan-backsliding-religious-freedom-promises" TargetMode="External"/><Relationship Id="rId104" Type="http://schemas.openxmlformats.org/officeDocument/2006/relationships/hyperlink" Target="https://www.chathamhouse.org/sites/default/files/publications/research/2016-02-12-west-south-caucasus-mchedlishvili-final.pdf" TargetMode="External"/><Relationship Id="rId120" Type="http://schemas.openxmlformats.org/officeDocument/2006/relationships/hyperlink" Target="https://www.newgeopolitics.org/2023/10/03/russias-geopolitical-strategy-in-central-asia/" TargetMode="External"/><Relationship Id="rId125" Type="http://schemas.openxmlformats.org/officeDocument/2006/relationships/hyperlink" Target="https://worldnewworld.com/page/content.php?no=4411" TargetMode="External"/><Relationship Id="rId141" Type="http://schemas.openxmlformats.org/officeDocument/2006/relationships/image" Target="media/image2.jpeg"/><Relationship Id="rId7" Type="http://schemas.openxmlformats.org/officeDocument/2006/relationships/image" Target="media/image1.jpeg"/><Relationship Id="rId71" Type="http://schemas.openxmlformats.org/officeDocument/2006/relationships/hyperlink" Target="https://www.cnas.org/publications/reports/russia-and-china-in-central-asia" TargetMode="External"/><Relationship Id="rId92" Type="http://schemas.openxmlformats.org/officeDocument/2006/relationships/hyperlink" Target="https://www.fpri.org/article/2024/04/russia-and-china-in-central-asia-potential-for-direct-competition/" TargetMode="External"/><Relationship Id="rId2" Type="http://schemas.openxmlformats.org/officeDocument/2006/relationships/styles" Target="styles.xml"/><Relationship Id="rId29" Type="http://schemas.openxmlformats.org/officeDocument/2006/relationships/hyperlink" Target="https://adastra.org.ua/blog/yak-rosiya-i-kitaj-zmagayutsya-za-liderstvo-v-centralnij-aziyi" TargetMode="External"/><Relationship Id="rId24" Type="http://schemas.openxmlformats.org/officeDocument/2006/relationships/hyperlink" Target="https://rus.ozodi.org/a/25311530.html" TargetMode="External"/><Relationship Id="rId40" Type="http://schemas.openxmlformats.org/officeDocument/2006/relationships/hyperlink" Target="https://caucasusedition.net/the-rise-of-new-nationalism-in-armenia-azerbaijan-and-georgia-in-the-late-1980s-and-early-1990s/" TargetMode="External"/><Relationship Id="rId45" Type="http://schemas.openxmlformats.org/officeDocument/2006/relationships/hyperlink" Target="https://www.thetimes.co.uk/article/chinas-electric-silk-road-tests-local-loyalties-to-moscow-vxqb3zv2d" TargetMode="External"/><Relationship Id="rId66" Type="http://schemas.openxmlformats.org/officeDocument/2006/relationships/hyperlink" Target="https://www.everycrsreport.com/reports/RL30679.html" TargetMode="External"/><Relationship Id="rId87" Type="http://schemas.openxmlformats.org/officeDocument/2006/relationships/hyperlink" Target="https://www.lse.ac.uk/ideas/Assets/Documents/updates/2025-SU-SCaucasus-WEB-03.pdf" TargetMode="External"/><Relationship Id="rId110" Type="http://schemas.openxmlformats.org/officeDocument/2006/relationships/hyperlink" Target="https://dgap.org/en/research/publications/end-russian-hegemony-new-transactional-order-arises-south-caucasus" TargetMode="External"/><Relationship Id="rId115" Type="http://schemas.openxmlformats.org/officeDocument/2006/relationships/hyperlink" Target="https://nwc.ndu.edu/Portals/71/Images/Publications/OmelichevaRussiaFPinCentralAsia.pdf" TargetMode="External"/><Relationship Id="rId131" Type="http://schemas.openxmlformats.org/officeDocument/2006/relationships/hyperlink" Target="https://www.researchgate.net/publication/263240094_Framing_national_security_objectives_the_cases_of_Georgia_and_Azerbaijan" TargetMode="External"/><Relationship Id="rId136" Type="http://schemas.openxmlformats.org/officeDocument/2006/relationships/hyperlink" Target="https://undocs.org/en/A/RES/62/243" TargetMode="External"/><Relationship Id="rId61" Type="http://schemas.openxmlformats.org/officeDocument/2006/relationships/hyperlink" Target="https://www.hdcentre.org/wp-content/uploads/2016/07/South-Caucasus-Regional-and-International-Conflict-Resolution-June-2001.pdf" TargetMode="External"/><Relationship Id="rId82" Type="http://schemas.openxmlformats.org/officeDocument/2006/relationships/hyperlink" Target="https://www.researchgate.net/publication/380135868_Chapter_5_The_Specificities_of_Populism_in_Countries_of_Democratic_Transition_Challenges_for_Armenia/fulltext/662cf71208aa54017ac5edbb/Chapter-5-The-Specificities-of-Populism-in-Countries_of_Democratic-Transition-Challenges-for-Armenia.pdf" TargetMode="External"/><Relationship Id="rId19" Type="http://schemas.openxmlformats.org/officeDocument/2006/relationships/hyperlink" Target="https://www.ipg-journal.io/ua/regioni/azija/vedmezhii-slid-na-shovkovomu-shljakhu-2425/" TargetMode="External"/><Relationship Id="rId14" Type="http://schemas.openxmlformats.org/officeDocument/2006/relationships/hyperlink" Target="https://bintel.org.ua/analytics/geopolitics/centralna-aziya-yabluko-rozbratu/" TargetMode="External"/><Relationship Id="rId30" Type="http://schemas.openxmlformats.org/officeDocument/2006/relationships/hyperlink" Target="https://adastra.org.ua/blog/yak-rosiya-i-kitaj-zmagayutsya-za-liderstvo-v-centralnij-aziyi" TargetMode="External"/><Relationship Id="rId35" Type="http://schemas.openxmlformats.org/officeDocument/2006/relationships/hyperlink" Target="https://spravdi.gov.ua/ukrayina-maye-tochky-vhodu-v-czentralnu-aziyu-doslidzhennya/" TargetMode="External"/><Relationship Id="rId56" Type="http://schemas.openxmlformats.org/officeDocument/2006/relationships/hyperlink" Target="https://www.kas.de/documents/259121/37272391/EN_kas_ai_02-2025_Malerius_Binder_Web.pdf/c501873c-a0aa-f9ae-9da7-b1972bc906f9?version=3.1&amp;t=1753265668156" TargetMode="External"/><Relationship Id="rId77" Type="http://schemas.openxmlformats.org/officeDocument/2006/relationships/hyperlink" Target="https://www.frontiersin.org/journals/political-science/articles/10.3389/fpos.2025.1605136/full" TargetMode="External"/><Relationship Id="rId100" Type="http://schemas.openxmlformats.org/officeDocument/2006/relationships/hyperlink" Target="https://www.populismstudies.org/populism-democracy-and-authoritarianism-in-the-southern-caucasus/" TargetMode="External"/><Relationship Id="rId105" Type="http://schemas.openxmlformats.org/officeDocument/2006/relationships/hyperlink" Target="https://dgap.org/en/research/publications/shifting-geopolitical-realities-south-caucasus" TargetMode="External"/><Relationship Id="rId126" Type="http://schemas.openxmlformats.org/officeDocument/2006/relationships/hyperlink" Target="https://carnegieendowment.org/2018/02/28/cooperation-and-competition-russia-and-china-in-central-asia-russian-far-east-and-arctic-pub-7567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esktop\&#1050;&#1074;&#1072;&#1083;&#1110;&#1092;&#1110;&#1082;&#1072;&#1094;&#1110;&#1081;&#1085;&#1072;%20&#1088;&#1086;&#1073;&#1086;&#1090;&#1072;%20&#1085;&#1072;%20&#1079;&#1076;&#1086;&#1073;&#1091;&#1090;&#1090;&#1103;%20&#1089;&#1090;&#1091;&#1087;&#1077;&#1085;&#1103;%20&#1074;&#1080;&#1097;&#1086;&#1111;%20&#1086;&#1089;&#1074;&#1110;&#1090;&#1080;%20&#171;&#1084;&#1072;&#1075;&#1110;&#1089;&#1090;&#1088;&#18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Кваліфікаційна робота на здобуття ступеня вищої освіти «магістр»</Template>
  <TotalTime>19</TotalTime>
  <Pages>79</Pages>
  <Words>23075</Words>
  <Characters>131531</Characters>
  <Application>Microsoft Office Word</Application>
  <DocSecurity>0</DocSecurity>
  <Lines>1096</Lines>
  <Paragraphs>308</Paragraphs>
  <ScaleCrop>false</ScaleCrop>
  <HeadingPairs>
    <vt:vector size="4" baseType="variant">
      <vt:variant>
        <vt:lpstr>Название</vt:lpstr>
      </vt:variant>
      <vt:variant>
        <vt:i4>1</vt:i4>
      </vt:variant>
      <vt:variant>
        <vt:lpstr>Заголовки</vt:lpstr>
      </vt:variant>
      <vt:variant>
        <vt:i4>18</vt:i4>
      </vt:variant>
    </vt:vector>
  </HeadingPairs>
  <TitlesOfParts>
    <vt:vector size="19" baseType="lpstr">
      <vt:lpstr>Кваліфікаційна робота на здобуття ступеня вищої освіти «магістр»</vt:lpstr>
      <vt:lpstr>    ЗМІСТ</vt:lpstr>
      <vt:lpstr>    ВСТУП</vt:lpstr>
      <vt:lpstr>        Апробаціярезультатівдослідженнятапублікації.</vt:lpstr>
      <vt:lpstr>    РОЗДІЛІ</vt:lpstr>
      <vt:lpstr>        Теоретико-методологічніпідходидо аналізу регіональної безпеки: структурний реалі</vt:lpstr>
      <vt:lpstr>        Характеристиканауковоїрозробкипроблеми</vt:lpstr>
      <vt:lpstr>        Категоріальний апарат дослідження</vt:lpstr>
      <vt:lpstr>        Характеристикаджерельноїбазидослідження</vt:lpstr>
      <vt:lpstr>    РОЗДІЛІІ</vt:lpstr>
      <vt:lpstr>        ТрансформаціявпливуРосійськоїФедерації:відгегемоніїдо</vt:lpstr>
      <vt:lpstr>        Зростання	ролі	альтернативних	центрів	сили:	турецький	та китайський вектори</vt:lpstr>
      <vt:lpstr>        Еволюціястратегійіншихпозарегіональнихакторів</vt:lpstr>
      <vt:lpstr>        Соціокультурнітарелігійнічинникибезпеки:рольідеологіїта ідентичності у геополіти</vt:lpstr>
      <vt:lpstr>    РОЗДІЛІІІ</vt:lpstr>
      <vt:lpstr>        Еволюція	«заморожених»	конфліктів	у	фазу	динамічного врегулювання на Південному </vt:lpstr>
      <vt:lpstr>        ГрузіявархітектурібезпекиПівденногоКавказутаїїосновнібезпекові виміри</vt:lpstr>
      <vt:lpstr>        Конфліктогенний потенціал Центральної Азії. Прикордонні суперечки у Ферганській </vt:lpstr>
      <vt:lpstr>        Стратегічні транспортні маршрути та їхній вплив на регіональну стабільність</vt:lpstr>
    </vt:vector>
  </TitlesOfParts>
  <Company/>
  <LinksUpToDate>false</LinksUpToDate>
  <CharactersWithSpaces>154298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Кваліфікаційна робота на здобуття ступеня вищої освіти «магістр»</dc:title>
  <dc:creator>Admin</dc:creator>
  <cp:lastModifiedBy>Admin</cp:lastModifiedBy>
  <cp:revision>2</cp:revision>
  <dcterms:created xsi:type="dcterms:W3CDTF">2025-11-30T21:48:00Z</dcterms:created>
  <dcterms:modified xsi:type="dcterms:W3CDTF">2025-11-30T22:55:00Z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2025-11-30T00:00:00Z</vt:filetime>
  </property>
  <property fmtid="{D5CDD505-2E9C-101B-9397-08002B2CF9AE}" pid="3" name="Producer">
    <vt:lpwstr>Skia/PDF m144 Google Docs Renderer</vt:lpwstr>
  </property>
  <property fmtid="{D5CDD505-2E9C-101B-9397-08002B2CF9AE}" pid="4" name="LastSaved">
    <vt:filetime>2025-11-30T00:00:00Z</vt:filetime>
  </property>
</Properties>
</file>