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E45578" w:rsidRPr="00E45578" w:rsidRDefault="00E45578" w:rsidP="00E45578">
      <w:pPr>
        <w:spacing w:after="200" w:line="360" w:lineRule="auto"/>
        <w:rPr>
          <w:rFonts w:ascii="Calibri" w:eastAsia="Calibri" w:hAnsi="Calibri" w:cs="Times New Roman"/>
          <w:sz w:val="28"/>
          <w:szCs w:val="28"/>
          <w:lang w:val="uk-UA"/>
        </w:rPr>
      </w:pPr>
      <w:r w:rsidRPr="00E45578">
        <w:rPr>
          <w:rFonts w:ascii="Calibri" w:eastAsia="Calibri" w:hAnsi="Calibri" w:cs="Times New Roman"/>
          <w:sz w:val="28"/>
          <w:szCs w:val="28"/>
          <w:lang w:val="uk-UA"/>
        </w:rPr>
        <w:t>Одеський національний університет імені І.І. Мечникова</w:t>
      </w:r>
    </w:p>
    <w:p w:rsidR="00E45578" w:rsidRPr="00E45578" w:rsidRDefault="00E45578" w:rsidP="00E45578">
      <w:pPr>
        <w:spacing w:after="200" w:line="360"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Економіко-правовий факультет</w:t>
      </w:r>
    </w:p>
    <w:p w:rsidR="00E45578" w:rsidRPr="00E45578" w:rsidRDefault="00E45578" w:rsidP="00E45578">
      <w:pPr>
        <w:spacing w:after="200" w:line="360"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Кафедра конституційного права та правосуддя</w:t>
      </w:r>
    </w:p>
    <w:p w:rsidR="00E45578" w:rsidRPr="00E45578" w:rsidRDefault="00E45578" w:rsidP="00E45578">
      <w:pPr>
        <w:spacing w:after="200" w:line="360" w:lineRule="auto"/>
        <w:jc w:val="center"/>
        <w:rPr>
          <w:rFonts w:ascii="Calibri" w:eastAsia="Calibri" w:hAnsi="Calibri" w:cs="Times New Roman"/>
          <w:b/>
          <w:sz w:val="28"/>
          <w:szCs w:val="28"/>
          <w:lang w:val="uk-UA"/>
        </w:rPr>
      </w:pPr>
      <w:r w:rsidRPr="00E45578">
        <w:rPr>
          <w:rFonts w:ascii="Calibri" w:eastAsia="Calibri" w:hAnsi="Calibri" w:cs="Times New Roman"/>
          <w:b/>
          <w:sz w:val="28"/>
          <w:szCs w:val="28"/>
          <w:lang w:val="uk-UA"/>
        </w:rPr>
        <w:t>Д и п л о м н а  р о б о т а</w:t>
      </w:r>
    </w:p>
    <w:p w:rsidR="00E45578" w:rsidRPr="00E45578" w:rsidRDefault="00E45578" w:rsidP="00E45578">
      <w:pPr>
        <w:spacing w:after="200" w:line="360"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ступінь вищої освіти магістра  </w:t>
      </w:r>
    </w:p>
    <w:p w:rsidR="00E45578" w:rsidRPr="00E45578" w:rsidRDefault="00E45578" w:rsidP="00E45578">
      <w:pPr>
        <w:spacing w:after="200" w:line="276" w:lineRule="auto"/>
        <w:jc w:val="center"/>
        <w:rPr>
          <w:rFonts w:ascii="Calibri" w:eastAsia="Calibri" w:hAnsi="Calibri" w:cs="Times New Roman"/>
          <w:b/>
          <w:sz w:val="28"/>
          <w:szCs w:val="28"/>
          <w:lang w:val="uk-UA"/>
        </w:rPr>
      </w:pPr>
      <w:r w:rsidRPr="00E45578">
        <w:rPr>
          <w:rFonts w:ascii="Calibri" w:eastAsia="Calibri" w:hAnsi="Calibri" w:cs="Times New Roman"/>
          <w:sz w:val="28"/>
          <w:szCs w:val="28"/>
          <w:lang w:val="uk-UA"/>
        </w:rPr>
        <w:t>на тему:</w:t>
      </w:r>
      <w:r w:rsidRPr="00E45578">
        <w:rPr>
          <w:rFonts w:ascii="Calibri" w:eastAsia="Calibri" w:hAnsi="Calibri" w:cs="Times New Roman"/>
          <w:b/>
          <w:sz w:val="28"/>
          <w:szCs w:val="28"/>
          <w:lang w:val="uk-UA"/>
        </w:rPr>
        <w:t xml:space="preserve"> “Міжнародно-правове співробітництво судів України”</w:t>
      </w:r>
    </w:p>
    <w:p w:rsidR="00E45578" w:rsidRPr="00E45578" w:rsidRDefault="00E45578" w:rsidP="00E45578">
      <w:pPr>
        <w:spacing w:after="200" w:line="360" w:lineRule="auto"/>
        <w:jc w:val="center"/>
        <w:rPr>
          <w:rFonts w:ascii="Calibri" w:eastAsia="Calibri" w:hAnsi="Calibri" w:cs="Times New Roman"/>
          <w:lang w:val="uk-UA"/>
        </w:rPr>
      </w:pPr>
      <w:r w:rsidRPr="00E45578">
        <w:rPr>
          <w:rFonts w:ascii="Calibri" w:eastAsia="Calibri" w:hAnsi="Calibri" w:cs="Times New Roman"/>
          <w:lang w:val="uk-UA"/>
        </w:rPr>
        <w:t>“</w:t>
      </w:r>
      <w:r w:rsidRPr="00E45578">
        <w:rPr>
          <w:rFonts w:ascii="Calibri" w:eastAsia="Calibri" w:hAnsi="Calibri" w:cs="Times New Roman"/>
          <w:lang w:val="en-US"/>
        </w:rPr>
        <w:t>The international legal cooperation of the courts of Ukraine</w:t>
      </w:r>
      <w:r w:rsidRPr="00E45578">
        <w:rPr>
          <w:rFonts w:ascii="Calibri" w:eastAsia="Calibri" w:hAnsi="Calibri" w:cs="Times New Roman"/>
          <w:lang w:val="uk-UA"/>
        </w:rPr>
        <w:t>”</w:t>
      </w:r>
    </w:p>
    <w:p w:rsidR="00E45578" w:rsidRPr="00E45578" w:rsidRDefault="00E45578" w:rsidP="00E45578">
      <w:pPr>
        <w:spacing w:after="200" w:line="360" w:lineRule="auto"/>
        <w:jc w:val="center"/>
        <w:rPr>
          <w:rFonts w:ascii="Calibri" w:eastAsia="Calibri" w:hAnsi="Calibri" w:cs="Times New Roman"/>
          <w:lang w:val="uk-UA"/>
        </w:rPr>
      </w:pPr>
    </w:p>
    <w:p w:rsidR="00E45578" w:rsidRPr="00E45578" w:rsidRDefault="00E45578" w:rsidP="00E45578">
      <w:pPr>
        <w:spacing w:after="200" w:line="276"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Виконала студентка заочної форми навчання,</w:t>
      </w:r>
    </w:p>
    <w:p w:rsidR="00E45578" w:rsidRPr="00E45578" w:rsidRDefault="00E45578" w:rsidP="00E45578">
      <w:pPr>
        <w:spacing w:after="200" w:line="276"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Спеціальність 8.03040101 “Правознавство”,</w:t>
      </w:r>
    </w:p>
    <w:p w:rsidR="00E45578" w:rsidRPr="00E45578" w:rsidRDefault="00E45578" w:rsidP="00E45578">
      <w:pPr>
        <w:spacing w:after="200" w:line="276"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Накул Валерія Юріївна    </w:t>
      </w:r>
    </w:p>
    <w:p w:rsidR="00E45578" w:rsidRPr="00E45578" w:rsidRDefault="00E45578" w:rsidP="00E45578">
      <w:pPr>
        <w:spacing w:after="200" w:line="276"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Науковий керівник: кандидат юридичних наук,</w:t>
      </w:r>
    </w:p>
    <w:p w:rsidR="00E45578" w:rsidRPr="00E45578" w:rsidRDefault="00E45578" w:rsidP="00E45578">
      <w:pPr>
        <w:spacing w:after="200" w:line="276"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доцент ___________ Кармазіна К.Ю.                                                               </w:t>
      </w:r>
    </w:p>
    <w:p w:rsidR="00E45578" w:rsidRPr="00E45578" w:rsidRDefault="00E45578" w:rsidP="00E45578">
      <w:pPr>
        <w:spacing w:after="200" w:line="276"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Рецензент: доктор юридичних наук, </w:t>
      </w:r>
    </w:p>
    <w:p w:rsidR="00E45578" w:rsidRPr="00E45578" w:rsidRDefault="00E45578" w:rsidP="00E45578">
      <w:pPr>
        <w:spacing w:after="200" w:line="276"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професор Корчевна Л.О. </w:t>
      </w:r>
    </w:p>
    <w:p w:rsidR="00E45578" w:rsidRPr="00E45578" w:rsidRDefault="00E45578" w:rsidP="00E45578">
      <w:pPr>
        <w:spacing w:after="200" w:line="276" w:lineRule="auto"/>
        <w:jc w:val="both"/>
        <w:rPr>
          <w:rFonts w:ascii="Calibri" w:eastAsia="Calibri" w:hAnsi="Calibri" w:cs="Times New Roman"/>
          <w:sz w:val="28"/>
          <w:szCs w:val="28"/>
          <w:lang w:val="uk-UA"/>
        </w:rPr>
      </w:pPr>
    </w:p>
    <w:p w:rsidR="00E45578" w:rsidRPr="00E45578" w:rsidRDefault="00E45578" w:rsidP="00E45578">
      <w:pPr>
        <w:spacing w:after="200" w:line="360"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Рекомендовано до захисту на                   Захищено на засіданні ЕК № 2</w:t>
      </w:r>
    </w:p>
    <w:p w:rsidR="00E45578" w:rsidRPr="00E45578" w:rsidRDefault="00E45578" w:rsidP="00E45578">
      <w:pPr>
        <w:spacing w:after="200" w:line="360"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засіданні кафедри “___” _____ 2017 р.,    “___” _______ 2017 р., протокол № ___ </w:t>
      </w:r>
    </w:p>
    <w:p w:rsidR="00E45578" w:rsidRPr="00E45578" w:rsidRDefault="00E45578" w:rsidP="00E45578">
      <w:pPr>
        <w:spacing w:after="200" w:line="360"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протокол № ___                                          Оцінка _______/_______/_______</w:t>
      </w:r>
    </w:p>
    <w:p w:rsidR="00E45578" w:rsidRPr="00E45578" w:rsidRDefault="00E45578" w:rsidP="00E45578">
      <w:pPr>
        <w:spacing w:after="200" w:line="360"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Завідуюча кафедрою                                  Голова ЕК     </w:t>
      </w:r>
    </w:p>
    <w:p w:rsidR="00E45578" w:rsidRPr="00E45578" w:rsidRDefault="00E45578" w:rsidP="00E45578">
      <w:pPr>
        <w:spacing w:after="200" w:line="360" w:lineRule="auto"/>
        <w:jc w:val="both"/>
        <w:rPr>
          <w:rFonts w:ascii="Calibri" w:eastAsia="Calibri" w:hAnsi="Calibri" w:cs="Times New Roman"/>
          <w:sz w:val="28"/>
          <w:szCs w:val="28"/>
          <w:lang w:val="uk-UA"/>
        </w:rPr>
      </w:pPr>
      <w:r w:rsidRPr="00E45578">
        <w:rPr>
          <w:rFonts w:ascii="Calibri" w:eastAsia="Calibri" w:hAnsi="Calibri" w:cs="Times New Roman"/>
          <w:sz w:val="28"/>
          <w:szCs w:val="28"/>
          <w:lang w:val="uk-UA"/>
        </w:rPr>
        <w:t>д.ю.н., проф. ________ Корчевна Л.О.     д.ю.н., проф._________ Прієшкіна О.В.</w:t>
      </w:r>
    </w:p>
    <w:p w:rsidR="00E45578" w:rsidRPr="00E45578" w:rsidRDefault="00E45578" w:rsidP="00E45578">
      <w:pPr>
        <w:spacing w:after="200" w:line="360" w:lineRule="auto"/>
        <w:jc w:val="center"/>
        <w:rPr>
          <w:rFonts w:ascii="Calibri" w:eastAsia="Calibri" w:hAnsi="Calibri" w:cs="Times New Roman"/>
          <w:sz w:val="28"/>
          <w:szCs w:val="28"/>
          <w:lang w:val="uk-UA"/>
        </w:rPr>
      </w:pPr>
      <w:r w:rsidRPr="00E45578">
        <w:rPr>
          <w:rFonts w:ascii="Calibri" w:eastAsia="Calibri" w:hAnsi="Calibri" w:cs="Times New Roman"/>
          <w:sz w:val="28"/>
          <w:szCs w:val="28"/>
          <w:lang w:val="uk-UA"/>
        </w:rPr>
        <w:t xml:space="preserve">                                                                </w:t>
      </w:r>
    </w:p>
    <w:p w:rsidR="00E45578" w:rsidRPr="00E45578" w:rsidRDefault="00E45578" w:rsidP="00E45578">
      <w:pPr>
        <w:spacing w:after="200" w:line="360" w:lineRule="auto"/>
        <w:rPr>
          <w:rFonts w:ascii="Calibri" w:eastAsia="Calibri" w:hAnsi="Calibri" w:cs="Times New Roman"/>
          <w:b/>
          <w:sz w:val="28"/>
          <w:szCs w:val="28"/>
          <w:lang w:val="uk-UA"/>
        </w:rPr>
      </w:pPr>
      <w:r w:rsidRPr="00E45578">
        <w:rPr>
          <w:rFonts w:ascii="Calibri" w:eastAsia="Calibri" w:hAnsi="Calibri" w:cs="Times New Roman"/>
          <w:b/>
          <w:sz w:val="28"/>
          <w:szCs w:val="28"/>
          <w:lang w:val="uk-UA"/>
        </w:rPr>
        <w:lastRenderedPageBreak/>
        <w:t xml:space="preserve">                                                            Одеса – 2017</w:t>
      </w:r>
    </w:p>
    <w:p w:rsidR="00E45578" w:rsidRPr="00E45578" w:rsidRDefault="00E45578" w:rsidP="00E45578">
      <w:pPr>
        <w:spacing w:after="200" w:line="276" w:lineRule="auto"/>
        <w:rPr>
          <w:rFonts w:ascii="Times New Roman" w:eastAsia="Calibri" w:hAnsi="Times New Roman" w:cs="Times New Roman"/>
          <w:b/>
          <w:sz w:val="28"/>
          <w:szCs w:val="28"/>
          <w:lang w:val="uk-UA"/>
        </w:rPr>
      </w:pPr>
    </w:p>
    <w:p w:rsidR="00E45578" w:rsidRPr="00E45578" w:rsidRDefault="00E45578" w:rsidP="00E45578">
      <w:pPr>
        <w:spacing w:after="0" w:line="360" w:lineRule="auto"/>
        <w:jc w:val="center"/>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ЗМІСТ</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ВСТУП …………………………………………………………………………..3</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 xml:space="preserve">РОЗДІЛ 1. МІЖНАРОДНО-ПРАВОВІ ОСНОВИ ВЗАЄМОДІЇ </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 xml:space="preserve">СУДОВИХ ОРГАНІВ  …………………………………………………………6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1.1. Правові та геополітичні фактори, що сприяють взаємодії</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судових органів …………………………………………………….……..6</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1.2. Гармонізація законодавства як основа взаємодії судових</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Органів …………………………………………………………………….11</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РОЗДІЛ 2. ОСНОВНІ ВЕКТОРИ МІЖНАРОДНОГО</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СПІВРОБІТНИЦТВА СУДОВИХ ОРГАНІВ УКРАЇНИ…………………23</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2.1. Міжнародне співробітництво Верховного Суду України…………23</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2.2. Міжнародне співробітництво Конституційного Суду</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України…………………………………………………………….………35</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РОЗДІЛ 3. ГАЛУЗЕВІ ОСОБЛИВОСТІ МІЖНАРОДНОЇ</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ВЗАЄМОДІЇ СУДІВ В УКРАЇНИ……………………………………….……50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3.1. Взаємодія в рамках цивільного та господарського процесу...……..50</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3.2. Взаємодія в рамках кримінального судочинства…..…………….....68</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3.3. Взаємодія в рамках адміністративного судочинства..………….......87</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ВИСНОВКИ ……………………………………………………………………103</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СПИСОК ВИКОРИСТАНИХ ДЖЕРЕЛ……………………………………113</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ДОДАТКИ……………………………………………………………………….139</w:t>
      </w: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both"/>
        <w:rPr>
          <w:rFonts w:ascii="Times New Roman" w:eastAsia="Calibri" w:hAnsi="Times New Roman" w:cs="Times New Roman"/>
          <w:b/>
          <w:sz w:val="28"/>
          <w:szCs w:val="28"/>
          <w:lang w:val="uk-UA"/>
        </w:rPr>
      </w:pPr>
    </w:p>
    <w:p w:rsidR="00E45578" w:rsidRPr="00E45578" w:rsidRDefault="00E45578" w:rsidP="00E45578">
      <w:pPr>
        <w:spacing w:after="0" w:line="360" w:lineRule="auto"/>
        <w:jc w:val="center"/>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ВСТУП</w:t>
      </w:r>
    </w:p>
    <w:p w:rsidR="00E45578" w:rsidRPr="00E45578" w:rsidRDefault="00E45578" w:rsidP="00E45578">
      <w:pPr>
        <w:spacing w:after="0" w:line="360" w:lineRule="auto"/>
        <w:jc w:val="center"/>
        <w:rPr>
          <w:rFonts w:ascii="Times New Roman" w:eastAsia="Calibri" w:hAnsi="Times New Roman" w:cs="Times New Roman"/>
          <w:b/>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b/>
          <w:sz w:val="28"/>
          <w:szCs w:val="28"/>
          <w:lang w:val="uk-UA"/>
        </w:rPr>
        <w:t xml:space="preserve">Актуальність теми. </w:t>
      </w:r>
      <w:r w:rsidRPr="00E45578">
        <w:rPr>
          <w:rFonts w:ascii="Times New Roman" w:eastAsia="Calibri" w:hAnsi="Times New Roman" w:cs="Times New Roman"/>
          <w:sz w:val="28"/>
          <w:szCs w:val="28"/>
          <w:lang w:val="uk-UA"/>
        </w:rPr>
        <w:t xml:space="preserve">Сучасний етап розвитку міжнародних відносин і міжнародного права характеризується активним ростом міждержавної взаємодії й появою нових більш інтегрованих форм такого співробітництва. Особливий прояв даного феномена сучасності спостерігається в області судового співробітництва. Якщо раніше воно здійснювалося переважно на рівні національних органів виконавчої влади в області правосуддя (так зване, класичне співробітництво), той у цей час спостерігається тенденція до встановлення прямих інтеграційних зв’язків між національними судовими органами, що веде до прямої взаємодії, що виключає будь-яке посередництво.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Більше того, поява в сучасному світі міжнародних універсальних і регіональних судових органів і поступове збільшення їх кількості [207, с. 8], стало однієї з передумов виникнення нової форми міжнародного судового співробітництва – взаємодії національних судових органів з міжнародними регіональними судами.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 зв’язку з цим найбільшого інтересу для теоретичного аналізу міжнародного правового регулювання взаємодії судових органів, набуває вивчення досвіду такої взаємодії на європейському просторі, на якому діють самі «старі» міжнародні регіональні судові інстанції.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Перша з них, це – </w:t>
      </w:r>
      <w:r w:rsidRPr="00E45578">
        <w:rPr>
          <w:rFonts w:ascii="Times New Roman" w:eastAsia="Calibri" w:hAnsi="Times New Roman" w:cs="Times New Roman"/>
          <w:bCs/>
          <w:sz w:val="28"/>
          <w:szCs w:val="28"/>
          <w:lang w:val="uk-UA"/>
        </w:rPr>
        <w:t>Суд ЄС (</w:t>
      </w:r>
      <w:r w:rsidRPr="00E45578">
        <w:rPr>
          <w:rFonts w:ascii="Times New Roman" w:eastAsia="Calibri" w:hAnsi="Times New Roman" w:cs="Times New Roman"/>
          <w:bCs/>
          <w:sz w:val="28"/>
          <w:szCs w:val="28"/>
        </w:rPr>
        <w:t>European</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bCs/>
          <w:sz w:val="28"/>
          <w:szCs w:val="28"/>
        </w:rPr>
        <w:t>Court</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bCs/>
          <w:sz w:val="28"/>
          <w:szCs w:val="28"/>
        </w:rPr>
        <w:t>of</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bCs/>
          <w:sz w:val="28"/>
          <w:szCs w:val="28"/>
        </w:rPr>
        <w:t>Justice</w:t>
      </w:r>
      <w:r w:rsidRPr="00E45578">
        <w:rPr>
          <w:rFonts w:ascii="Times New Roman" w:eastAsia="Calibri" w:hAnsi="Times New Roman" w:cs="Times New Roman"/>
          <w:bCs/>
          <w:sz w:val="28"/>
          <w:szCs w:val="28"/>
          <w:lang w:val="uk-UA"/>
        </w:rPr>
        <w:t>), тобто Суд Європейського Союзу [179],</w:t>
      </w:r>
      <w:r w:rsidRPr="00E45578">
        <w:rPr>
          <w:rFonts w:ascii="Times New Roman" w:eastAsia="Calibri" w:hAnsi="Times New Roman" w:cs="Times New Roman"/>
          <w:sz w:val="28"/>
          <w:szCs w:val="28"/>
          <w:lang w:val="uk-UA"/>
        </w:rPr>
        <w:t xml:space="preserve"> або Суд Європейських Спільнот [56], або Суд Європейського Співтовариства [79, с. 8], що є офіційною інституцією </w:t>
      </w:r>
      <w:r w:rsidRPr="00E45578">
        <w:rPr>
          <w:rFonts w:ascii="Times New Roman" w:eastAsia="Calibri" w:hAnsi="Times New Roman" w:cs="Times New Roman"/>
          <w:sz w:val="28"/>
          <w:szCs w:val="28"/>
          <w:lang w:val="uk-UA"/>
        </w:rPr>
        <w:lastRenderedPageBreak/>
        <w:t xml:space="preserve">Європейського союзу, яка охоплює всю судову владу ЄС </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79</w:t>
      </w:r>
      <w:r w:rsidRPr="00E45578">
        <w:rPr>
          <w:rFonts w:ascii="Times New Roman" w:eastAsia="Calibri" w:hAnsi="Times New Roman" w:cs="Times New Roman"/>
          <w:sz w:val="28"/>
          <w:szCs w:val="28"/>
        </w:rPr>
        <w:t xml:space="preserve">, с. </w:t>
      </w:r>
      <w:r w:rsidRPr="00E45578">
        <w:rPr>
          <w:rFonts w:ascii="Times New Roman" w:eastAsia="Calibri" w:hAnsi="Times New Roman" w:cs="Times New Roman"/>
          <w:sz w:val="28"/>
          <w:szCs w:val="28"/>
          <w:lang w:val="uk-UA"/>
        </w:rPr>
        <w:t>160-168; 44, с. 130</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 xml:space="preserve">. Суд ЄС був заснований у 1952 році.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Друга - це Європейський Суд з прав людини (</w:t>
      </w:r>
      <w:r w:rsidRPr="00E45578">
        <w:rPr>
          <w:rFonts w:ascii="Times New Roman" w:eastAsia="Calibri" w:hAnsi="Times New Roman" w:cs="Times New Roman"/>
          <w:sz w:val="28"/>
          <w:szCs w:val="28"/>
        </w:rPr>
        <w:t>European</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Court</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of</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Human</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Rights</w:t>
      </w:r>
      <w:r w:rsidRPr="00E45578">
        <w:rPr>
          <w:rFonts w:ascii="Times New Roman" w:eastAsia="Calibri" w:hAnsi="Times New Roman" w:cs="Times New Roman"/>
          <w:sz w:val="28"/>
          <w:szCs w:val="28"/>
          <w:lang w:val="uk-UA"/>
        </w:rPr>
        <w:t>), заснований у 1959 році як міжнародний судовий орган, юрисдикція якого поширюється на всі держави-члени Ради Європи [102, с. 16-17].</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Не претендуючи на визнання їх «ідеальними моделями» у відправленні правосуддя на міждержавному рівні, відзначимо, що правова природа й форми взаємодії національних судів європейських держав з названими міжнародними регіональними судами, а також міжнародних регіональних судів між собою, становить особливий інтерес для наукового аналізу, що пояснюється як значним досвідом судового співробітництва, накопиченого ними, так і новизною правових форм і механізмів співробітництва, які постійно вимагають теоретичного осмислення. Враховуючи те, що Україна є членом Ради Європи та активно співпрацює на європейському політико-правовому просторі, вивчення даних питань набуває особливої актуальності. Крім того, саме на європейському правовому полі планується створення «європейського простору правосуддя», що обов’язково потрібно враховувати при проведенні в Україні чергової судової реформи, яка має принести у вітчизняну судову систему довгоочікувану стабільність і прозорість.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b/>
          <w:sz w:val="28"/>
          <w:szCs w:val="28"/>
          <w:lang w:val="uk-UA"/>
        </w:rPr>
        <w:t xml:space="preserve">Мета дослідження </w:t>
      </w:r>
      <w:r w:rsidRPr="00E45578">
        <w:rPr>
          <w:rFonts w:ascii="Times New Roman" w:eastAsia="Calibri" w:hAnsi="Times New Roman" w:cs="Times New Roman"/>
          <w:sz w:val="28"/>
          <w:szCs w:val="28"/>
          <w:lang w:val="uk-UA"/>
        </w:rPr>
        <w:t xml:space="preserve">полягає у вивченні міжнародно-правової природи, різних механізмів і засобів міжнародної взаємодії судових органів України, а також перспектив розвитку міжнародно-правового регулювання такої взаємодії. </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b/>
          <w:sz w:val="28"/>
          <w:szCs w:val="28"/>
          <w:lang w:val="uk-UA"/>
        </w:rPr>
        <w:t xml:space="preserve">Завданнями дослідження </w:t>
      </w:r>
      <w:r w:rsidRPr="00E45578">
        <w:rPr>
          <w:rFonts w:ascii="Times New Roman" w:eastAsia="Calibri" w:hAnsi="Times New Roman" w:cs="Times New Roman"/>
          <w:sz w:val="28"/>
          <w:szCs w:val="28"/>
          <w:lang w:val="uk-UA"/>
        </w:rPr>
        <w:t xml:space="preserve">є формулювання та аналіз юридичного змісту поняття «міжнародно-правова взаємодія судових органів»; дослідження факторів, що сприяють взаємодії судових органів на європейському просторі;  визначення міжнародно-правової природи й форм взаємодії судових органів, що складаються в рамках їх діяльності по відправленню правосуддя, а також класифікувати дані форми співробітництва в сфері цивільного, господарського, кримінального та адміністративного правосуддя; </w:t>
      </w:r>
      <w:r w:rsidRPr="00E45578">
        <w:rPr>
          <w:rFonts w:ascii="Times New Roman" w:eastAsia="Calibri" w:hAnsi="Times New Roman" w:cs="Times New Roman"/>
          <w:sz w:val="28"/>
          <w:szCs w:val="28"/>
          <w:lang w:val="uk-UA"/>
        </w:rPr>
        <w:lastRenderedPageBreak/>
        <w:t>дослідження умов застосування різноманітних механізмів та інструментів взаємодії судових органів, використовуваних на національному рівні вищими судовими інстанціями; виявити проблеми міжнародно-правової взаємодії українських судів; сформулювати пропозиції щодо розвитку і вдосконалюванню існуючих механізмів міжнародно-правового взаємодії українських судів.</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b/>
          <w:sz w:val="28"/>
          <w:szCs w:val="28"/>
          <w:lang w:val="uk-UA"/>
        </w:rPr>
        <w:t xml:space="preserve">Об’єктом дослідження  </w:t>
      </w:r>
      <w:r w:rsidRPr="00E45578">
        <w:rPr>
          <w:rFonts w:ascii="Times New Roman" w:eastAsia="Calibri" w:hAnsi="Times New Roman" w:cs="Times New Roman"/>
          <w:sz w:val="28"/>
          <w:szCs w:val="28"/>
          <w:lang w:val="uk-UA"/>
        </w:rPr>
        <w:t xml:space="preserve">є правові відносини, що складаються між вищими судовими органами України, зокрема, Верховним Судом України та Конституційним Судом України, а також судами під час відправлення правосуддя по цивільним, господарським, кримінальним та адміністративним справам та судовими органами інших європейських держав  і міжнародними регіональними судами (Європейським судом з прав людини, Судом ЄС та ін.).  </w:t>
      </w:r>
    </w:p>
    <w:p w:rsidR="00E45578" w:rsidRPr="00E45578" w:rsidRDefault="00E45578" w:rsidP="00E45578">
      <w:pPr>
        <w:spacing w:after="0" w:line="360" w:lineRule="auto"/>
        <w:ind w:firstLine="708"/>
        <w:jc w:val="both"/>
        <w:rPr>
          <w:rFonts w:ascii="Times New Roman" w:eastAsia="Calibri" w:hAnsi="Times New Roman" w:cs="Times New Roman"/>
          <w:b/>
          <w:sz w:val="28"/>
          <w:szCs w:val="28"/>
          <w:lang w:val="uk-UA"/>
        </w:rPr>
      </w:pPr>
      <w:r w:rsidRPr="00E45578">
        <w:rPr>
          <w:rFonts w:ascii="Times New Roman" w:eastAsia="Calibri" w:hAnsi="Times New Roman" w:cs="Times New Roman"/>
          <w:b/>
          <w:sz w:val="28"/>
          <w:szCs w:val="28"/>
          <w:lang w:val="uk-UA"/>
        </w:rPr>
        <w:t>Предметом дослідження</w:t>
      </w:r>
      <w:r w:rsidRPr="00E45578">
        <w:rPr>
          <w:rFonts w:ascii="Times New Roman" w:eastAsia="Calibri" w:hAnsi="Times New Roman" w:cs="Times New Roman"/>
          <w:sz w:val="28"/>
          <w:szCs w:val="28"/>
          <w:lang w:val="uk-UA"/>
        </w:rPr>
        <w:t xml:space="preserve"> є система норм національного та європейського законодавства, яка регламентує можливість міжнародного співробітництва українських судів; судова практика національних і міжнародних регіональних судів (Суду ЄС, Європейського суду із прав людини і т.д.), яка є правовою основою для подальшого розвитку міжнародного співробітництва українських судів.</w:t>
      </w:r>
    </w:p>
    <w:p w:rsidR="00E45578" w:rsidRPr="00E45578" w:rsidRDefault="00E45578" w:rsidP="00E45578">
      <w:pPr>
        <w:spacing w:after="0" w:line="360" w:lineRule="auto"/>
        <w:ind w:firstLine="708"/>
        <w:jc w:val="both"/>
        <w:rPr>
          <w:rFonts w:ascii="Times New Roman" w:eastAsia="Calibri" w:hAnsi="Times New Roman" w:cs="Times New Roman"/>
          <w:sz w:val="28"/>
          <w:szCs w:val="28"/>
          <w:lang w:val="uk-UA"/>
        </w:rPr>
      </w:pPr>
      <w:r w:rsidRPr="00E45578">
        <w:rPr>
          <w:rFonts w:ascii="Times New Roman" w:eastAsia="Calibri" w:hAnsi="Times New Roman" w:cs="Times New Roman"/>
          <w:b/>
          <w:sz w:val="28"/>
          <w:szCs w:val="28"/>
          <w:lang w:val="uk-UA"/>
        </w:rPr>
        <w:t xml:space="preserve">Методологічну основу </w:t>
      </w:r>
      <w:r w:rsidRPr="00E45578">
        <w:rPr>
          <w:rFonts w:ascii="Times New Roman" w:eastAsia="Calibri" w:hAnsi="Times New Roman" w:cs="Times New Roman"/>
          <w:sz w:val="28"/>
          <w:szCs w:val="28"/>
          <w:lang w:val="uk-UA"/>
        </w:rPr>
        <w:t xml:space="preserve">дослідження складають загальнонаукові й спеціально-наукові діалектичні методи пізнання. У процесі роботи використовувалися методи аналізу й синтезу, комплексного підходу, логічний і функціональний, порівняльного правознавства, формально-юридичний і наукового моделювання, методи тлумачення закону й тлумачення права. Особливу важливість для даного дослідження має метод порівняльно-правового аналізу, використання якого пояснюється тим, що предметом дослідження є правові норми різних правових систем.  </w:t>
      </w:r>
    </w:p>
    <w:p w:rsidR="00E45578" w:rsidRPr="00E45578" w:rsidRDefault="00E45578" w:rsidP="00E45578">
      <w:pPr>
        <w:spacing w:after="0" w:line="360" w:lineRule="auto"/>
        <w:ind w:firstLine="708"/>
        <w:jc w:val="both"/>
        <w:rPr>
          <w:rFonts w:ascii="Times New Roman" w:eastAsia="Calibri" w:hAnsi="Times New Roman" w:cs="Times New Roman"/>
          <w:b/>
          <w:sz w:val="28"/>
          <w:szCs w:val="28"/>
          <w:lang w:val="uk-UA"/>
        </w:rPr>
      </w:pPr>
    </w:p>
    <w:p w:rsidR="008A6BFB" w:rsidRDefault="008A6BFB">
      <w:pPr>
        <w:rPr>
          <w:lang w:val="uk-UA"/>
        </w:rPr>
      </w:pPr>
    </w:p>
    <w:p w:rsidR="00E45578" w:rsidRDefault="00E45578">
      <w:pPr>
        <w:rPr>
          <w:lang w:val="uk-UA"/>
        </w:rPr>
      </w:pPr>
    </w:p>
    <w:p w:rsidR="00E45578" w:rsidRDefault="00E45578">
      <w:pPr>
        <w:rPr>
          <w:lang w:val="uk-UA"/>
        </w:rPr>
      </w:pPr>
    </w:p>
    <w:p w:rsidR="00E45578" w:rsidRPr="00E45578" w:rsidRDefault="00E45578" w:rsidP="00E45578">
      <w:pPr>
        <w:spacing w:after="0" w:line="360" w:lineRule="auto"/>
        <w:jc w:val="center"/>
        <w:rPr>
          <w:rFonts w:ascii="Times New Roman" w:eastAsia="Calibri" w:hAnsi="Times New Roman" w:cs="Times New Roman"/>
          <w:b/>
          <w:bCs/>
          <w:iCs/>
          <w:sz w:val="28"/>
          <w:szCs w:val="28"/>
          <w:lang w:val="uk-UA"/>
        </w:rPr>
      </w:pPr>
      <w:r w:rsidRPr="00E45578">
        <w:rPr>
          <w:rFonts w:ascii="Times New Roman" w:eastAsia="Calibri" w:hAnsi="Times New Roman" w:cs="Times New Roman"/>
          <w:b/>
          <w:bCs/>
          <w:iCs/>
          <w:sz w:val="28"/>
          <w:szCs w:val="28"/>
          <w:lang w:val="uk-UA"/>
        </w:rPr>
        <w:lastRenderedPageBreak/>
        <w:t>ВИСНОВКИ</w:t>
      </w:r>
    </w:p>
    <w:p w:rsidR="00E45578" w:rsidRPr="00E45578" w:rsidRDefault="00E45578" w:rsidP="00E45578">
      <w:pPr>
        <w:spacing w:after="0" w:line="360" w:lineRule="auto"/>
        <w:jc w:val="center"/>
        <w:rPr>
          <w:rFonts w:ascii="Times New Roman" w:eastAsia="Calibri" w:hAnsi="Times New Roman" w:cs="Times New Roman"/>
          <w:b/>
          <w:bCs/>
          <w:iCs/>
          <w:color w:val="FF0000"/>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На сучасному етапі міжнародних відносин збільшується потреба в погодженій діяльності держав по захисту інтересів особистості, суспільства, держави, міжнародного співтовариства від транснаціональних злочинних зазіхань, а також по забезпеченню законних прав і інтересів громадян і юридичних осіб і сприянню ефективному відправленню правосуддя в різних видах судочинства.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Аналіз взаємин між національними судовими органами різних держав, а також  відносин  національних  судів з  міжнародними судовими органами дозволив визначити основні фактори, які сприятливі для розширення взаємодії судових органів у Європі.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До них відноситься, по-перше, юридична глобалізація, найбільше повно здійснювана в області основних прав і свобод людини, яка супроводжується процесом «нормативної інфляції», що породжує потребу не тільки гармонізації законодавства, але й діалогу судових органів, а також збільшення їх ролі в забезпеченні основних прав і свобод.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Необхідною умовою розвитку співробітництва судів в Європі є гармонізація законодавства її країн. Джерела гармонізації або зближення законодавств європейських держав численні й в основному беруть початок у праві Європейського Союзу й праві Ради Європи.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Формування й розвиток інтеграційних процесів в Європі, призводить до посилення взаємодії судових органів європейському просторі. Розширенню взаємодії між судами європейських держав сприяє розвиток механізму контролю над дотриманням Європейської конвенції із прав людини у державах – учасниках конвенції.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Об’єктивно вже саме існування Суду ЄС і Європейського суду з прав людини є необхідною умовою становлення й розвитку взаємодії судових органів у Європі на різних рівнях (між судами різних держав і європейськими судами міждержавного характеру).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lastRenderedPageBreak/>
        <w:t xml:space="preserve">Відносини між судовими органами європейських правових систем вже не обтяжені класичними механізмами міжнародного права, що дозволяє виявити різновиди співробітництва між ними. Перший вид - це класичне співробітництво, що представляє собою взаємодію держав у сфері правосуддя, у рамках якої відносини між судовими органами здійснюються за допомогою взаємодії національних органів виконавчої влади (міністерств юстиції). Другий вид співробітництва відрізняється поглибленою взаємодією держав, у процесі якого відносини в правовій сфері вибудовуються прямо між національними судами. Таке співробітництво виключає посередництво органів виконавчої влади взаємодіючих країн. Третій вид співробітництва можна кваліфікувати як «принцип взаємного визнання судових рішень», який виступає одним з основних принципів створення «європейського простору правосуддя», який є фактично сукупністю правових основ для взаємодії між міжнародними регіональними судами, що діють на європейському просторі. На цьому рівні співробітництво судових органів є вже менш значимим, тому що взаємне визнання судових рішень припускає, що суди одного правової системи в певній мері є й судами іншої правової системи, з якою встановлюється взаємодія в сфері правосуддя.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Виявлені різновиди взаємодії судових органів дозволяють стверджувати про незавершеність формування в цей час загальноєвропейського простору правосуддя, який у роботі визначений у якості  формування правових основ для взаємодії між міжнародними регіональними судами, що діють на загальноєвропейському просторі, їхньої взаємодії з національними судами  держав.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Зазначимо, що характер міжнародно-правової взаємодії судових органів  (слабко або сильно інтегрований) залежить або від рівня інтеграції національних правових систем  держав і їх судів, або від наявності або відсутності спеціальних процесуальних механізмів забезпечення єдності правозастосування в правовій системі окремої держави.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lastRenderedPageBreak/>
        <w:t xml:space="preserve">Крім того, взаємодія між регіональними й національними судами, яка реалізована за відсутності спеціальних процедурних механізмів, здійснюється винятково за допомогою впливу судової практики регіональних судів на національну судову практику. Такі відносини, засновані на пріоритеті регіонального правопорядку над національними правопорядками держав та  підтримуються обов’язковою силою рішень регіональних судів щодо національних органів правосуддя.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Наразі є необхідність упорядкування процедур узгодження правових позицій європейських судових органів шляхом розробки й прийняття міжнародно-правових актів між європейськими організаціями і їх державами – членами, що дозволить покращити рівень взаємодії судових органів.</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Аналіз міжнародно-правових норм, доктрини й практики взаємодії судових органів у Європі дозволяє зробити висновок, що в науці міжнародного права складається самостійний напрямок дослідження міжнародно-правових основ взаємодії судів в окремих регіонах.</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Крім того, реформування судової системи й судочинства незалежної України, викликало нагальну потребу в розвиткові міжнародних зв’язків як Верховного Суду України так і Конституційного Суду України, з метою вивчення світового досвіду в сфері судочинства, поліпшення поінформованості суддів про роботу зарубіжних судових органів, міжнародних правових установ, підтримання відносин із ними, підвищення рівня професійної кваліфікації суддів та працівників суду та, найголовніше, запровадження міжнародних стандартів в області захисту прав і свобод людини під час відправлення правосуддя в Україні.</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Розпочате в середині 90-х років минулого століття міжнародне співробітництво Верховного Суду України триває й досі та значно поглиблюється.</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Формою міжнародного співробітництва Верховного Суду України є опосередковане співробітництво на рівні діалогу та укладання угод з вищими судовими інстанціями інших країн, розробці та впровадженні спільних </w:t>
      </w:r>
      <w:r w:rsidRPr="00E45578">
        <w:rPr>
          <w:rFonts w:ascii="Times New Roman" w:eastAsia="Calibri" w:hAnsi="Times New Roman" w:cs="Times New Roman"/>
          <w:bCs/>
          <w:iCs/>
          <w:sz w:val="28"/>
          <w:szCs w:val="28"/>
          <w:lang w:val="uk-UA"/>
        </w:rPr>
        <w:lastRenderedPageBreak/>
        <w:t>проектів покращення стану правосуддя в Україні. Також, формою міжнародного співробітництва Верховного Суду України  є його взаємодія з міжнародними регіональними судами ЄС, щодо імплементації їх рішень в правову систему України.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Проблемами міжнародного співробітництва Верховного Суду України можна вважати, насамперед, наявність суто технічних проблем, зокрема, дублювання цілей покращення стану правосуддя в Україні різними за своєю суттю проектами, що призводить до їх непорозуміння на місцевому рівні; наявність мовного бар’єру та відсутність подекуди системного підходу до впровадження модельних заходів, що пропонуються партнерами. Наразі процес вирішення цих проблем передбачає їх усунення шляхом внесення коректив у норми чинного законодавства та прийняття нових підзаконних актів на рівні Уряду та Президента, а також поетапність контролю за впровадженням новацій в судову систему України.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Інший блок проблем, пов’язаний з вибірковим тлумаченням рішень Європейського суду з прав людини Верховним Судом України. Таке, не завжди однакове, відношення вищої судової інстанції України до загальновизнаних на європейському просторі рішень Європейського суду з прав людини, безперечно не підвищує рівень довіри до судової влади як з боку громадян так і з боку мирової спільноти.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Вирішення цієї проблеми є негайною потребою, однак саме вирішення залежатиме перш за все від оперативності початку функціонування оновленого Верховного Суду України та по-друге від якості самого оновлення.</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На відміну від Верховного Суду України, проблем застосування міжнародних стандартів в діяльності Конституційного Суду України в процесуальному плані майже не виникає. Відмітимо, що Конституційний Суд України вже тривалий час вельми широко використовує у своїй практиці міжнародні стандарти прав людини. Загалом застосування Конституційним Судом України норм міжнародного права можна назвати достатньо ефективним, оскільки Суд розглядає справи не лише з урахуванням </w:t>
      </w:r>
      <w:r w:rsidRPr="00E45578">
        <w:rPr>
          <w:rFonts w:ascii="Times New Roman" w:eastAsia="Calibri" w:hAnsi="Times New Roman" w:cs="Times New Roman"/>
          <w:bCs/>
          <w:iCs/>
          <w:sz w:val="28"/>
          <w:szCs w:val="28"/>
          <w:lang w:val="uk-UA"/>
        </w:rPr>
        <w:lastRenderedPageBreak/>
        <w:t>міжнародних договорів, які є частиною законодавства України, але й з урахуванням світової практики, виразом якої можна вважати резолюції міжнародних організацій та рішення міжнародних судових органів.</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Крім того, використання в практиці Конституційного Суду України міжнародно-правових норм досить успішно віддзеркалює загальносвітові та загальноєвропейські тенденції розвитку в сфері захисту прав людини. Як результат рішення Конституційного Суду України не лише демонструють ті чи інші підходи до проблем, що виникають, але й встановлюють орієнтири як для правозастосовчих так і для законодавчих органів в Україні.</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Однак, забезпечення конституційного ладу Конституційним Судом України у сучасних умовах ускладнюється глобалізаційними процесами. Так, з урахуванням обмеженості природних ресурсів та низкою соціальних, економічних, екологічних та зовнішньополітичних проблем, воєнної агресії які іманентно є викликами для народу України, проблема ефективності та дієвості політики держави є важливою складовою для визначення місця і ролі України серед європейської, насамперед, та мирової спільноти.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В цьому зв’язку, покладене на Конституційний Суд України забезпечення охорони як основних прав і свобод людини та громадянина в Україні, так і суверенітету та територіальної цілісності самої України, напряму залежить від взаємодії Конституційного Суду України з провідними європейськими судовими інстанціями, що наразі втілюється в численних міжнародних проектах, участь в яких бере і Конституційний Суд України.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З огляду на важливість забезпечення гарантій реалізації прав і сход людини і громадянина, для аналізу галузевої міжнародної взаємодії судових органів України, нами вибрані наступні форми судочинства: цивільне, господарське, кримінальне, адміністративне.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На сьогодні судове співробітництво у цивільних справах спрямоване на встановлення більш тісних контактів між органами влади різних держав. Основою для співробітництва держав є принцип взаємного визнання та виконання судових рішень та рішень у позасудових справах. Судове </w:t>
      </w:r>
      <w:r w:rsidRPr="00E45578">
        <w:rPr>
          <w:rFonts w:ascii="Times New Roman" w:eastAsia="Calibri" w:hAnsi="Times New Roman" w:cs="Times New Roman"/>
          <w:bCs/>
          <w:iCs/>
          <w:sz w:val="28"/>
          <w:szCs w:val="28"/>
          <w:lang w:val="uk-UA"/>
        </w:rPr>
        <w:lastRenderedPageBreak/>
        <w:t>співробітництво у цивільних справах є частиною сфери правосуддя, свободи та безпеки, що регулюється Договором про функціонування Європейського Союзу.</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Міжнародну правову допомогу по цивільних справах можна визначити як сукупність дій, чинених компетентними національними органами й посадовими особами одного держави, по наданню сприяння як у здійсненні правосуддя по цивільних справах, так і за рішенням позасудових питань, відповідним до органів і посадовим особам іншої держави, регламентованих комплексом міжнародних і внутрішньодержавних юридичних норм.</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Комплекс правовідносин у сфері міжнародної правової допомоги по цивільних справах можна розділити на дві групи: міжнародний механізм і внутрішньодержавний механізм її реалізації.</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Першу групу становлять міждержавні відносини, які проявляються в наступному: Держава вступає у відносини з міжнародною організацією із приводу приєднання до прийнятої нею багатобічної конвенції, що стосується надання міжнародної правової допомоги. Держава вступає у відносини з іншою державою із приводу висновку міжнародного договору, що регламентує порядок здійснення міжнародної правової допомоги по цивільних справах, або взагалі можливості її здійснення при відсутності відповідного договору. Уповноважений орган одного держави зноситься з уповноваженим органом іншої з метою приймання й передачі результатів міжнародної правової допомоги (процесуальних документів, правової інформації, позасудових документів, і т.п. залежно від форми міжнародної правової допомоги).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Друга група правовідносин носить внутрішньодержавний характер. Вона містить у собі: Відносини державного органа-ініціатора міжнародної правової допомоги по цивільних справах (як правило - установ юстиції) запитуваної держави з національними державними органами, наприклад, з вищим органом, з іншими державними органами (правовідносини носить адміністративний характер). Установа, що виконує доручення, вступає у </w:t>
      </w:r>
      <w:r w:rsidRPr="00E45578">
        <w:rPr>
          <w:rFonts w:ascii="Times New Roman" w:eastAsia="Calibri" w:hAnsi="Times New Roman" w:cs="Times New Roman"/>
          <w:bCs/>
          <w:iCs/>
          <w:sz w:val="28"/>
          <w:szCs w:val="28"/>
          <w:lang w:val="uk-UA"/>
        </w:rPr>
        <w:lastRenderedPageBreak/>
        <w:t>відносини із суб'єктом, у відношенні якого виконуються дії в порядку надання міжнародної правової допомоги по цивільних справах (правовідносини носить процесуальний характер).</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До форм міжнародної правової допомоги по цивільних справах можна віднести всі ті судові й позасудові дії, із приводу здійснення яких зав’язують свої стосунки компетентні органи держав: виконання доручень про здійснення окремих процесуальних дій (опитування сторін, третіх осіб, свідків, проведення експертизи, вручення документів, дослідження й передача доказів); виклик учасників процесу (позивачів, відповідачів, свідків, експертів, інших) в іноземну державу; надання інформації про законодавство й правозастосовну практику, а також іншої правової інформації (установлення адрес і інших даних); визнання й виконання судових рішень по цивільних і сімейних справах, виконавчих написів; проведення позасудових юридично значимих дій.</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Проблема правової регламентації міжнародної правової допомоги по цивільних справах в Європі реально стала вирішуватися лише із другої половини XX століття. Із цього періоду, внаслідок широкої інтеграції держав у сфері міжнародного правового співробітництва, міжнародні правові норми поступово стали трансформуватися у внутрішньодержавне право багатьох держав.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Наразі, в Україні регламентація міжнародної правової допомоги по цивільних справах на місцевому рівні забезпечується цілою низкою як внутрішніх нормативних актів так і чималою кількістю міжнародних документів.</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Говорячи про міжнародну правову допомогу, яка здійснюється по цивільних справах, ми виходимо з того, що в поняття цивільні справи включаються як цивільні справи, розглянуті судами загальної юрисдикції, так і справи, підвідомчі господарським судам. У цілому міжнародна правова допомога по цивільних справах, надавана судами загальної юрисдикції й господарськими, співвідноситься як загальне й спеціальне.</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lastRenderedPageBreak/>
        <w:t>Наразі, в Україні регламентація міжнародної правової допомоги по господарських справах здійснюється за допомогою норм Розділу XV «Провадження у справах за участю іноземних суб’єктів господарювання» Господарського процесуального кодексу України.</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Система міжнародного судочинства по кримінальним справам має досить давню історію свого створення. Аналізуючи історію розвитку та становлення міжнародної кримінальної юстиції можна виділити наступні етапи: перший етап – до Першої світової війни; другий етап – період Першої та Другої світових війн; третій етап - Нюрнберзький та Токійський трибунали; четвертий – створення трибуналів ad hoc щодо колишньої Югославії та Руанди; п’ятий етап – створення Міжнародного кримінального суду.</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На сучасному етапі глобалізація злочинності, зростання транснаціональних організованих злочинних угруповань, взаємопроникнення злочинності та окремих злочинців на території різних держав світу вимагають координації діяльності правоохоронних органів різних країн, зміцнення і активізації міжнародного співробітництва держав у боротьбі зі злочинністю, що було підтверджено у Бангкокській декларації 2005 року.</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Наразі, Кримінальний процесуальний кодекс України містить окремий розділ ІХ «Міжнародне співробітництво під час кримінального провадження» , що включає з’ясування таких окремих положень, що стосуються загальних засад міжнародного співробітництва, міжнародної правової допомоги під час проведення процесуальних дій, видачі осіб, які вчинили кримінальне правопорушення (екстрадиція), кримінального провадження у порядку перейняття, визнання та виконання вироків іноземних судів та передання засуджених осіб.</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Міжнародна правова допомога є офіційною діяльністю державних органів, яка здійснюється на підставі міжнародних договорів. Договори про правову допомогу забезпечують найбільш повне здійснення національної юрисдикції й уникнення конфлікту юрисдикцій – саме з цією метою держави їх укладають. З появою міжнародних судових органів міжнародні договори </w:t>
      </w:r>
      <w:r w:rsidRPr="00E45578">
        <w:rPr>
          <w:rFonts w:ascii="Times New Roman" w:eastAsia="Calibri" w:hAnsi="Times New Roman" w:cs="Times New Roman"/>
          <w:bCs/>
          <w:iCs/>
          <w:sz w:val="28"/>
          <w:szCs w:val="28"/>
          <w:lang w:val="uk-UA"/>
        </w:rPr>
        <w:lastRenderedPageBreak/>
        <w:t>можуть передбачати можливість надання правової допомоги для здійснення міжнародної кримінальної юрисдикції.</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В Україні діє чимала кількість міжнародних нормативних документів, що регламентує міжнародну правову допомогу по кримінальним справам.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Процедурний порядок надання міжнародної правової допомоги в Україні регламентований Кримінальним процесуальним кодексом України та передбачає можливість надання запиту до іншої держави щодо огляду, допиту чи інших процесуальних дій у відношенні підозрюваного; також передбачений інститут екстрадиції та перейняття кримінального провадження. Особливе місце у механізмі взаємодії судів по кримінальним справам займає процедура визнання та виконання вироків судів іноземних держав та передача засуджених осіб.</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Основне завдання адміністративного судочинства полягає у захисті прав та законних інтересів особи в публічно-правових спорах від порушень з боку органів влади, органів місцевого самоврядування, їх службових чи посадових осіб. Адміністративні суди розглядають всі справи, пов’язані зі спорами фізичних або юридичних осіб із суб’єктом владних повноважень щодо оскарження його рішень, дій чи бездіяльності.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В Україні до середини 90-х років ХХ століття фактично не існувало в завершеному вигляді правового захисту фізичних осіб у відносинах з адміністративними органами.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В зв’язку з цим міжнародна взаємодія адміністративних судів України – це надбання останніх років.</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Сучасна міжнародна взаємодія судових органів України в сфері адміністративного судочинства розвивається в певних напрямах. По перше, це розв’язання проблем, пов’язаних з реалізацією виборчого права. По-друге, це вирішення справ за позовами фізичних осіб до Управління пенсійного фонду України про визнання бездіяльності щодо ненарахування та невиплати різних надбавок до пенсії.</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lastRenderedPageBreak/>
        <w:t xml:space="preserve">Щодо безпосередніх міжнародних взаємовідносин адміністративних судів України, то тут необхідні відмітити як їх участь у загальних міжнародних програмах співпраці судових органів, так і участь у спеціальних проектах.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r w:rsidRPr="00E45578">
        <w:rPr>
          <w:rFonts w:ascii="Times New Roman" w:eastAsia="Calibri" w:hAnsi="Times New Roman" w:cs="Times New Roman"/>
          <w:bCs/>
          <w:iCs/>
          <w:sz w:val="28"/>
          <w:szCs w:val="28"/>
          <w:lang w:val="uk-UA"/>
        </w:rPr>
        <w:t xml:space="preserve">Взагалі, що стосується пропозицій покращення міжнародної взаємодії судових органів України в різних видах судочинства, то тут потрібно перш за все наголосити, що сфери вітчизняного процесуального законодавства знаходяться на безпосередній стадії реформування та прийняття нових, подекуди радикально новаторських, процесуальних кодексів. В зв’язку з цим, потрібен час адаптації їх норм до тих умов міжнародної взаємодії судових органів, що вже склалися на європейському просторі та регламентовані міжнародними актами.  </w:t>
      </w: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ind w:firstLine="708"/>
        <w:jc w:val="both"/>
        <w:rPr>
          <w:rFonts w:ascii="Times New Roman" w:eastAsia="Calibri" w:hAnsi="Times New Roman" w:cs="Times New Roman"/>
          <w:bCs/>
          <w:iCs/>
          <w:sz w:val="28"/>
          <w:szCs w:val="28"/>
          <w:lang w:val="uk-UA"/>
        </w:rPr>
      </w:pPr>
    </w:p>
    <w:p w:rsidR="00E45578" w:rsidRPr="00E45578" w:rsidRDefault="00E45578" w:rsidP="00E45578">
      <w:pPr>
        <w:spacing w:after="0" w:line="360" w:lineRule="auto"/>
        <w:jc w:val="center"/>
        <w:rPr>
          <w:rFonts w:ascii="Times New Roman" w:eastAsia="Calibri" w:hAnsi="Times New Roman" w:cs="Times New Roman"/>
          <w:b/>
          <w:bCs/>
          <w:iCs/>
          <w:sz w:val="28"/>
          <w:szCs w:val="28"/>
          <w:lang w:val="uk-UA"/>
        </w:rPr>
      </w:pPr>
      <w:r w:rsidRPr="00E45578">
        <w:rPr>
          <w:rFonts w:ascii="Times New Roman" w:eastAsia="Calibri" w:hAnsi="Times New Roman" w:cs="Times New Roman"/>
          <w:b/>
          <w:bCs/>
          <w:iCs/>
          <w:sz w:val="28"/>
          <w:szCs w:val="28"/>
          <w:lang w:val="uk-UA"/>
        </w:rPr>
        <w:t>СПИСОК ВИКОРИСТАНИХ ДЖЕРЕЛ</w:t>
      </w:r>
    </w:p>
    <w:p w:rsidR="00E45578" w:rsidRPr="00E45578" w:rsidRDefault="00E45578" w:rsidP="00E45578">
      <w:pPr>
        <w:spacing w:after="0" w:line="360" w:lineRule="auto"/>
        <w:jc w:val="center"/>
        <w:rPr>
          <w:rFonts w:ascii="Times New Roman" w:eastAsia="Calibri" w:hAnsi="Times New Roman" w:cs="Times New Roman"/>
          <w:b/>
          <w:bCs/>
          <w:iCs/>
          <w:sz w:val="28"/>
          <w:szCs w:val="28"/>
          <w:lang w:val="uk-UA"/>
        </w:rPr>
      </w:pP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Barbe E.  L'espace judiciaire européen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Е. Barbe. – Paris: La Documentation française, Réflexe Europe, 2007. – 190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Brysk A. Globalization of Law and Human Rights: From Norms to Fulfillment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А. Brysk.  - </w:t>
      </w:r>
      <w:r w:rsidRPr="00E45578">
        <w:rPr>
          <w:rFonts w:ascii="Times New Roman" w:eastAsia="Calibri" w:hAnsi="Times New Roman" w:cs="Times New Roman"/>
          <w:sz w:val="28"/>
          <w:szCs w:val="28"/>
          <w:lang w:val="en-US"/>
        </w:rPr>
        <w:t>London:</w:t>
      </w:r>
      <w:r w:rsidRPr="00E45578">
        <w:rPr>
          <w:rFonts w:ascii="Times New Roman" w:eastAsia="Calibri" w:hAnsi="Times New Roman" w:cs="Times New Roman"/>
          <w:sz w:val="28"/>
          <w:szCs w:val="28"/>
          <w:lang w:val="uk-UA"/>
        </w:rPr>
        <w:t xml:space="preserve"> Routledge,  2013. - 244  p.</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Case C-176/03 Commission v Council, 13/09/2005, ECR I-07879. </w:t>
      </w:r>
      <w:r w:rsidRPr="00E45578">
        <w:rPr>
          <w:rFonts w:ascii="Times New Roman" w:eastAsia="Calibri" w:hAnsi="Times New Roman" w:cs="Times New Roman"/>
          <w:sz w:val="28"/>
          <w:szCs w:val="28"/>
          <w:lang w:val="en-US"/>
        </w:rPr>
        <w:t>[Electronic resourse]. -</w:t>
      </w:r>
      <w:r w:rsidRPr="00E45578">
        <w:rPr>
          <w:rFonts w:ascii="Times New Roman" w:eastAsia="Calibri" w:hAnsi="Times New Roman" w:cs="Times New Roman"/>
          <w:color w:val="1A1A1A"/>
          <w:sz w:val="28"/>
          <w:szCs w:val="28"/>
          <w:shd w:val="clear" w:color="auto" w:fill="FFFFFF"/>
          <w:lang w:val="en-US"/>
        </w:rPr>
        <w:t xml:space="preserve"> Access mode:</w:t>
      </w:r>
      <w:r w:rsidRPr="00E45578">
        <w:rPr>
          <w:rFonts w:ascii="Arial" w:eastAsia="Calibri" w:hAnsi="Arial" w:cs="Arial"/>
          <w:color w:val="1A1A1A"/>
          <w:sz w:val="20"/>
          <w:szCs w:val="20"/>
          <w:shd w:val="clear" w:color="auto" w:fill="FFFFFF"/>
          <w:lang w:val="en-US"/>
        </w:rPr>
        <w:t xml:space="preserve">  </w:t>
      </w:r>
      <w:r w:rsidRPr="00E45578">
        <w:rPr>
          <w:rFonts w:ascii="Times New Roman" w:eastAsia="Calibri" w:hAnsi="Times New Roman" w:cs="Times New Roman"/>
          <w:sz w:val="28"/>
          <w:szCs w:val="28"/>
          <w:lang w:val="uk-UA"/>
        </w:rPr>
        <w:t xml:space="preserve">http://eur-lex.europa.eu/legal-content/EN/TXT/?uri=CELEX:62003CJ0176.  </w:t>
      </w:r>
      <w:r w:rsidRPr="00E45578">
        <w:rPr>
          <w:rFonts w:ascii="Times New Roman" w:eastAsia="Calibri" w:hAnsi="Times New Roman" w:cs="Times New Roman"/>
          <w:sz w:val="28"/>
          <w:szCs w:val="28"/>
        </w:rPr>
        <w:t>–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Costache M. Aspects Regarding the Judicial Cooperation in Civil and Commercial Matters  / </w:t>
      </w:r>
      <w:r w:rsidRPr="00E45578">
        <w:rPr>
          <w:rFonts w:ascii="Times New Roman" w:eastAsia="Calibri" w:hAnsi="Times New Roman" w:cs="Times New Roman"/>
          <w:iCs/>
          <w:sz w:val="28"/>
          <w:szCs w:val="28"/>
          <w:lang w:val="en-US"/>
        </w:rPr>
        <w:t>Mirela Costache</w:t>
      </w:r>
      <w:r w:rsidRPr="00E45578">
        <w:rPr>
          <w:rFonts w:ascii="Times New Roman" w:eastAsia="Calibri" w:hAnsi="Times New Roman" w:cs="Times New Roman"/>
          <w:sz w:val="28"/>
          <w:szCs w:val="28"/>
          <w:lang w:val="uk-UA"/>
        </w:rPr>
        <w:t xml:space="preserve"> // EIRP Proceedings. – 2009. – Vol. 4 . – P. 473‒477.</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Convention</w:t>
      </w:r>
      <w:r w:rsidRPr="00E45578">
        <w:rPr>
          <w:rFonts w:ascii="Times New Roman" w:eastAsia="Calibri" w:hAnsi="Times New Roman" w:cs="Times New Roman"/>
          <w:bCs/>
          <w:sz w:val="28"/>
          <w:szCs w:val="28"/>
          <w:lang w:val="uk-UA"/>
        </w:rPr>
        <w:t xml:space="preserve"> concernant la compétence judiciaire et l'exécution des décisions en matières civile et commerciale. </w:t>
      </w:r>
      <w:r w:rsidRPr="00E45578">
        <w:rPr>
          <w:rFonts w:ascii="Times New Roman" w:eastAsia="Calibri" w:hAnsi="Times New Roman" w:cs="Times New Roman"/>
          <w:bCs/>
          <w:sz w:val="28"/>
          <w:szCs w:val="28"/>
          <w:lang w:val="en-US"/>
        </w:rPr>
        <w:t>[Electronic resourse]. - Access mode: </w:t>
      </w:r>
      <w:r w:rsidRPr="00E45578">
        <w:rPr>
          <w:rFonts w:ascii="Times New Roman" w:eastAsia="Calibri" w:hAnsi="Times New Roman" w:cs="Times New Roman"/>
          <w:bCs/>
          <w:sz w:val="28"/>
          <w:szCs w:val="28"/>
          <w:lang w:val="uk-UA"/>
        </w:rPr>
        <w:t>https://curia.europa.eu/common/recdoc/convention/fr/c-textes/lug-idx.htm.</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bCs/>
          <w:sz w:val="28"/>
          <w:szCs w:val="28"/>
          <w:lang w:val="en-US"/>
        </w:rPr>
        <w:t>–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Convention de Bruxelles concernant la comptence judiciaire et l’excution des dcisions en matire civile et commerciale. </w:t>
      </w:r>
      <w:r w:rsidRPr="00E45578">
        <w:rPr>
          <w:rFonts w:ascii="Times New Roman" w:eastAsia="Calibri" w:hAnsi="Times New Roman" w:cs="Times New Roman"/>
          <w:bCs/>
          <w:sz w:val="28"/>
          <w:szCs w:val="28"/>
          <w:lang w:val="en-US"/>
        </w:rPr>
        <w:t>[Electronic resourse]. - Access mode: </w:t>
      </w:r>
      <w:r w:rsidRPr="00E45578">
        <w:rPr>
          <w:rFonts w:ascii="Times New Roman" w:eastAsia="Calibri" w:hAnsi="Times New Roman" w:cs="Times New Roman"/>
          <w:sz w:val="28"/>
          <w:szCs w:val="28"/>
          <w:lang w:val="uk-UA"/>
        </w:rPr>
        <w:t xml:space="preserve"> http://curia.europa.eu/common/recdoc/convention/fr/artidx/b&amp;artidx.htm.</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Council Regulation (EC) No 743/2002 of 25 April 2002 establishing a general Community framework of activities to facilitate the implementation of judicial cooperation in civil matters.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http://eur-lex.europa.eu/LexUriServ/ LexUriServ.do?uri=CELEX:32002R0743:EN:NOT.</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Danilenko G.  Implementation of International law in CIS States: Theory and Practice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G. </w:t>
      </w:r>
      <w:r w:rsidRPr="00E45578">
        <w:rPr>
          <w:rFonts w:ascii="Times New Roman" w:eastAsia="Calibri" w:hAnsi="Times New Roman" w:cs="Times New Roman"/>
          <w:sz w:val="28"/>
          <w:szCs w:val="28"/>
          <w:lang w:val="uk-UA"/>
        </w:rPr>
        <w:t>Danilenko</w:t>
      </w:r>
      <w:r w:rsidRPr="00E45578">
        <w:rPr>
          <w:rFonts w:ascii="Times New Roman" w:eastAsia="Calibri" w:hAnsi="Times New Roman" w:cs="Times New Roman"/>
          <w:sz w:val="28"/>
          <w:szCs w:val="28"/>
          <w:lang w:val="en-US"/>
        </w:rPr>
        <w:t xml:space="preserve"> </w:t>
      </w:r>
      <w:r w:rsidRPr="00E45578">
        <w:rPr>
          <w:rFonts w:ascii="Times New Roman" w:eastAsia="Calibri" w:hAnsi="Times New Roman" w:cs="Times New Roman"/>
          <w:sz w:val="28"/>
          <w:szCs w:val="28"/>
          <w:lang w:val="uk-UA"/>
        </w:rPr>
        <w:t xml:space="preserve">// European journal of International law, Oxford University Press. - 1999. </w:t>
      </w:r>
      <w:r w:rsidRPr="00E45578">
        <w:rPr>
          <w:rFonts w:ascii="Times New Roman" w:eastAsia="Calibri" w:hAnsi="Times New Roman" w:cs="Times New Roman"/>
          <w:sz w:val="28"/>
          <w:szCs w:val="28"/>
          <w:lang w:val="en-US"/>
        </w:rPr>
        <w:t xml:space="preserve">- </w:t>
      </w:r>
      <w:r w:rsidRPr="00E45578">
        <w:rPr>
          <w:rFonts w:ascii="Times New Roman" w:eastAsia="Calibri" w:hAnsi="Times New Roman" w:cs="Times New Roman"/>
          <w:sz w:val="28"/>
          <w:szCs w:val="28"/>
          <w:lang w:val="uk-UA"/>
        </w:rPr>
        <w:t>№</w:t>
      </w:r>
      <w:r w:rsidRPr="00E45578">
        <w:rPr>
          <w:rFonts w:ascii="Times New Roman" w:eastAsia="Calibri" w:hAnsi="Times New Roman" w:cs="Times New Roman"/>
          <w:sz w:val="28"/>
          <w:szCs w:val="28"/>
          <w:lang w:val="en-US"/>
        </w:rPr>
        <w:t>1</w:t>
      </w:r>
      <w:r w:rsidRPr="00E45578">
        <w:rPr>
          <w:rFonts w:ascii="Times New Roman" w:eastAsia="Calibri" w:hAnsi="Times New Roman" w:cs="Times New Roman"/>
          <w:sz w:val="28"/>
          <w:szCs w:val="28"/>
          <w:lang w:val="uk-UA"/>
        </w:rPr>
        <w:t xml:space="preserve">- Р. 51-69.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De Biolley S.  L'harmonisation des procédures.  Actualités de droit pénal européen</w:t>
      </w:r>
      <w:r w:rsidRPr="00E45578">
        <w:rPr>
          <w:rFonts w:ascii="Tahoma" w:eastAsia="Calibri" w:hAnsi="Tahoma" w:cs="Tahoma"/>
          <w:color w:val="000000"/>
          <w:sz w:val="18"/>
          <w:szCs w:val="18"/>
          <w:shd w:val="clear" w:color="auto" w:fill="FFFFFF"/>
          <w:lang w:val="en-US"/>
        </w:rPr>
        <w:t xml:space="preserve"> </w:t>
      </w:r>
      <w:r w:rsidRPr="00E45578">
        <w:rPr>
          <w:rFonts w:ascii="Times New Roman" w:eastAsia="Calibri" w:hAnsi="Times New Roman" w:cs="Times New Roman"/>
          <w:sz w:val="28"/>
          <w:szCs w:val="28"/>
          <w:lang w:val="en-US"/>
        </w:rPr>
        <w:t>[Text]</w:t>
      </w:r>
      <w:r w:rsidRPr="00E45578">
        <w:rPr>
          <w:rFonts w:ascii="Times New Roman" w:eastAsia="Calibri" w:hAnsi="Times New Roman" w:cs="Times New Roman"/>
          <w:sz w:val="28"/>
          <w:szCs w:val="28"/>
          <w:lang w:val="uk-UA"/>
        </w:rPr>
        <w:t xml:space="preserve"> /  </w:t>
      </w:r>
      <w:r w:rsidRPr="00E45578">
        <w:rPr>
          <w:rFonts w:ascii="Times New Roman" w:eastAsia="Calibri" w:hAnsi="Times New Roman" w:cs="Times New Roman"/>
          <w:sz w:val="28"/>
          <w:szCs w:val="28"/>
          <w:lang w:val="en-US"/>
        </w:rPr>
        <w:t xml:space="preserve">S. </w:t>
      </w:r>
      <w:r w:rsidRPr="00E45578">
        <w:rPr>
          <w:rFonts w:ascii="Times New Roman" w:eastAsia="Calibri" w:hAnsi="Times New Roman" w:cs="Times New Roman"/>
          <w:sz w:val="28"/>
          <w:szCs w:val="28"/>
          <w:lang w:val="uk-UA"/>
        </w:rPr>
        <w:t xml:space="preserve">De Biolley. </w:t>
      </w:r>
      <w:r w:rsidRPr="00E45578">
        <w:rPr>
          <w:rFonts w:ascii="Times New Roman" w:eastAsia="Calibri" w:hAnsi="Times New Roman" w:cs="Times New Roman"/>
          <w:sz w:val="28"/>
          <w:szCs w:val="28"/>
          <w:lang w:val="en-US"/>
        </w:rPr>
        <w:t>–</w:t>
      </w:r>
      <w:r w:rsidRPr="00E45578">
        <w:rPr>
          <w:rFonts w:ascii="Times New Roman" w:eastAsia="Calibri" w:hAnsi="Times New Roman" w:cs="Times New Roman"/>
          <w:sz w:val="28"/>
          <w:szCs w:val="28"/>
          <w:lang w:val="uk-UA"/>
        </w:rPr>
        <w:t xml:space="preserve"> Bruxelles: La Charte, 2003. – 210 р.</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Fazio S. The Harmonization of International Commercial Law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S.</w:t>
      </w:r>
      <w:r w:rsidRPr="00E45578">
        <w:rPr>
          <w:rFonts w:ascii="Times New Roman" w:eastAsia="Calibri" w:hAnsi="Times New Roman" w:cs="Times New Roman"/>
          <w:sz w:val="28"/>
          <w:szCs w:val="28"/>
          <w:lang w:val="uk-UA"/>
        </w:rPr>
        <w:t xml:space="preserve"> Fazio. – </w:t>
      </w:r>
      <w:r w:rsidRPr="00E45578">
        <w:rPr>
          <w:rFonts w:ascii="Times New Roman" w:eastAsia="Calibri" w:hAnsi="Times New Roman" w:cs="Times New Roman"/>
          <w:sz w:val="28"/>
          <w:szCs w:val="28"/>
          <w:lang w:val="en-US"/>
        </w:rPr>
        <w:t>Zuidpoolsingel</w:t>
      </w:r>
      <w:r w:rsidRPr="00E45578">
        <w:rPr>
          <w:rFonts w:ascii="Times New Roman" w:eastAsia="Calibri" w:hAnsi="Times New Roman" w:cs="Times New Roman"/>
          <w:sz w:val="28"/>
          <w:szCs w:val="28"/>
          <w:lang w:val="uk-UA"/>
        </w:rPr>
        <w:t xml:space="preserve">: Kluwer Law International, 2007. - 292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Flore D. Une justice pénale européenne après Amsterdam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D. </w:t>
      </w:r>
      <w:r w:rsidRPr="00E45578">
        <w:rPr>
          <w:rFonts w:ascii="Times New Roman" w:eastAsia="Calibri" w:hAnsi="Times New Roman" w:cs="Times New Roman"/>
          <w:sz w:val="28"/>
          <w:szCs w:val="28"/>
          <w:lang w:val="uk-UA"/>
        </w:rPr>
        <w:t xml:space="preserve">Flore  // </w:t>
      </w:r>
      <w:r w:rsidRPr="00E45578">
        <w:rPr>
          <w:rFonts w:ascii="Times New Roman" w:eastAsia="Calibri" w:hAnsi="Times New Roman" w:cs="Times New Roman"/>
          <w:sz w:val="28"/>
          <w:szCs w:val="28"/>
          <w:lang w:val="en-US"/>
        </w:rPr>
        <w:t>Journal des tribunaux - Droit européen</w:t>
      </w:r>
      <w:r w:rsidRPr="00E45578">
        <w:rPr>
          <w:rFonts w:ascii="Times New Roman" w:eastAsia="Calibri" w:hAnsi="Times New Roman" w:cs="Times New Roman"/>
          <w:sz w:val="28"/>
          <w:szCs w:val="28"/>
          <w:lang w:val="uk-UA"/>
        </w:rPr>
        <w:t>. - 1999. - №6. - Р. 121-129.</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Gessner V., Budak A. C.  Emerging Legal Certainty: Empirical Studies on the Globalization of Law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V. </w:t>
      </w:r>
      <w:r w:rsidRPr="00E45578">
        <w:rPr>
          <w:rFonts w:ascii="Times New Roman" w:eastAsia="Calibri" w:hAnsi="Times New Roman" w:cs="Times New Roman"/>
          <w:sz w:val="28"/>
          <w:szCs w:val="28"/>
          <w:lang w:val="uk-UA"/>
        </w:rPr>
        <w:t xml:space="preserve">Gessner, </w:t>
      </w:r>
      <w:r w:rsidRPr="00E45578">
        <w:rPr>
          <w:rFonts w:ascii="Times New Roman" w:eastAsia="Calibri" w:hAnsi="Times New Roman" w:cs="Times New Roman"/>
          <w:sz w:val="28"/>
          <w:szCs w:val="28"/>
          <w:lang w:val="en-US"/>
        </w:rPr>
        <w:t xml:space="preserve">A.C. </w:t>
      </w:r>
      <w:r w:rsidRPr="00E45578">
        <w:rPr>
          <w:rFonts w:ascii="Times New Roman" w:eastAsia="Calibri" w:hAnsi="Times New Roman" w:cs="Times New Roman"/>
          <w:sz w:val="28"/>
          <w:szCs w:val="28"/>
          <w:lang w:val="uk-UA"/>
        </w:rPr>
        <w:t xml:space="preserve">Budak. – Farnham: Asghate, 1998. – </w:t>
      </w:r>
      <w:r w:rsidRPr="00E45578">
        <w:rPr>
          <w:rFonts w:ascii="Times New Roman" w:eastAsia="Calibri" w:hAnsi="Times New Roman" w:cs="Times New Roman"/>
          <w:sz w:val="28"/>
          <w:szCs w:val="28"/>
          <w:lang w:val="en-US"/>
        </w:rPr>
        <w:t>456 p</w:t>
      </w:r>
      <w:r w:rsidRPr="00E45578">
        <w:rPr>
          <w:rFonts w:ascii="Times New Roman" w:eastAsia="Calibri" w:hAnsi="Times New Roman" w:cs="Times New Roman"/>
          <w:sz w:val="28"/>
          <w:szCs w:val="28"/>
          <w:lang w:val="uk-UA"/>
        </w:rPr>
        <w:t>.</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Hilaire v. Trinidad and Tobago, Preliminary Objections, Judgment, Inter-Am. Ct. H.R. (ser. C) No. 80, 2(b) (Sept. 1, 2001).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https://iachr.lls.edu.</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International Criminal Tribunal for the former Yugoslavia.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http://www.icty.org.</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International Military Tribunal for the Far East.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http://www.ibiblio.org/hyperwar/PTO/IMTFE/index.html.</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Jacobs F.-G.  The evolution of the European legal order</w:t>
      </w:r>
      <w:r w:rsidRPr="00E45578">
        <w:rPr>
          <w:rFonts w:ascii="Times New Roman" w:eastAsia="Calibri" w:hAnsi="Times New Roman" w:cs="Times New Roman"/>
          <w:sz w:val="28"/>
          <w:szCs w:val="28"/>
          <w:lang w:val="en-US"/>
        </w:rPr>
        <w:t xml:space="preserve">. </w:t>
      </w:r>
      <w:r w:rsidRPr="00E45578">
        <w:rPr>
          <w:rFonts w:ascii="Times New Roman" w:eastAsia="Calibri" w:hAnsi="Times New Roman" w:cs="Times New Roman"/>
          <w:sz w:val="28"/>
          <w:szCs w:val="28"/>
          <w:lang w:val="uk-UA"/>
        </w:rPr>
        <w:t xml:space="preserve">Contributions to 40th Anniversary Conference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F.-G. Jacobs  //  Common Market Law Review</w:t>
      </w:r>
      <w:r w:rsidRPr="00E45578">
        <w:rPr>
          <w:rFonts w:ascii="Times New Roman" w:eastAsia="Calibri" w:hAnsi="Times New Roman" w:cs="Times New Roman"/>
          <w:sz w:val="28"/>
          <w:szCs w:val="28"/>
          <w:lang w:val="en-US"/>
        </w:rPr>
        <w:t>. -</w:t>
      </w:r>
      <w:r w:rsidRPr="00E45578">
        <w:rPr>
          <w:rFonts w:ascii="Times New Roman" w:eastAsia="Calibri" w:hAnsi="Times New Roman" w:cs="Times New Roman"/>
          <w:sz w:val="28"/>
          <w:szCs w:val="28"/>
          <w:lang w:val="uk-UA"/>
        </w:rPr>
        <w:t xml:space="preserve"> 2004.  – </w:t>
      </w:r>
      <w:r w:rsidRPr="00E45578">
        <w:rPr>
          <w:rFonts w:ascii="Times New Roman" w:eastAsia="Calibri" w:hAnsi="Times New Roman" w:cs="Times New Roman"/>
          <w:sz w:val="28"/>
          <w:szCs w:val="28"/>
          <w:lang w:val="en-US"/>
        </w:rPr>
        <w:t>Vol.</w:t>
      </w:r>
      <w:r w:rsidRPr="00E45578">
        <w:rPr>
          <w:rFonts w:ascii="Times New Roman" w:eastAsia="Calibri" w:hAnsi="Times New Roman" w:cs="Times New Roman"/>
          <w:sz w:val="28"/>
          <w:szCs w:val="28"/>
          <w:lang w:val="uk-UA"/>
        </w:rPr>
        <w:t xml:space="preserve"> 41</w:t>
      </w:r>
      <w:r w:rsidRPr="00E45578">
        <w:rPr>
          <w:rFonts w:ascii="Times New Roman" w:eastAsia="Calibri" w:hAnsi="Times New Roman" w:cs="Times New Roman"/>
          <w:sz w:val="28"/>
          <w:szCs w:val="28"/>
          <w:lang w:val="en-US"/>
        </w:rPr>
        <w:t>. -</w:t>
      </w:r>
      <w:r w:rsidRPr="00E45578">
        <w:rPr>
          <w:rFonts w:ascii="Times New Roman" w:eastAsia="Calibri" w:hAnsi="Times New Roman" w:cs="Times New Roman"/>
          <w:sz w:val="28"/>
          <w:szCs w:val="28"/>
          <w:lang w:val="uk-UA"/>
        </w:rPr>
        <w:t xml:space="preserve"> Р. </w:t>
      </w:r>
      <w:r w:rsidRPr="00E45578">
        <w:rPr>
          <w:rFonts w:ascii="Times New Roman" w:eastAsia="Calibri" w:hAnsi="Times New Roman" w:cs="Times New Roman"/>
          <w:sz w:val="28"/>
          <w:szCs w:val="28"/>
          <w:lang w:val="en-US"/>
        </w:rPr>
        <w:t>303-316</w:t>
      </w:r>
      <w:r w:rsidRPr="00E45578">
        <w:rPr>
          <w:rFonts w:ascii="Times New Roman" w:eastAsia="Calibri" w:hAnsi="Times New Roman" w:cs="Times New Roman"/>
          <w:sz w:val="28"/>
          <w:szCs w:val="28"/>
          <w:lang w:val="uk-UA"/>
        </w:rPr>
        <w:t>.</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Judicial cooperation in civil matters.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http://europa.eu/legislation_summaries/justice_freedom_security/judicial_cooperation_in_civil_matters/index_en.htm.</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Kennedy D. Three Globalizations of Law and Legal Thought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D. Kennedy. – Princeton: University Press, 2011. – 74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iCs/>
          <w:sz w:val="28"/>
          <w:szCs w:val="28"/>
          <w:lang w:val="uk-UA"/>
        </w:rPr>
        <w:t>Kohler C</w:t>
      </w:r>
      <w:r w:rsidRPr="00E45578">
        <w:rPr>
          <w:rFonts w:ascii="Times New Roman" w:eastAsia="Calibri" w:hAnsi="Times New Roman" w:cs="Times New Roman"/>
          <w:sz w:val="28"/>
          <w:szCs w:val="28"/>
          <w:lang w:val="uk-UA"/>
        </w:rPr>
        <w:t xml:space="preserve">. Integration und Auslegung: Zur Doppelfunktion des Europäischen Gerichtshofes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C. Kohler // Ein internationales Zivilverfahrensrecht </w:t>
      </w:r>
      <w:r w:rsidRPr="00E45578">
        <w:rPr>
          <w:rFonts w:ascii="Times New Roman" w:eastAsia="Calibri" w:hAnsi="Times New Roman" w:cs="Times New Roman"/>
          <w:sz w:val="28"/>
          <w:szCs w:val="28"/>
          <w:lang w:val="uk-UA"/>
        </w:rPr>
        <w:lastRenderedPageBreak/>
        <w:t>für Gesamteuropa / Hrsg. Von Erik Jayme. — Heidelberg: C.F. Müller Juristischer Verlag, 1992. — S. 11-28.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Majone G. La communauté européenne. Un Etat régulateur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G. Majone. -  Рaris:  Montchrestien, 1996. – 157 р.</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Nagy А. New instruments of judicial cooperation in civil and commercial matters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A. Nagy // Curentul Juridic, The Juridical Current. – 2010. – Vol. 40. – P. 137–146.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Papadopoulos Thomas Gr. EU Law and Harmonization of Takeovers in the Internal Market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Gr. Thomas </w:t>
      </w:r>
      <w:r w:rsidRPr="00E45578">
        <w:rPr>
          <w:rFonts w:ascii="Times New Roman" w:eastAsia="Calibri" w:hAnsi="Times New Roman" w:cs="Times New Roman"/>
          <w:sz w:val="28"/>
          <w:szCs w:val="28"/>
          <w:lang w:val="uk-UA"/>
        </w:rPr>
        <w:t>Papadopoulos.</w:t>
      </w:r>
      <w:r w:rsidRPr="00E45578">
        <w:rPr>
          <w:rFonts w:ascii="Times New Roman" w:eastAsia="Calibri" w:hAnsi="Times New Roman" w:cs="Times New Roman"/>
          <w:sz w:val="28"/>
          <w:szCs w:val="28"/>
          <w:lang w:val="en-US"/>
        </w:rPr>
        <w:t xml:space="preserve"> - Thessaloniki</w:t>
      </w:r>
      <w:r w:rsidRPr="00E45578">
        <w:rPr>
          <w:rFonts w:ascii="Times New Roman" w:eastAsia="Calibri" w:hAnsi="Times New Roman" w:cs="Times New Roman"/>
          <w:sz w:val="28"/>
          <w:szCs w:val="28"/>
          <w:lang w:val="uk-UA"/>
        </w:rPr>
        <w:t xml:space="preserve">: Kluwer Law International, 2010. - 280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Pleno. STC 2/2003, de 19 de febrero.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https://www.tribunalconstitucional.es.</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Pleno. STC 64/2001, de 17 de marzo.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https://www.tribunalconstitucional.es.</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Resolutions and Decisions adopted by the General Assembly during its 52nd session: GAOR, 52nd Session, Supplement No. 49.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http://research.un.org/en/docs/ga/quick/regular/52.</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Roccati M.  Le rôle du juge national dans l'espace judiciaire européen, du marché intérieur à la coopération civile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M. Roccati. - </w:t>
      </w:r>
      <w:r w:rsidRPr="00E45578">
        <w:rPr>
          <w:rFonts w:ascii="Times New Roman" w:eastAsia="Calibri" w:hAnsi="Times New Roman" w:cs="Times New Roman"/>
          <w:sz w:val="28"/>
          <w:szCs w:val="28"/>
          <w:lang w:val="uk-UA"/>
        </w:rPr>
        <w:t xml:space="preserve"> Primento: </w:t>
      </w:r>
      <w:r w:rsidRPr="00E45578">
        <w:rPr>
          <w:rFonts w:ascii="Times New Roman" w:eastAsia="Calibri" w:hAnsi="Times New Roman" w:cs="Times New Roman"/>
          <w:bCs/>
          <w:sz w:val="28"/>
          <w:szCs w:val="28"/>
          <w:lang w:val="en-US"/>
        </w:rPr>
        <w:t>Bruylant</w:t>
      </w:r>
      <w:r w:rsidRPr="00E45578">
        <w:rPr>
          <w:rFonts w:ascii="Times New Roman" w:eastAsia="Calibri" w:hAnsi="Times New Roman" w:cs="Times New Roman"/>
          <w:sz w:val="28"/>
          <w:szCs w:val="28"/>
          <w:lang w:val="uk-UA"/>
        </w:rPr>
        <w:t xml:space="preserve">, 2014.  - 632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Ross J. Harper.  Global law in Practice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Harper J.Ross. - Cambridge, MA: Kluwer Law International, 1997. – 291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Statute of the International Criminal Tribunal for the former Yugoslavia.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http://www.icty.org/en/documents/statute-tribunal.</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Striking a balance between freedom, security and justice in an enlarged European Union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M. Anderson, J. Apap. – Brussels: Centre for European Policy Studies, 2002. – 95 p.</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The Area of Freedom, Security and Justice ten years on: Successes and future challenges under the Stockholm Programme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Elspeth Guild, Sergio Carrera. – Brussels: Centre for European Policy Studies, 2010. – 104 p.</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 xml:space="preserve">The Hague Programme: strengthening freedom, security and justice in the European Union </w:t>
      </w:r>
      <w:r w:rsidRPr="00E45578">
        <w:rPr>
          <w:rFonts w:ascii="Times New Roman" w:eastAsia="Calibri" w:hAnsi="Times New Roman" w:cs="Times New Roman"/>
          <w:bCs/>
          <w:sz w:val="28"/>
          <w:szCs w:val="28"/>
          <w:lang w:val="en-US"/>
        </w:rPr>
        <w:t xml:space="preserve">[Text] </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sz w:val="28"/>
          <w:szCs w:val="28"/>
          <w:lang w:val="uk-UA"/>
        </w:rPr>
        <w:t>Official Journal of the European Union. - 2005. - №3 - С. 1-15.</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The Van Oosterwijck case (ECHR, 1980).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http://www.pfc.org.uk/caselaw. </w:t>
      </w:r>
      <w:r w:rsidRPr="00E45578">
        <w:rPr>
          <w:rFonts w:ascii="Times New Roman" w:eastAsia="Calibri" w:hAnsi="Times New Roman" w:cs="Times New Roman"/>
          <w:bCs/>
          <w:sz w:val="28"/>
          <w:szCs w:val="28"/>
          <w:lang w:val="en-US"/>
        </w:rPr>
        <w:t>–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Treaty of Amsterdam amending the Treaty on European Union, the Treaties establishing the European Communities and certain related acts. : Official Journal C 340. – 10 November 1997.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sz w:val="28"/>
          <w:szCs w:val="28"/>
          <w:lang w:val="uk-UA"/>
        </w:rPr>
        <w:t xml:space="preserve"> http://eur-lex.europa.eu/en/treaties/ dat/11997D/htm/11997D.html.</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Treaty of Versailles. </w:t>
      </w:r>
      <w:r w:rsidRPr="00E45578">
        <w:rPr>
          <w:rFonts w:ascii="Times New Roman" w:eastAsia="Calibri" w:hAnsi="Times New Roman" w:cs="Times New Roman"/>
          <w:bCs/>
          <w:sz w:val="28"/>
          <w:szCs w:val="28"/>
          <w:lang w:val="en-US"/>
        </w:rPr>
        <w:t>[Electronic resourse]. - Access mode:</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sz w:val="28"/>
          <w:szCs w:val="28"/>
          <w:lang w:val="uk-UA"/>
        </w:rPr>
        <w:t>http://www.zbths.org/cms/lib06/IL01000825/Centricity/Domain/138/WH%20Readings/155%20Versailles%20Treaty%201919.pdf.</w:t>
      </w:r>
      <w:r w:rsidRPr="00E45578">
        <w:rPr>
          <w:rFonts w:ascii="Times New Roman" w:eastAsia="Calibri" w:hAnsi="Times New Roman" w:cs="Times New Roman"/>
          <w:bCs/>
          <w:sz w:val="28"/>
          <w:szCs w:val="28"/>
          <w:lang w:val="en-US"/>
        </w:rPr>
        <w:t xml:space="preserve"> – Title from the screen.</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Twining W. Globalization and Legal Theory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W. </w:t>
      </w:r>
      <w:r w:rsidRPr="00E45578">
        <w:rPr>
          <w:rFonts w:ascii="Times New Roman" w:eastAsia="Calibri" w:hAnsi="Times New Roman" w:cs="Times New Roman"/>
          <w:sz w:val="28"/>
          <w:szCs w:val="28"/>
          <w:lang w:val="uk-UA"/>
        </w:rPr>
        <w:t>Twining</w:t>
      </w:r>
      <w:r w:rsidRPr="00E45578">
        <w:rPr>
          <w:rFonts w:ascii="Times New Roman" w:eastAsia="Calibri" w:hAnsi="Times New Roman" w:cs="Times New Roman"/>
          <w:sz w:val="28"/>
          <w:szCs w:val="28"/>
          <w:lang w:val="en-US"/>
        </w:rPr>
        <w:t xml:space="preserve">. - </w:t>
      </w:r>
      <w:r w:rsidRPr="00E45578">
        <w:rPr>
          <w:rFonts w:ascii="Times New Roman" w:eastAsia="Calibri" w:hAnsi="Times New Roman" w:cs="Times New Roman"/>
          <w:sz w:val="28"/>
          <w:szCs w:val="28"/>
          <w:lang w:val="uk-UA"/>
        </w:rPr>
        <w:t xml:space="preserve"> London: Butterworths, 2000. – 297 р.</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Villey M. Le droit et les droits de l'homme </w:t>
      </w:r>
      <w:r w:rsidRPr="00E45578">
        <w:rPr>
          <w:rFonts w:ascii="Times New Roman" w:eastAsia="Calibri" w:hAnsi="Times New Roman" w:cs="Times New Roman"/>
          <w:sz w:val="28"/>
          <w:szCs w:val="28"/>
          <w:lang w:val="en-US"/>
        </w:rPr>
        <w:t>[Text]</w:t>
      </w:r>
      <w:r w:rsidRPr="00E45578">
        <w:rPr>
          <w:rFonts w:ascii="Times New Roman" w:eastAsia="Calibri" w:hAnsi="Times New Roman" w:cs="Times New Roman"/>
          <w:sz w:val="28"/>
          <w:szCs w:val="28"/>
          <w:lang w:val="uk-UA"/>
        </w:rPr>
        <w:t xml:space="preserve"> /  М. Villey. -  </w:t>
      </w:r>
      <w:r w:rsidRPr="00E45578">
        <w:rPr>
          <w:rFonts w:ascii="Times New Roman" w:eastAsia="Calibri" w:hAnsi="Times New Roman" w:cs="Times New Roman"/>
          <w:color w:val="000000"/>
          <w:sz w:val="28"/>
          <w:szCs w:val="28"/>
          <w:shd w:val="clear" w:color="auto" w:fill="FFFFFF"/>
          <w:lang w:val="en-US"/>
        </w:rPr>
        <w:t>Stras</w:t>
      </w:r>
      <w:r w:rsidRPr="00E45578">
        <w:rPr>
          <w:rFonts w:ascii="Times New Roman" w:eastAsia="Calibri" w:hAnsi="Times New Roman" w:cs="Times New Roman"/>
          <w:sz w:val="28"/>
          <w:szCs w:val="28"/>
          <w:lang w:val="en-US"/>
        </w:rPr>
        <w:t>ourg</w:t>
      </w:r>
      <w:r w:rsidRPr="00E45578">
        <w:rPr>
          <w:rFonts w:ascii="Times New Roman" w:eastAsia="Calibri" w:hAnsi="Times New Roman" w:cs="Times New Roman"/>
          <w:sz w:val="28"/>
          <w:szCs w:val="28"/>
          <w:lang w:val="uk-UA"/>
        </w:rPr>
        <w:t>:</w:t>
      </w:r>
      <w:r w:rsidRPr="00E45578">
        <w:rPr>
          <w:rFonts w:ascii="Times New Roman" w:eastAsia="Calibri" w:hAnsi="Times New Roman" w:cs="Times New Roman"/>
          <w:sz w:val="28"/>
          <w:szCs w:val="28"/>
          <w:lang w:val="en-US"/>
        </w:rPr>
        <w:t xml:space="preserve"> </w:t>
      </w:r>
      <w:r w:rsidRPr="00E45578">
        <w:rPr>
          <w:rFonts w:ascii="Times New Roman" w:eastAsia="Calibri" w:hAnsi="Times New Roman" w:cs="Times New Roman"/>
          <w:sz w:val="28"/>
          <w:szCs w:val="28"/>
          <w:lang w:val="uk-UA"/>
        </w:rPr>
        <w:t xml:space="preserve">PUF, 2014. – 176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Weyembergh A.  L'harmonisation des législations: conditions de l'espace pénal européen et révélateur de ses tensions,  ruxelles, éd. de l'université de  ruxelles</w:t>
      </w:r>
      <w:r w:rsidRPr="00E45578">
        <w:rPr>
          <w:rFonts w:ascii="Tahoma" w:eastAsia="Calibri" w:hAnsi="Tahoma" w:cs="Tahoma"/>
          <w:color w:val="000000"/>
          <w:sz w:val="18"/>
          <w:szCs w:val="18"/>
          <w:shd w:val="clear" w:color="auto" w:fill="FFFFFF"/>
          <w:lang w:val="en-US"/>
        </w:rPr>
        <w:t xml:space="preserve"> </w:t>
      </w:r>
      <w:r w:rsidRPr="00E45578">
        <w:rPr>
          <w:rFonts w:ascii="Times New Roman" w:eastAsia="Calibri" w:hAnsi="Times New Roman" w:cs="Times New Roman"/>
          <w:sz w:val="28"/>
          <w:szCs w:val="28"/>
          <w:lang w:val="en-US"/>
        </w:rPr>
        <w:t>[Text]</w:t>
      </w:r>
      <w:r w:rsidRPr="00E45578">
        <w:rPr>
          <w:rFonts w:ascii="Times New Roman" w:eastAsia="Calibri" w:hAnsi="Times New Roman" w:cs="Times New Roman"/>
          <w:sz w:val="28"/>
          <w:szCs w:val="28"/>
          <w:lang w:val="uk-UA"/>
        </w:rPr>
        <w:t xml:space="preserve"> / А. Weyembergh. -  </w:t>
      </w:r>
      <w:r w:rsidRPr="00E45578">
        <w:rPr>
          <w:rFonts w:ascii="Times New Roman" w:eastAsia="Calibri" w:hAnsi="Times New Roman" w:cs="Times New Roman"/>
          <w:sz w:val="28"/>
          <w:szCs w:val="28"/>
          <w:lang w:val="en-US"/>
        </w:rPr>
        <w:t>Bruxelles</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Université de Bruxelles</w:t>
      </w:r>
      <w:r w:rsidRPr="00E45578">
        <w:rPr>
          <w:rFonts w:ascii="Times New Roman" w:eastAsia="Calibri" w:hAnsi="Times New Roman" w:cs="Times New Roman"/>
          <w:sz w:val="28"/>
          <w:szCs w:val="28"/>
          <w:lang w:val="uk-UA"/>
        </w:rPr>
        <w:t xml:space="preserve">, 2004. – 404 р.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Wyatt D. New legal order, or old? </w:t>
      </w:r>
      <w:r w:rsidRPr="00E45578">
        <w:rPr>
          <w:rFonts w:ascii="Times New Roman" w:eastAsia="Calibri" w:hAnsi="Times New Roman" w:cs="Times New Roman"/>
          <w:sz w:val="28"/>
          <w:szCs w:val="28"/>
          <w:lang w:val="en-US"/>
        </w:rPr>
        <w:t xml:space="preserve">[Text]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en-US"/>
        </w:rPr>
        <w:t xml:space="preserve">D. </w:t>
      </w:r>
      <w:r w:rsidRPr="00E45578">
        <w:rPr>
          <w:rFonts w:ascii="Times New Roman" w:eastAsia="Calibri" w:hAnsi="Times New Roman" w:cs="Times New Roman"/>
          <w:sz w:val="28"/>
          <w:szCs w:val="28"/>
          <w:lang w:val="uk-UA"/>
        </w:rPr>
        <w:t>Wyatt // European law Review. - 1982. - №6. - P. 147-153.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Авдєєва М. Проблема вичерпання національних засобів юридичного захисту у практиці Європейського суду з прав людини. [Електронний ресурс] </w:t>
      </w:r>
      <w:r w:rsidRPr="00E45578">
        <w:rPr>
          <w:rFonts w:ascii="Times New Roman" w:eastAsia="Calibri" w:hAnsi="Times New Roman" w:cs="Times New Roman"/>
          <w:sz w:val="28"/>
          <w:szCs w:val="28"/>
        </w:rPr>
        <w:t>: [Веб-сайт]. – Електронні дані. </w:t>
      </w:r>
      <w:r w:rsidRPr="00E45578">
        <w:rPr>
          <w:rFonts w:ascii="Times New Roman" w:eastAsia="Calibri" w:hAnsi="Times New Roman" w:cs="Times New Roman"/>
          <w:sz w:val="28"/>
          <w:szCs w:val="28"/>
          <w:lang w:val="uk-UA"/>
        </w:rPr>
        <w:t xml:space="preserve"> – Режим </w:t>
      </w:r>
      <w:r w:rsidRPr="00E45578">
        <w:rPr>
          <w:rFonts w:ascii="Times New Roman" w:eastAsia="Calibri" w:hAnsi="Times New Roman" w:cs="Times New Roman"/>
          <w:sz w:val="28"/>
          <w:szCs w:val="28"/>
          <w:lang w:val="uk-UA"/>
        </w:rPr>
        <w:lastRenderedPageBreak/>
        <w:t>доступу:  https://precedent.in.ua/2016/06/09/problema-vycherpannya-natsionalnyh-zasobiv-yurydychnogo-zahystu-u-praktytsi-yevropejskogo-sudu-z-prav-lyudyny.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Адміністративне судочинство України: навч. посіб. [для студентів, викл. ВНЗ України]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Н. П. Бортник, О. І. Остапенко, У. М. Парпан та ін. ; за ред. О. І. Остапенка ; М-во освіти і науки України, Нац. ун-т "Львів. політехніка". – Львів : Вид-во Львів. політехніки, 2016. – 236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Антонович М.М. Застосування міжнародних актів з прав людини в судовій  практиці держав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М.М. Антонович // Українське право. – 2004. – № 1. – С. 164-171</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Ахтирська Н. М. Міжнародне співробітництво під час визнання і виконання вироків судів іноземних держав в Україні [Текст] / Н. М. Ахтирська // Держава і право. Юридичні і політичні науки. - 2014. - Вип. 65. - С. 214-220.</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Бангкокская декларация «Взаимодействие и ответные меры: стратегические союзы в области предупреждения преступности и уголовного правосудия» : [Електронний ресурс]. – Режим доступу: http://www.un.org/ru/documents/decl_conv/declarations/bangkok_declaration.shtml.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Бирюков М.М. Европейское право до и после Лиссабонского договора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М.М. Бирюков – М.: Научная книга, 2010. – 240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Білорицький Г.О. Питання міжнародного права і прав людини в конституціях  країн СНД та праві держави Ізраїль (порівняльний аналіз) [Текст] / Г.О. Білорицький // Держава і право. Юридичні і політичні    науки. – 2005. – Вип. 29. – С. 557-562</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Вайнагій М. Допомога з-за кордону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Вищого спеціалізованого суду України з розгляду                               цивільних і кримінальних справ – Режим доступу: http://sc.gov.ua/ua/golovna_storinka/dopomoga_zza_kordonu.html.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Васюренко А.О. Роль Міжнародного військового трибуналу в процесі формування концепції індивідуальної кримінальної відповідальності за порушення міжнародно-правової заборони застосування сили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А.О. Васюренко //  Український часопис міжнародного права: науково-практичний журнал. – 2013. - №1. – С. 85-88.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Версальский мирный договор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Полный перевод с французского под редакцией Ю.В. Ключникова и А.Сабанина.</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 xml:space="preserve"> - М.: Издание Литиздата НКИД, 1925. - 198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Висновок Конституційного Суду України у справі за конституційним поданням Президента України про надання висновку щодо відповідності Конституції України Римського Статуту Міжнародного кримінального суду (справа про Римський Статут).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http://zakon2.rada.gov.ua/laws/show/v003v710-01.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Віденська конвенція про право міжнародних договорів від 23.05.1969.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http://zakon2.rada.gov.ua/laws/show/995_118.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Владиченко С. Проблеми застосування міжнародних актів щодо прав людини Конституційним Судом України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С. Владиченко // Держава і право: Зб. наук. праць. Юридичні і політичні науки. – 2002. – Вип. 17. – С. 105-110.</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Волес В., Волес Г. Творення політики в Європейському Союзі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 Волес, Г. Волес. – К.: Основи, 2004. – 871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Всеобщая декларация прав человека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w:t>
      </w:r>
      <w:r w:rsidRPr="00E45578">
        <w:rPr>
          <w:rFonts w:ascii="Calibri" w:eastAsia="Calibri" w:hAnsi="Calibri" w:cs="Times New Roman"/>
        </w:rPr>
        <w:t xml:space="preserve"> </w:t>
      </w:r>
      <w:r w:rsidRPr="00E45578">
        <w:rPr>
          <w:rFonts w:ascii="Times New Roman" w:eastAsia="Calibri" w:hAnsi="Times New Roman" w:cs="Times New Roman"/>
          <w:sz w:val="28"/>
          <w:szCs w:val="28"/>
          <w:lang w:val="uk-UA"/>
        </w:rPr>
        <w:t>http://zakon3.rada.gov.ua/laws/show/995_015.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Гапеев В.Н. Участники гражданского и арбитражного процесса (сравнительный анализ правового положения)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В.Н. Гапеев – Ростов: Рост. Ун-та, 1988. – 124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Гладышева С.С.  Роль Европейского суда по правам человека в становлении справедливого суда в России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С.С. Г</w:t>
      </w:r>
      <w:r w:rsidRPr="00E45578">
        <w:rPr>
          <w:rFonts w:ascii="Times New Roman" w:eastAsia="Calibri" w:hAnsi="Times New Roman" w:cs="Times New Roman"/>
          <w:sz w:val="28"/>
          <w:szCs w:val="28"/>
        </w:rPr>
        <w:t xml:space="preserve">ладышева </w:t>
      </w:r>
      <w:r w:rsidRPr="00E45578">
        <w:rPr>
          <w:rFonts w:ascii="Times New Roman" w:eastAsia="Calibri" w:hAnsi="Times New Roman" w:cs="Times New Roman"/>
          <w:sz w:val="28"/>
          <w:szCs w:val="28"/>
          <w:lang w:val="uk-UA"/>
        </w:rPr>
        <w:t xml:space="preserve">// Московский журнал международного права. – 2004. - №1. - С. 198-208.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Глосарій термінів Європейського Союзу. [Електронний ресурс] </w:t>
      </w:r>
      <w:r w:rsidRPr="00E45578">
        <w:rPr>
          <w:rFonts w:ascii="Times New Roman" w:eastAsia="Calibri" w:hAnsi="Times New Roman" w:cs="Times New Roman"/>
          <w:sz w:val="28"/>
          <w:szCs w:val="28"/>
        </w:rPr>
        <w:t>: [Веб-сайт]. – Електронні дані. </w:t>
      </w:r>
      <w:r w:rsidRPr="00E45578">
        <w:rPr>
          <w:rFonts w:ascii="Times New Roman" w:eastAsia="Calibri" w:hAnsi="Times New Roman" w:cs="Times New Roman"/>
          <w:sz w:val="28"/>
          <w:szCs w:val="28"/>
          <w:lang w:val="uk-UA"/>
        </w:rPr>
        <w:t xml:space="preserve"> – Режим доступу: http://europa.dovidka.com.ua/s.html.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Горбачев М.С. Грани глобализации: Трудные вопросы современного развития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М.С. Горбачев. – М.: Альпина Паблишер, 2003. – 592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Господарський процесуальний кодекс України від 06.11.1991 № </w:t>
      </w:r>
      <w:r w:rsidRPr="00E45578">
        <w:rPr>
          <w:rFonts w:ascii="Times New Roman" w:eastAsia="Calibri" w:hAnsi="Times New Roman" w:cs="Times New Roman"/>
          <w:bCs/>
          <w:sz w:val="28"/>
          <w:szCs w:val="28"/>
          <w:lang w:val="uk-UA"/>
        </w:rPr>
        <w:t xml:space="preserve">1798-XII </w:t>
      </w:r>
      <w:r w:rsidRPr="00E45578">
        <w:rPr>
          <w:rFonts w:ascii="Times New Roman" w:eastAsia="Calibri" w:hAnsi="Times New Roman" w:cs="Times New Roman"/>
          <w:bCs/>
          <w:sz w:val="28"/>
          <w:szCs w:val="28"/>
        </w:rPr>
        <w:t xml:space="preserve">[Текст] </w:t>
      </w:r>
      <w:r w:rsidRPr="00E45578">
        <w:rPr>
          <w:rFonts w:ascii="Times New Roman" w:eastAsia="Calibri" w:hAnsi="Times New Roman" w:cs="Times New Roman"/>
          <w:bCs/>
          <w:sz w:val="28"/>
          <w:szCs w:val="28"/>
          <w:lang w:val="uk-UA"/>
        </w:rPr>
        <w:t>/ Відомості Верховної Ради України. – 1992. - № 6. - ст.56.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Грабенвартер К.  Сотрудничество между конституционными судами в Европе  –  рамочные условия и перспективы в настоящее время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К. Грабенвартер // Журнал конституционного правосудия. - 2014. - № 6 (42). – С. 16-23.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Григорьева О.Г. История международной правовой помощи по гражданским делам с 1917 года и до наших дней. Монография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О.Г. Григорьева. -  Владимир: Изд-во Владим.гос. ун-та, 2011. – 287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Григорьева О.Г. Международная правовая помощь по гражданским делам в советском праве : Историко-правовое исследование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О.Г. Григорьева. – М.: ЮНИТИ-ДАНА, 2013. – 335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Даниленко Г.М. Применение международного права во внутренней правовой системе России: практика Конституционного суда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Г.М. Даниленко // Государство и право. – 1995. - №11. – С. 116-125.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Дерейко І.І., Коваль М.В. Нюрнберзький процес [Текст] // Енциклопедія історії України : у 10 т. / редкол.: В. А. Смолій (голова) та ін. ; Інститут історії України НАН України. — К. : Наук. думка, 2010. — Т. 7 : Мл — О. — 728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Директива</w:t>
      </w:r>
      <w:r w:rsidRPr="00E45578">
        <w:rPr>
          <w:rFonts w:ascii="Times New Roman" w:eastAsia="Times New Roman" w:hAnsi="Times New Roman" w:cs="Times New Roman"/>
          <w:bCs/>
          <w:iCs/>
          <w:color w:val="F6F6F6"/>
          <w:sz w:val="28"/>
          <w:szCs w:val="28"/>
          <w:lang w:val="uk-UA" w:eastAsia="ru-RU"/>
        </w:rPr>
        <w:t xml:space="preserve"> </w:t>
      </w:r>
      <w:r w:rsidRPr="00E45578">
        <w:rPr>
          <w:rFonts w:ascii="Times New Roman" w:eastAsia="Calibri" w:hAnsi="Times New Roman" w:cs="Times New Roman"/>
          <w:sz w:val="28"/>
          <w:szCs w:val="28"/>
          <w:lang w:val="uk-UA"/>
        </w:rPr>
        <w:t xml:space="preserve">про запобігання використанню фінансової системи для відмивання грошей № 91/308 від 10 червня 1991 р. (зі змінами). </w:t>
      </w:r>
      <w:r w:rsidRPr="00E45578">
        <w:rPr>
          <w:rFonts w:ascii="Times New Roman" w:eastAsia="Calibri" w:hAnsi="Times New Roman" w:cs="Times New Roman"/>
          <w:sz w:val="28"/>
          <w:szCs w:val="28"/>
          <w:lang w:val="uk-UA"/>
        </w:rPr>
        <w:lastRenderedPageBreak/>
        <w:t xml:space="preserve">[Електронний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 xml:space="preserve"> http://zakon2.rada.gov.ua/laws/show/994_148.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Договір між Україною і Республікою Польща про  правову  допомогу та правові відносини у цивільних і кримінальних справах від 24.05.1993 року.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 xml:space="preserve"> http://zakon2.rada.gov.ua/laws/show/616_174.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Договір про заснування Європейської Спільноти від 25.03.1957 року.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Офіційний сайт Верховної Ради України – Режим доступу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lang w:val="uk-UA"/>
        </w:rPr>
        <w:t>http://zakon2.rada.gov.ua/laws/show/994_017.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 xml:space="preserve">Договор о Европейском Союзе от 07.02.1992 года. [Електронний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http://zakon2.rada.gov.ua/laws/show/994_029.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 xml:space="preserve">Договори про співробітництво, укладені Верховним                               Судом України. [Електронний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Верховного Суду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 xml:space="preserve"> </w:t>
      </w:r>
      <w:r w:rsidRPr="00E45578">
        <w:rPr>
          <w:rFonts w:ascii="Times New Roman" w:eastAsia="Calibri" w:hAnsi="Times New Roman" w:cs="Times New Roman"/>
          <w:sz w:val="28"/>
          <w:szCs w:val="28"/>
          <w:lang w:val="uk-UA"/>
        </w:rPr>
        <w:t>http://www.scourt.gov.ua/clients/vsu/vsu.nsf/(documents)/263F81FA52BBA599C2257BE20039EAAC.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rPr>
        <w:t>Европейская</w:t>
      </w:r>
      <w:r w:rsidRPr="00E45578">
        <w:rPr>
          <w:rFonts w:ascii="Times New Roman" w:eastAsia="Calibri" w:hAnsi="Times New Roman" w:cs="Times New Roman"/>
          <w:sz w:val="28"/>
          <w:szCs w:val="28"/>
        </w:rPr>
        <w:t> конвенция о защите прав человека и основных свобод и национальное законодательство [Текст] : Материалы междунар. науч. конф., 7-8 дек. 2000 г. / ред. С. Ю. Наумов [и др.] ; Правительство Саратовской области, Уполномоченный по правам человека в Саратовской области, Саратовская гос. академия права, Поволжская академия гос. службы. - Саратов : Поволжская академия гос. службы, 2001. - 164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Европейский суд по правам человека и защита свободы слова в России: прецеденты, анализ, рекомендации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Под ред. Г. В. Винокурова, А. Г. Рихтера, В. В. Чернышова.</w:t>
      </w:r>
      <w:r w:rsidRPr="00E45578">
        <w:rPr>
          <w:rFonts w:ascii="Times New Roman" w:eastAsia="Calibri" w:hAnsi="Times New Roman" w:cs="Times New Roman"/>
          <w:sz w:val="28"/>
          <w:szCs w:val="28"/>
        </w:rPr>
        <w:t>] -</w:t>
      </w:r>
      <w:r w:rsidRPr="00E45578">
        <w:rPr>
          <w:rFonts w:ascii="Times New Roman" w:eastAsia="Calibri" w:hAnsi="Times New Roman" w:cs="Times New Roman"/>
          <w:sz w:val="28"/>
          <w:szCs w:val="28"/>
          <w:lang w:val="uk-UA"/>
        </w:rPr>
        <w:t xml:space="preserve"> М.: Институт проблем информационного права, 2004. – 604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Європейська конвенція про взаємну допомогу у кримінальних справах від 20.04.1959.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 xml:space="preserve"> http://zakon3.rada.gov.ua/laws/show/995_036.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конвенція про видачу правопорушників від 13.12.1957.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http://zakon3.rada.gov.ua/laws/show/995_033.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конвенція про інформацію щодо іноземного законодавства від 07.06.1968.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http://zakon2.rada.gov.ua/laws/show/995_112.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конвенція про міжнародну дійсність кримінальних вироків від 28.05.1970.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http://zakon2.rada.gov.ua/laws/show/994_341.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конвенція про передачу провадження у кримінальних справах (ETS N 73) від 15.05.1972.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http://zakon2.rada.gov.ua/laws/show/994_008.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конвенція про репатріацію неповнолітніх від 28.05.1970.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http://zakon3.rada.gov.ua/laws/show/994_805.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соціальна хартія (переглянута) від 03.05.1996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http://zakon3.rada.gov.ua/laws/show/994_062.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Європейська угода щодо предачі заяв про правову допомогу (ETS N 92) від 27.01.1977.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http://zakon3.rada.gov.ua/laws/show/994_321.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Європейський Союз: Консолідовані договори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Переклад Ю. Петруся</w:t>
      </w:r>
      <w:r w:rsidRPr="00E45578">
        <w:rPr>
          <w:rFonts w:ascii="Times New Roman" w:eastAsia="Calibri" w:hAnsi="Times New Roman" w:cs="Times New Roman"/>
          <w:sz w:val="28"/>
          <w:szCs w:val="28"/>
        </w:rPr>
        <w:t>]</w:t>
      </w:r>
      <w:r w:rsidRPr="00E45578">
        <w:rPr>
          <w:rFonts w:ascii="Times New Roman" w:eastAsia="Calibri" w:hAnsi="Times New Roman" w:cs="Times New Roman"/>
          <w:sz w:val="28"/>
          <w:szCs w:val="28"/>
          <w:lang w:val="uk-UA"/>
        </w:rPr>
        <w:t xml:space="preserve">. – К.: Вид-во “Port-Royal”, 1999. – 208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 xml:space="preserve">Єдиний європейський акт від 17.02.1986 року. [Електронний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http://zakon2.rada.gov.ua/laws/show/994_028.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Єськов С. В. Втручання у приватне спілкування: вітчизняний досвід регламентації у світлі резолюцій, конвенцій та стандартів Організації Об’єднаних Націй [Текст] / С. В. Єськов // Наукові записки Інституту законодавства Верховної Ради України. - 2014. - № 2. - С. 107-113.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Зайцев Ю. Потреба використання практики Європейського суду з прав людини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Ю. Зайцев // Практика Європейського суду з прав людини: Рішення. Коментарі. – К.: Український центр правничих студій, 2002. - №3 (15) – С.  11-16.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Закон України «Про виконання рішень та застосування практики Європейського Суду з прав людини» від 23.02.2006 № 3477-IV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Відомості Верховної Ради України. – 2006. - № 30. – Ст. 260.</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Закон України «</w:t>
      </w:r>
      <w:r w:rsidRPr="00E45578">
        <w:rPr>
          <w:rFonts w:ascii="Times New Roman" w:eastAsia="Calibri" w:hAnsi="Times New Roman" w:cs="Times New Roman"/>
          <w:bCs/>
          <w:sz w:val="28"/>
          <w:szCs w:val="28"/>
          <w:lang w:val="uk-UA"/>
        </w:rPr>
        <w:t>Про внесення змін до деяких законодавчих актів України</w:t>
      </w:r>
      <w:bookmarkStart w:id="0" w:name="o3"/>
      <w:bookmarkEnd w:id="0"/>
      <w:r w:rsidRPr="00E45578">
        <w:rPr>
          <w:rFonts w:ascii="Times New Roman" w:eastAsia="Calibri" w:hAnsi="Times New Roman" w:cs="Times New Roman"/>
          <w:sz w:val="28"/>
          <w:szCs w:val="28"/>
          <w:lang w:val="uk-UA"/>
        </w:rPr>
        <w:t xml:space="preserve">  щодо врегулювання питань міжнародного приватного права» від 21.01.2010 № 1837-VI [Текст] / </w:t>
      </w:r>
      <w:r w:rsidRPr="00E45578">
        <w:rPr>
          <w:rFonts w:ascii="Times New Roman" w:eastAsia="Calibri" w:hAnsi="Times New Roman" w:cs="Times New Roman"/>
          <w:iCs/>
          <w:sz w:val="28"/>
          <w:szCs w:val="28"/>
          <w:lang w:val="uk-UA"/>
        </w:rPr>
        <w:t xml:space="preserve">Відомості Верховної Ради України. – 2010. - № 12. - Ст.120.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Закон України «Про міжнародне приватне право» від 23.06.2005 № 2709-IV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Відомості Верховної Ради України. – 2005 - №32. - Ст.422.</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Закон України «Про міжнародні договори України» від 29.06.2004 № 1906-IV [Текст] / Відомості Верховної Ради України. – 2004. -  №50. - Ст.540.</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Закон України «Про прокуратуру» від 14.10.2014 № 1697-VII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Відомості Верховної Ради. – 2015. - № 2-3. -  Ст.12.</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Закон України «Про ратифікацію Другого додаткового протоколу до Європейської конвенції про взаємну допомогу у кримінальних справах» </w:t>
      </w:r>
      <w:r w:rsidRPr="00E45578">
        <w:rPr>
          <w:rFonts w:ascii="Times New Roman" w:eastAsia="Calibri" w:hAnsi="Times New Roman" w:cs="Times New Roman"/>
          <w:sz w:val="28"/>
          <w:szCs w:val="28"/>
          <w:lang w:val="uk-UA"/>
        </w:rPr>
        <w:lastRenderedPageBreak/>
        <w:t xml:space="preserve">від 01.06.2011 № 3449-VI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Відомості Верховної Ради України. – 2011. - № 50. - Ст.545.</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Закон України «Про ратифікацію Європейської конвенції про міжнародну дійсність кримінальних вироків» від 26.09.2002 № 172-IV [Текст] / Відомості Верховної Ради України. – 2002. - №46 - Ст.343.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Закон України «Про ратифікацію Конвенції про міжнародне стягнення аліментів на дітей та інших видів сімейного утримання» від 11.01.2013 № 26-VII [Текст] / Відомості Верховної Ради. – 2014. - №10. - Ст.104.</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Закон України «Про судоустрій і статус суддів» від  02.06.2016 № </w:t>
      </w:r>
      <w:r w:rsidRPr="00E45578">
        <w:rPr>
          <w:rFonts w:ascii="Times New Roman" w:eastAsia="Calibri" w:hAnsi="Times New Roman" w:cs="Times New Roman"/>
          <w:bCs/>
          <w:sz w:val="28"/>
          <w:szCs w:val="28"/>
          <w:lang w:val="uk-UA"/>
        </w:rPr>
        <w:t>1402-VIII [Текст] / Відомості Верховної Ради. – 2016 - № 31. - Ст.545.</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Звернення до Європейського  суду з прав людини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[Автори-упорядники Р.О.Куйбіда, Т.В.Руда, літературно–тематичне редагування – Н.І.Петрова]</w:t>
      </w:r>
      <w:r w:rsidRPr="00E45578">
        <w:rPr>
          <w:rFonts w:ascii="Times New Roman" w:eastAsia="Calibri" w:hAnsi="Times New Roman" w:cs="Times New Roman"/>
          <w:sz w:val="28"/>
          <w:szCs w:val="28"/>
          <w:lang w:val="uk-UA"/>
        </w:rPr>
        <w:t xml:space="preserve"> – К.: Вид. Проекту USAID «Справедливе правосуддя», 2016. – 76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Зиновьев А. В. Суверенитет, демократия, государство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А.В. Зиновьев // Правоведение. – 2006. – № 6. – С. 20-28.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Зорькин В. Роль конституционного суда в обеспечении стабильности и развития конституции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 Зорькин // Сравнительное конституционное обозрение. – 2004. – № 3. – С. 83-87.</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Зорькин В.Д. Взаимодействие национального и наднационального правосудия: новые вызовы и перспективы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В.Д. Зорькин // Реализация Европейской конвенции о защите прав и основных свобод человека национальными судебными системами: опыт Италии и России. – Strasbourg: Centre Europeen de Cooperation Juridique, 2013. - 207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Зорькин В.Д. Конституционный суд России в европейском правовом поле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В.Д. Зорькин // Журнал российского права. - 2005. - №3. – С. 26-33.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Ігнатенко Т. Рішення ЄСПЛ як підстава для перегляду конкретної справи ВСУ: відновлення порушеного права чи формальність? / Юридична газета online від 29.09.2015 року. [Електронний ресурс] </w:t>
      </w:r>
      <w:r w:rsidRPr="00E45578">
        <w:rPr>
          <w:rFonts w:ascii="Times New Roman" w:eastAsia="Calibri" w:hAnsi="Times New Roman" w:cs="Times New Roman"/>
          <w:sz w:val="28"/>
          <w:szCs w:val="28"/>
        </w:rPr>
        <w:t xml:space="preserve">: </w:t>
      </w:r>
      <w:r w:rsidRPr="00E45578">
        <w:rPr>
          <w:rFonts w:ascii="Times New Roman" w:eastAsia="Calibri" w:hAnsi="Times New Roman" w:cs="Times New Roman"/>
          <w:sz w:val="28"/>
          <w:szCs w:val="28"/>
        </w:rPr>
        <w:lastRenderedPageBreak/>
        <w:t>[Веб-сайт]. – Електронні дані. </w:t>
      </w:r>
      <w:r w:rsidRPr="00E45578">
        <w:rPr>
          <w:rFonts w:ascii="Times New Roman" w:eastAsia="Calibri" w:hAnsi="Times New Roman" w:cs="Times New Roman"/>
          <w:sz w:val="28"/>
          <w:szCs w:val="28"/>
          <w:lang w:val="uk-UA"/>
        </w:rPr>
        <w:t xml:space="preserve"> – Режим доступу: http://yur-gazeta.com/dumka-eksperta/rishennya-espl-yak-pidstava-dlya-pereglyadu-konkretnoyi-spravi-vsu-vidnovlennya-porushenogo-prava-ch.html.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Ільченко І.М. </w:t>
      </w:r>
      <w:r w:rsidRPr="00E45578">
        <w:rPr>
          <w:rFonts w:ascii="Times New Roman" w:eastAsia="Calibri" w:hAnsi="Times New Roman" w:cs="Times New Roman"/>
          <w:bCs/>
          <w:sz w:val="28"/>
          <w:szCs w:val="28"/>
          <w:lang w:val="uk-UA"/>
        </w:rPr>
        <w:t>Імплементація Конвенції про захист прав людини і основоположних свобод та прецедентного права Європейського суду з прав людини: міжнародно правовий аналіз практики держав</w:t>
      </w:r>
      <w:r w:rsidRPr="00E45578">
        <w:rPr>
          <w:rFonts w:ascii="Times New Roman" w:eastAsia="Calibri" w:hAnsi="Times New Roman" w:cs="Times New Roman"/>
          <w:sz w:val="28"/>
          <w:szCs w:val="28"/>
          <w:lang w:val="uk-UA"/>
        </w:rPr>
        <w:t>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І. М. Ільченко // Науковий вісник Дипломатичної академії України. - 2009. - Вип. 15. - С. 311-318.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Інструкція про виконання в Україні Конвенції про стягнення аліментів за кордоном від 29.12.2006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http://zakon5.rada.gov.ua/laws/show/z1390-06.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Інструкція про порядок виконання міжнародних договорів з питань надання правової допомоги в цивільних справах щодо вручення документів, отримання доказів та визнання і виконання судових рішень від 27.06.2008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http://zakon2.rada.gov.ua/laws/show/z0573-08.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Історія розвитку адміністративного судочинства України.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Вищого адміністративного суду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http://www.vasu.gov.ua/history.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Караман І.В., Козіна В.В. Європейський суд з прав людини, Європейська кон- венція з прав людини та індивідуальні заяви: перше знайомство [Текст] / І.В. Караман, В.В. Козіна. – К.: ВАІТЕ, 2015. – 136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Карпачова Н. І. Стан дотримання та захисту прав і свобод людини в Україні: Перша щорічна доповідь Уповноваженого Верховної Ради </w:t>
      </w:r>
      <w:r w:rsidRPr="00E45578">
        <w:rPr>
          <w:rFonts w:ascii="Times New Roman" w:eastAsia="Calibri" w:hAnsi="Times New Roman" w:cs="Times New Roman"/>
          <w:sz w:val="28"/>
          <w:szCs w:val="28"/>
          <w:lang w:val="uk-UA"/>
        </w:rPr>
        <w:lastRenderedPageBreak/>
        <w:t xml:space="preserve">України з прав людини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Н. І. Карпачова. - К. : [б.в.], 2000. - 378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Кодекс адміністративного судочинства України від 06.07.2005 № </w:t>
      </w:r>
      <w:r w:rsidRPr="00E45578">
        <w:rPr>
          <w:rFonts w:ascii="Times New Roman" w:eastAsia="Calibri" w:hAnsi="Times New Roman" w:cs="Times New Roman"/>
          <w:bCs/>
          <w:sz w:val="28"/>
          <w:szCs w:val="28"/>
          <w:lang w:val="uk-UA"/>
        </w:rPr>
        <w:t>2747-IV [Текст] / Відомості Верховної Ради України. – 2005. - № 35-36, № 37. - Ст.446.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Організації Об'єднаних Націй проти транснаціональної організованої злочинності від 15.11.2000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http://zakon2.rada.gov.ua/laws/show/995_789.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відмивання, пошук, арешт та конфіскацію доходів, одержаних злочинним шляхом від 08.11.1990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вручення за кордоном судових та позасудових документів у цивільних або комерційних справах від 15.11.1965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http://zakon2.rada.gov.ua/laws/show/995_890.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захист довкілля засобами кримінального законодавства від 04.11.1998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http://zakon0.rada.gov.ua/laws/show/994_560.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захист прав людини і основоположних свобод від 04.11.1950.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http://zakon2.rada.gov.ua/laws/show/995_004.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міжнародне стягнення аліментів на дітей та інших видів сімейного утримання від 23.11.2007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http://zakon2.rada.gov.ua/laws/show/995_l12.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Конвенція про отримання за кордоном доказів у цивільних або комерційних справах від 18.03.1970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http://zakon2.rada.gov.ua/laws/show/995_922.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передачу засуджених до позбавлення волі для подальшого відбування покарання від 06.03.1998.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http://zakon3.rada.gov.ua/laws/show/997_195.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передачу засуджених осіб від 21.03.1983.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http://zakon2.rada.gov.ua/laws/show/994_025.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передачу осіб, засуджених до позбавлення волі, для відбування покарання у державі, громадянами якої вони являються від 19.05.1978.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http://zakon2.rada.gov.ua/laws/show/995_831.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правову допомогу і правові відносини у цивільних, сімейних і кримінальних справах від 22.01.1993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http://zakon2.rada.gov.ua/laws/show/997_009.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Конвенція про стягнення аліментів за кордоном від 20.06.1956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http://zakon5.rada.gov.ua/laws/show/995_425.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Конвенція</w:t>
      </w:r>
      <w:r w:rsidRPr="00E45578">
        <w:rPr>
          <w:rFonts w:ascii="Times New Roman" w:eastAsia="Calibri" w:hAnsi="Times New Roman" w:cs="Times New Roman"/>
          <w:sz w:val="28"/>
          <w:szCs w:val="28"/>
          <w:lang w:val="uk-UA"/>
        </w:rPr>
        <w:t> про </w:t>
      </w:r>
      <w:r w:rsidRPr="00E45578">
        <w:rPr>
          <w:rFonts w:ascii="Times New Roman" w:eastAsia="Calibri" w:hAnsi="Times New Roman" w:cs="Times New Roman"/>
          <w:bCs/>
          <w:sz w:val="28"/>
          <w:szCs w:val="28"/>
          <w:lang w:val="uk-UA"/>
        </w:rPr>
        <w:t>захист прав людини</w:t>
      </w:r>
      <w:r w:rsidRPr="00E45578">
        <w:rPr>
          <w:rFonts w:ascii="Times New Roman" w:eastAsia="Calibri" w:hAnsi="Times New Roman" w:cs="Times New Roman"/>
          <w:sz w:val="28"/>
          <w:szCs w:val="28"/>
          <w:lang w:val="uk-UA"/>
        </w:rPr>
        <w:t> і </w:t>
      </w:r>
      <w:r w:rsidRPr="00E45578">
        <w:rPr>
          <w:rFonts w:ascii="Times New Roman" w:eastAsia="Calibri" w:hAnsi="Times New Roman" w:cs="Times New Roman"/>
          <w:bCs/>
          <w:sz w:val="28"/>
          <w:szCs w:val="28"/>
          <w:lang w:val="uk-UA"/>
        </w:rPr>
        <w:t>основоположних свобод</w:t>
      </w:r>
      <w:r w:rsidRPr="00E45578">
        <w:rPr>
          <w:rFonts w:ascii="Times New Roman" w:eastAsia="Calibri" w:hAnsi="Times New Roman" w:cs="Times New Roman"/>
          <w:sz w:val="28"/>
          <w:szCs w:val="28"/>
          <w:lang w:val="uk-UA"/>
        </w:rPr>
        <w:t xml:space="preserve"> від 04.11.1950 року.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http://zakon5.rada.gov.ua.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Конституція України від 28 червня 1996 року № 254к/96-ВР // Відомості Верховної Ради України. – 1996. – № 30. – Ст. 141.</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Кримінальна конвенція про боротьбу з корупцією від 27.01.1999.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http://zakon3.rada.gov.ua/laws/show/994_101.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Кримінальний кодекс України від 05.04.2001 № 2341-III [Текст] / Відомості Верховної Ради України – 2001. - № 25-26. - Ст.131.</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Кримінальний процесуальний кодекс України від 13.04.2012 № 4651-VI [Текст] / Відомості Верховної Ради України (ВВР), 2013, № 9-10, № 11-12, № 13, ст.88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Кримінальний процесуальний кодекс України: Закон України від 13.04.2012.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Голос України. – 2012. – 19 травня (№ 90–91).</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Лаптев П.А.  Российское правосудие и Европейский суд по правам человека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П.А. Лаптев // </w:t>
      </w:r>
      <w:r w:rsidRPr="00E45578">
        <w:rPr>
          <w:rFonts w:ascii="Times New Roman" w:eastAsia="Calibri" w:hAnsi="Times New Roman" w:cs="Times New Roman"/>
          <w:sz w:val="28"/>
          <w:szCs w:val="28"/>
        </w:rPr>
        <w:t xml:space="preserve">Общепризнанные принципы и нормы международного права, международные договоры в практике конституционного правосудия: Матер. Всерос. совещания / Под ред. М. А. Митюкова, С. Б. Кабышева, В. К. Боброва и А. В. Сычевой.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 xml:space="preserve">М., 2004.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rPr>
        <w:t>С. 24 – 31</w:t>
      </w:r>
      <w:r w:rsidRPr="00E45578">
        <w:rPr>
          <w:rFonts w:ascii="Times New Roman" w:eastAsia="Calibri" w:hAnsi="Times New Roman" w:cs="Times New Roman"/>
          <w:sz w:val="28"/>
          <w:szCs w:val="28"/>
          <w:lang w:val="uk-UA"/>
        </w:rPr>
        <w:t xml:space="preserve">.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Лєбедєва М. Формування нової політичної структури світу та місце в ній Росії [Текст] / М.Лєбедєва // Н</w:t>
      </w:r>
      <w:r w:rsidRPr="00E45578">
        <w:rPr>
          <w:rFonts w:ascii="Times New Roman" w:eastAsia="Calibri" w:hAnsi="Times New Roman" w:cs="Times New Roman"/>
          <w:bCs/>
          <w:sz w:val="28"/>
          <w:szCs w:val="28"/>
          <w:lang w:val="uk-UA"/>
        </w:rPr>
        <w:t>езалежний культурологічний часопис «Ї»</w:t>
      </w:r>
      <w:r w:rsidRPr="00E45578">
        <w:rPr>
          <w:rFonts w:ascii="Times New Roman" w:eastAsia="Calibri" w:hAnsi="Times New Roman" w:cs="Times New Roman"/>
          <w:sz w:val="28"/>
          <w:szCs w:val="28"/>
          <w:lang w:val="uk-UA"/>
        </w:rPr>
        <w:t>. – 2005. – № 39 – С. 158-167.</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Луман Н. Общество общества. IV. Дифференциация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Н. Луман. – М.: Логос, 2006. – 320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Макаруха З.М. Правові основи заснування простору цивільного правосуддя в рамках ЄС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З.М. Макаруха // Вісник Академії адвокатури України. -  2010. - №1. - С. 92-98.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Маланчук П. Вступ до міжнародного права за Ейкхерстом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П. Маланчук. – Х.: Консум, 2000. – 592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Марышева Н.И. Международно-правовая помощь по гражданским и уголовным делам : Дисс… д-ра юрид. наук в форме научного доклада : 12.00.09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Н.И. Мар</w:t>
      </w:r>
      <w:r w:rsidRPr="00E45578">
        <w:rPr>
          <w:rFonts w:ascii="Times New Roman" w:eastAsia="Calibri" w:hAnsi="Times New Roman" w:cs="Times New Roman"/>
          <w:sz w:val="28"/>
          <w:szCs w:val="28"/>
        </w:rPr>
        <w:t>ы</w:t>
      </w:r>
      <w:r w:rsidRPr="00E45578">
        <w:rPr>
          <w:rFonts w:ascii="Times New Roman" w:eastAsia="Calibri" w:hAnsi="Times New Roman" w:cs="Times New Roman"/>
          <w:sz w:val="28"/>
          <w:szCs w:val="28"/>
          <w:lang w:val="uk-UA"/>
        </w:rPr>
        <w:t>шева. - М., 1996. – 407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lastRenderedPageBreak/>
        <w:t>Меморандум про взаєморозуміння між Урядом України і</w:t>
      </w:r>
      <w:bookmarkStart w:id="1" w:name="o2"/>
      <w:bookmarkEnd w:id="1"/>
      <w:r w:rsidRPr="00E45578">
        <w:rPr>
          <w:rFonts w:ascii="Times New Roman" w:eastAsia="Calibri" w:hAnsi="Times New Roman" w:cs="Times New Roman"/>
          <w:bCs/>
          <w:sz w:val="28"/>
          <w:szCs w:val="28"/>
          <w:lang w:val="uk-UA"/>
        </w:rPr>
        <w:t xml:space="preserve"> Організацією з безпеки і співробітництва в Європі (ОБСЄ) щодо створення нової форми співробітництва від 13.07.19999 року. [Електронний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Верховної Ради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http://zakon2.rada.gov.ua/laws/show/994_309.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Міжнародні зв’язки Верховного Суду України Офіційний сайт Верховного Суду України.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Верховного Суду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http://www.scourt.gov.ua/clients/vsu/vsu.nsf/(documents)/1437EE4164A88857C2257ADB003256F5.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Міжнародні зв’язки. Офіційний сайт Конституційного Суду України.  </w:t>
      </w:r>
      <w:r w:rsidRPr="00E45578">
        <w:rPr>
          <w:rFonts w:ascii="Times New Roman" w:eastAsia="Calibri" w:hAnsi="Times New Roman" w:cs="Times New Roman"/>
          <w:bCs/>
          <w:sz w:val="28"/>
          <w:szCs w:val="28"/>
          <w:lang w:val="uk-UA"/>
        </w:rPr>
        <w:t xml:space="preserve">[Електронний ресурс]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bCs/>
          <w:sz w:val="28"/>
          <w:szCs w:val="28"/>
          <w:lang w:val="uk-UA"/>
        </w:rPr>
        <w:t>Офіційний сайт Конституційного Суду України – Режим доступу :</w:t>
      </w:r>
      <w:r w:rsidRPr="00E45578">
        <w:rPr>
          <w:rFonts w:ascii="Times New Roman" w:eastAsia="Calibri" w:hAnsi="Times New Roman" w:cs="Times New Roman"/>
          <w:bCs/>
          <w:sz w:val="28"/>
          <w:szCs w:val="28"/>
        </w:rPr>
        <w:t xml:space="preserve"> </w:t>
      </w:r>
      <w:r w:rsidRPr="00E45578">
        <w:rPr>
          <w:rFonts w:ascii="Times New Roman" w:eastAsia="Calibri" w:hAnsi="Times New Roman" w:cs="Times New Roman"/>
          <w:sz w:val="28"/>
          <w:szCs w:val="28"/>
          <w:lang w:val="uk-UA"/>
        </w:rPr>
        <w:t>http://ccu.gov.ua:8080/uk/publish/category/6137.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Міжнародно-правове співробітництво. </w:t>
      </w:r>
      <w:r w:rsidRPr="00E45578">
        <w:rPr>
          <w:rFonts w:ascii="Times New Roman" w:eastAsia="Calibri" w:hAnsi="Times New Roman" w:cs="Times New Roman"/>
          <w:bCs/>
          <w:sz w:val="28"/>
          <w:szCs w:val="28"/>
          <w:lang w:val="uk-UA"/>
        </w:rPr>
        <w:t xml:space="preserve">[Електронний ресурс] : Офіційний сайт Вищого спецiалiзованого суду України з розгляду цивiльних i кримiнальних справ – Режим доступу : </w:t>
      </w:r>
      <w:r w:rsidRPr="00E45578">
        <w:rPr>
          <w:rFonts w:ascii="Times New Roman" w:eastAsia="Calibri" w:hAnsi="Times New Roman" w:cs="Times New Roman"/>
          <w:sz w:val="28"/>
          <w:szCs w:val="28"/>
          <w:lang w:val="uk-UA"/>
        </w:rPr>
        <w:t>http://sc.gov.ua/ua/podiji_za_2016_rik.html.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Мусис Н. Усе про політики Європейського Союзу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Н. Мусис. – К.: К.І.С., 2005. – 465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Неліп М. І., Мережко О. О. Силовий захист прав людини. Питання легітимності в сучасному міжнародному праві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М.І. Неліп, О.О. Мережко. – К.: Наукова думка, 1998. – 192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Обговорення проблем реалізації прав людини у контексті міжнародних конвенцій (за матеріалами "круглого столу", проведеного юридичним факультетом КНУ імені Тараса Шевченка 19.09.2003)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Бюлетень Міністерства юстиції України. – 2003. – №9. – С. 33-42</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Общепризнанные принципы и нормы международного права, международные договоры в практике конституционного правосудия : </w:t>
      </w:r>
      <w:r w:rsidRPr="00E45578">
        <w:rPr>
          <w:rFonts w:ascii="Times New Roman" w:eastAsia="Calibri" w:hAnsi="Times New Roman" w:cs="Times New Roman"/>
          <w:sz w:val="28"/>
          <w:szCs w:val="28"/>
          <w:lang w:val="uk-UA"/>
        </w:rPr>
        <w:lastRenderedPageBreak/>
        <w:t xml:space="preserve">Материалы всероссийского совещания. Москва. 24 декабря 2004 г.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Под ред. М.А. Митюкова, С.В. Кабышева, В.К. Бобровой и А.В. Сычевой. - М.: Международн</w:t>
      </w:r>
      <w:r w:rsidRPr="00E45578">
        <w:rPr>
          <w:rFonts w:ascii="Times New Roman" w:eastAsia="Calibri" w:hAnsi="Times New Roman" w:cs="Times New Roman"/>
          <w:sz w:val="28"/>
          <w:szCs w:val="28"/>
        </w:rPr>
        <w:t>ые отношения</w:t>
      </w:r>
      <w:r w:rsidRPr="00E45578">
        <w:rPr>
          <w:rFonts w:ascii="Times New Roman" w:eastAsia="Calibri" w:hAnsi="Times New Roman" w:cs="Times New Roman"/>
          <w:sz w:val="28"/>
          <w:szCs w:val="28"/>
          <w:lang w:val="uk-UA"/>
        </w:rPr>
        <w:t xml:space="preserve">, 2004. – 536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Огляд судової реформи в Україні. Роль модельних судів</w:t>
      </w:r>
      <w:r w:rsidRPr="00E45578">
        <w:rPr>
          <w:rFonts w:ascii="Tahoma" w:eastAsia="Calibri" w:hAnsi="Tahoma" w:cs="Tahoma"/>
          <w:color w:val="000000"/>
          <w:sz w:val="18"/>
          <w:szCs w:val="18"/>
          <w:shd w:val="clear" w:color="auto" w:fill="FFFFFF"/>
        </w:rPr>
        <w:t xml:space="preserve"> </w:t>
      </w:r>
      <w:r w:rsidRPr="00E45578">
        <w:rPr>
          <w:rFonts w:ascii="Times New Roman" w:eastAsia="Calibri" w:hAnsi="Times New Roman" w:cs="Times New Roman"/>
          <w:sz w:val="28"/>
          <w:szCs w:val="28"/>
        </w:rPr>
        <w:t>[Текст]</w:t>
      </w:r>
      <w:r w:rsidRPr="00E45578">
        <w:rPr>
          <w:rFonts w:ascii="Times New Roman" w:eastAsia="Calibri" w:hAnsi="Times New Roman" w:cs="Times New Roman"/>
          <w:sz w:val="28"/>
          <w:szCs w:val="28"/>
          <w:lang w:val="uk-UA"/>
        </w:rPr>
        <w:t>. – К.: Центр політико-правових реформ. – 2004. - 47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Паліюк В.П. Застосування судами України Конвенції про захист прав людини та основних свобод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В.П. Паліюк. – К.: Фенікс, 2004. – 264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Паліюк В.П. Рішення Європейського суду з прав людини і практика розгляду цивільних справ судами України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Вісник Верховного Суду України. – 2001. - № 2. – С. 43-44.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Пархоменко Н.М. Джерела права: проблеми теорії та методології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Н.М. Пархоменко. – К.: ТОВ «Видавництво «Юридична думка», 2008. – С. 336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Пилипенко В.П. Міжнародний кримінальний суд за Римським договором 1998 року : Автореф. дис... канд. юрид. наук: 12.00.11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В.П. </w:t>
      </w:r>
      <w:r w:rsidRPr="00E45578">
        <w:rPr>
          <w:rFonts w:ascii="Times New Roman" w:eastAsia="Calibri" w:hAnsi="Times New Roman" w:cs="Times New Roman"/>
          <w:bCs/>
          <w:sz w:val="28"/>
          <w:szCs w:val="28"/>
          <w:lang w:val="uk-UA"/>
        </w:rPr>
        <w:t>Пилипенко</w:t>
      </w:r>
      <w:r w:rsidRPr="00E45578">
        <w:rPr>
          <w:rFonts w:ascii="Times New Roman" w:eastAsia="Calibri" w:hAnsi="Times New Roman" w:cs="Times New Roman"/>
          <w:sz w:val="28"/>
          <w:szCs w:val="28"/>
          <w:lang w:val="uk-UA"/>
        </w:rPr>
        <w:t> ; Нац. юрид. акад. України ім. Я.Мудрого. — Х., 2005. — 19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Полянский Н.Н.: Международный военный трибунал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Н.Н. Полянский. – М.: Институт права Акад. наук СССР, 1946. – 48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Поставнова ВРУ «Про Концепцію судово-правової реформи в Україні» від 28.04.1992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Відомості Верховної Ради України – 1992. - № 30. -Ст.426.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Постанова Конституційного Суду Італії від 28.11.2012 року по справі № 264/2012. </w:t>
      </w:r>
      <w:r w:rsidRPr="00E45578">
        <w:rPr>
          <w:rFonts w:ascii="Times New Roman" w:eastAsia="Calibri" w:hAnsi="Times New Roman" w:cs="Times New Roman"/>
          <w:bCs/>
          <w:sz w:val="28"/>
          <w:szCs w:val="28"/>
          <w:lang w:val="uk-UA"/>
        </w:rPr>
        <w:t xml:space="preserve">[Електронний ресурс] : Офіційний сайт Конституційного суду Італії – Режим доступу : </w:t>
      </w:r>
      <w:r w:rsidRPr="00E45578">
        <w:rPr>
          <w:rFonts w:ascii="Times New Roman" w:eastAsia="Calibri" w:hAnsi="Times New Roman" w:cs="Times New Roman"/>
          <w:sz w:val="28"/>
          <w:szCs w:val="28"/>
          <w:lang w:val="uk-UA"/>
        </w:rPr>
        <w:t xml:space="preserve"> http://www.giurcost.org/decisioni/2012/0264s-12.html.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Постанова Федерального Конституційного Суду Німеччини від 14.10.2004 року в справі 2 BvR 1481/04 (</w:t>
      </w:r>
      <w:r w:rsidRPr="00E45578">
        <w:rPr>
          <w:rFonts w:ascii="Times New Roman" w:eastAsia="Calibri" w:hAnsi="Times New Roman" w:cs="Times New Roman"/>
          <w:bCs/>
          <w:sz w:val="28"/>
          <w:szCs w:val="28"/>
          <w:lang w:val="uk-UA"/>
        </w:rPr>
        <w:t>BVerfGE 111, 307</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bCs/>
          <w:sz w:val="28"/>
          <w:szCs w:val="28"/>
          <w:lang w:val="uk-UA"/>
        </w:rPr>
        <w:lastRenderedPageBreak/>
        <w:t xml:space="preserve">[Електронний ресурс] : </w:t>
      </w:r>
      <w:r w:rsidRPr="00E45578">
        <w:rPr>
          <w:rFonts w:ascii="Times New Roman" w:eastAsia="Calibri" w:hAnsi="Times New Roman" w:cs="Times New Roman"/>
          <w:bCs/>
          <w:sz w:val="28"/>
          <w:szCs w:val="28"/>
        </w:rPr>
        <w:t xml:space="preserve">[Веб сайт] </w:t>
      </w:r>
      <w:r w:rsidRPr="00E45578">
        <w:rPr>
          <w:rFonts w:ascii="Times New Roman" w:eastAsia="Calibri" w:hAnsi="Times New Roman" w:cs="Times New Roman"/>
          <w:bCs/>
          <w:sz w:val="28"/>
          <w:szCs w:val="28"/>
          <w:lang w:val="uk-UA"/>
        </w:rPr>
        <w:t xml:space="preserve">– Режим доступу : </w:t>
      </w:r>
      <w:r w:rsidRPr="00E45578">
        <w:rPr>
          <w:rFonts w:ascii="Times New Roman" w:eastAsia="Calibri" w:hAnsi="Times New Roman" w:cs="Times New Roman"/>
          <w:sz w:val="28"/>
          <w:szCs w:val="28"/>
          <w:lang w:val="uk-UA"/>
        </w:rPr>
        <w:t>http://www.servat.unibe.ch/dfr/bv111307.html.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Постанови Пленуму Верховного Суду України (1963-2000): Офіц.вид.: У 2 т.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За заг. ред. В.Ф. Бойка. – К.: АСК, 2000. – Т.1. – 327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bCs/>
          <w:sz w:val="28"/>
          <w:szCs w:val="28"/>
          <w:lang w:val="uk-UA"/>
        </w:rPr>
      </w:pPr>
      <w:r w:rsidRPr="00E45578">
        <w:rPr>
          <w:rFonts w:ascii="Times New Roman" w:eastAsia="Calibri" w:hAnsi="Times New Roman" w:cs="Times New Roman"/>
          <w:bCs/>
          <w:sz w:val="28"/>
          <w:szCs w:val="28"/>
          <w:lang w:val="uk-UA"/>
        </w:rPr>
        <w:t>Право на життя у рішеннях Конституційного Суду України та Європейського суду з прав людини </w:t>
      </w:r>
      <w:r w:rsidRPr="00E45578">
        <w:rPr>
          <w:rFonts w:ascii="Times New Roman" w:eastAsia="Calibri" w:hAnsi="Times New Roman" w:cs="Times New Roman"/>
          <w:bCs/>
          <w:sz w:val="28"/>
          <w:szCs w:val="28"/>
        </w:rPr>
        <w:t xml:space="preserve">[Текст] </w:t>
      </w:r>
      <w:r w:rsidRPr="00E45578">
        <w:rPr>
          <w:rFonts w:ascii="Times New Roman" w:eastAsia="Calibri" w:hAnsi="Times New Roman" w:cs="Times New Roman"/>
          <w:bCs/>
          <w:sz w:val="28"/>
          <w:szCs w:val="28"/>
          <w:lang w:val="uk-UA"/>
        </w:rPr>
        <w:t xml:space="preserve">/ О. Моткова // Вісник Конституційного Суду України. - 2015. - № 1. - С. 49-59.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Правові основи заснування простору цивільно</w:t>
      </w:r>
      <w:r w:rsidRPr="00E45578">
        <w:rPr>
          <w:rFonts w:ascii="Times New Roman" w:eastAsia="Calibri" w:hAnsi="Times New Roman" w:cs="Times New Roman"/>
          <w:sz w:val="28"/>
          <w:szCs w:val="28"/>
          <w:lang w:val="uk-UA"/>
        </w:rPr>
        <w:softHyphen/>
        <w:t xml:space="preserve">го правосуддя в рамках ЄС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Макаруха З.М. // Вісник Академії адвокатури України. – 2010. - № 1. – С. 92–98.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Применение европейской конвенции о защите прав человека в судах России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Под. ред. А.Л. Быкова. - Екатеринбург: Изд-во урал. инст-та, 2006. – 264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Про виконання та застосування практики Європейського суду з прав людини: закон України від 23 лютого 2006 року № 3477-IV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Відомості Верховної Ради України. – 2006. – № 30. – Ст. 260.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Про ратифікацію Конвенції про захист прав людини і основоположних свобод 1950 року, Першого протоколу та протоколів № 2, 4, 7 та 11 до Конвенції: закон України від 17 липня 1997 року № 475/97-ВР [Текст] / Відомості Верховної Ради України. – 1997. – № 40. – Ст. 263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Проект Twinning. </w:t>
      </w:r>
      <w:r w:rsidRPr="00E45578">
        <w:rPr>
          <w:rFonts w:ascii="Times New Roman" w:eastAsia="Calibri" w:hAnsi="Times New Roman" w:cs="Times New Roman"/>
          <w:bCs/>
          <w:sz w:val="28"/>
          <w:szCs w:val="28"/>
          <w:lang w:val="uk-UA"/>
        </w:rPr>
        <w:t xml:space="preserve">[Електронний ресурс] : Офіційний сайт Вищого адміністративного суду України – Режим доступу : </w:t>
      </w:r>
      <w:r w:rsidRPr="00E45578">
        <w:rPr>
          <w:rFonts w:ascii="Times New Roman" w:eastAsia="Calibri" w:hAnsi="Times New Roman" w:cs="Times New Roman"/>
          <w:sz w:val="28"/>
          <w:szCs w:val="28"/>
          <w:lang w:val="uk-UA"/>
        </w:rPr>
        <w:t xml:space="preserve"> http://www.vasu.gov.ua/mps/twinning. – Назва з екрану.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Проект Twinning «Підвищення ефективності та якості управління адміністративних судів в Україні». </w:t>
      </w:r>
      <w:r w:rsidRPr="00E45578">
        <w:rPr>
          <w:rFonts w:ascii="Times New Roman" w:eastAsia="Calibri" w:hAnsi="Times New Roman" w:cs="Times New Roman"/>
          <w:bCs/>
          <w:sz w:val="28"/>
          <w:szCs w:val="28"/>
          <w:lang w:val="uk-UA"/>
        </w:rPr>
        <w:t xml:space="preserve">[Електронний ресурс] : Офіційний сайт Вищого адміністративного суду України – Режим доступу : </w:t>
      </w:r>
      <w:r w:rsidRPr="00E45578">
        <w:rPr>
          <w:rFonts w:ascii="Times New Roman" w:eastAsia="Calibri" w:hAnsi="Times New Roman" w:cs="Times New Roman"/>
          <w:sz w:val="28"/>
          <w:szCs w:val="28"/>
          <w:lang w:val="uk-UA"/>
        </w:rPr>
        <w:t xml:space="preserve"> http://www.vasu.gov.ua/mps/twinning/pro-tw.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Пухаленко В.П. Міжнародно-судове співробітництво в рамках ЄС з цивільних справ [Текст] / В.П. Пухаленко // Часопис Академії адвокатури України. – 2011. - №4 (13). - С. 1-6.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Резолюція 45/116 Генеральної Асамблеї ООН "Типовий договір про видачу" від 14.12.1990.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http://zakon2.rada.gov.ua/laws/show/995_687.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Рекомендація N (94) 12 "Незалежність, дієвість та роль суддів" (ухвалена Комітетом Міністрів Ради Європи  на 518 засіданні заступників міністрів 13.10.94 р.). [Електронний ресурс] : Офіційний сайт Верховної Ради України – Режим доступу :   http://zakon3.rada.gov.ua/laws/show/994_323.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Римский статут международного уголовного суда от 17.07.1998 года.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http://zakon2.rada.gov.ua/laws/show/995_588.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Рішення Конституційного Суду України у справі за конституційним поданням 60 народних депутатів України про офіційне тлумачення положень частини першої статті 103 Конституції України в контексті положень її статей 5, 156 та за конституційним зверненням громадян Галайчука Вадима Сергійовича, Подгорної Вікторії Валентинівни, Кислої Тетяни Володимирівни про офіційне тлумачення положень частин другої, третьої, четвертої статті 5 Конституції України (справа про здійснення влади народом).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http://zakon2.rada.gov.ua/laws/show/v006p710-05.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Рішення Конституційного Суду України у справі за конституційним поданням Верховного Суду України про офіційне тлумачення положень частин першої, другої статті 126 Конституції України та частини другої статті 13 Закону України "Про статус суддів" </w:t>
      </w:r>
      <w:r w:rsidRPr="00E45578">
        <w:rPr>
          <w:rFonts w:ascii="Times New Roman" w:eastAsia="Calibri" w:hAnsi="Times New Roman" w:cs="Times New Roman"/>
          <w:sz w:val="28"/>
          <w:szCs w:val="28"/>
          <w:lang w:val="uk-UA"/>
        </w:rPr>
        <w:lastRenderedPageBreak/>
        <w:t xml:space="preserve">(справа про незалежність суддів як складову їхнього статусу).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http://zakon2.rada.gov.ua/laws/show/v019p710-04.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Рішення Конституційного Суду України у справі за конституційним поданням 50 народних депутатів України про офіційне тлумачення положень частини третьої статті 53 Конституції України "держава забезпечує доступність і безоплатність дошкільної, повної загальної середньої, професійно-технічної, вищої освіти в державних і комунальних навчальних закладах" (справа про доступність і безоплатність освіти).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http://zakon2.rada.gov.ua/laws/show/v005p710-04.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Рішення Конституційного Суду України у справі за конституційним поданням Верховного Суду України щодо відповідності Конституції України (конституційності) положень частини третьої статті 120, частини шостої статті 234, частини третьої статті 236 Кримінально-процесуального кодексу України (справа про розгляд судом окремих постанов слідчого і прокурора).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http://zakon3.rada.gov.ua/laws/show/v003p710-03.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Рішення Конституційного Суду України у справі за конституційним поданням 54 народних депутатів України щодо відповідності Конституції України (конституційності) Закону України "Про ратифікацію Європейської хартії регіональних мов або мов меншин, 1992 р." (справа про ратифікацію Хартії про мови, 1992 р.) / http://zakon3.rada.gov.ua/laws/show/v009p710-00</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Рішення Конституційного Суду України у справі щодо офіційного тлумачення статей 3, 23, 31, 47, 48 Закону України "Про інформацію" та статті 12 Закону України "Про прокуратуру" (справа К.Г.Устименка). </w:t>
      </w:r>
      <w:r w:rsidRPr="00E45578">
        <w:rPr>
          <w:rFonts w:ascii="Times New Roman" w:eastAsia="Calibri" w:hAnsi="Times New Roman" w:cs="Times New Roman"/>
          <w:bCs/>
          <w:sz w:val="28"/>
          <w:szCs w:val="28"/>
          <w:lang w:val="uk-UA"/>
        </w:rPr>
        <w:lastRenderedPageBreak/>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 xml:space="preserve">  http://zakon3.rada.gov.ua/laws/show/v005p710-97.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Розпорядження КМУ «</w:t>
      </w:r>
      <w:r w:rsidRPr="00E45578">
        <w:rPr>
          <w:rFonts w:ascii="Times New Roman" w:eastAsia="Calibri" w:hAnsi="Times New Roman" w:cs="Times New Roman"/>
          <w:bCs/>
          <w:sz w:val="28"/>
          <w:szCs w:val="28"/>
          <w:lang w:val="uk-UA"/>
        </w:rPr>
        <w:t>Про затвердження плану заходів, спрямованих на активізацію вивчення громадянами англійської мови, на період до 2020 року» від  10 березня 2016 р. № 199-р. [Електронний ресурс] : Офіційний сайт Верховної Ради України – Режим доступу :    http://zakon0.rada.gov.ua/laws/show/199-2016-р.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Савенко М. Роль міжнародно-правових актів у діяльності Конституційного Суду України із захисту прав і свобод людини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М. Савенко // Вісник Конституційного Суду України. – 2001. - №2. – С. 71-78.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Сенжер Ф. Практика суда ЕС по вопросам внешней деятельности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Ф. Сенжер // Взаимодополняемость ЕС и его государств-членов в области внешних действий и ОВПБ и ее влияние на отношения ЕС и Российской Федерации (Материалы международной конференции, проведенной в МГИМО (У) МИД России и МГЮА 28–29 сентября 2007 г.). — СПб.: СКФ «Россия-Нева», 2008. — С. 10-19.</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Скоро в Україні запрацює проект Twinning ЄС. </w:t>
      </w:r>
      <w:r w:rsidRPr="00E45578">
        <w:rPr>
          <w:rFonts w:ascii="Times New Roman" w:eastAsia="Calibri" w:hAnsi="Times New Roman" w:cs="Times New Roman"/>
          <w:bCs/>
          <w:sz w:val="28"/>
          <w:szCs w:val="28"/>
          <w:lang w:val="uk-UA"/>
        </w:rPr>
        <w:t xml:space="preserve">[Електронний ресурс] : </w:t>
      </w:r>
      <w:r w:rsidRPr="00E45578">
        <w:rPr>
          <w:rFonts w:ascii="Times New Roman" w:eastAsia="Calibri" w:hAnsi="Times New Roman" w:cs="Times New Roman"/>
          <w:bCs/>
          <w:sz w:val="28"/>
          <w:szCs w:val="28"/>
        </w:rPr>
        <w:t>[</w:t>
      </w:r>
      <w:r w:rsidRPr="00E45578">
        <w:rPr>
          <w:rFonts w:ascii="Times New Roman" w:eastAsia="Calibri" w:hAnsi="Times New Roman" w:cs="Times New Roman"/>
          <w:bCs/>
          <w:sz w:val="28"/>
          <w:szCs w:val="28"/>
          <w:lang w:val="uk-UA"/>
        </w:rPr>
        <w:t>Веб сайт</w:t>
      </w:r>
      <w:r w:rsidRPr="00E45578">
        <w:rPr>
          <w:rFonts w:ascii="Times New Roman" w:eastAsia="Calibri" w:hAnsi="Times New Roman" w:cs="Times New Roman"/>
          <w:bCs/>
          <w:sz w:val="28"/>
          <w:szCs w:val="28"/>
        </w:rPr>
        <w:t>]</w:t>
      </w:r>
      <w:r w:rsidRPr="00E45578">
        <w:rPr>
          <w:rFonts w:ascii="Times New Roman" w:eastAsia="Calibri" w:hAnsi="Times New Roman" w:cs="Times New Roman"/>
          <w:bCs/>
          <w:sz w:val="28"/>
          <w:szCs w:val="28"/>
          <w:lang w:val="uk-UA"/>
        </w:rPr>
        <w:t xml:space="preserve"> – Режим доступу :  </w:t>
      </w:r>
      <w:r w:rsidRPr="00E45578">
        <w:rPr>
          <w:rFonts w:ascii="Times New Roman" w:eastAsia="Calibri" w:hAnsi="Times New Roman" w:cs="Times New Roman"/>
          <w:sz w:val="28"/>
          <w:szCs w:val="28"/>
          <w:lang w:val="uk-UA"/>
        </w:rPr>
        <w:t>http://www.yurfact.com.ua/fakty/skoro-v-ukraini-zapratsiuie-proekt-twinning-ies.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Смокович М.І. Правове регулювання розгляду виборчих спорів: теоретичний і практичний аспекти : монографія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М.І. Смокович. – К.: Юрінком Інтер, 2014. – 575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Справа "Бочан проти України" (Заява N 7577/02 від 03.05.2007 року). [Електронний ресурс] : Офіційний сайт Верховної Ради України – Режим доступу :    http://zakon3.rada.gov.ua/laws/show/974_209.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lastRenderedPageBreak/>
        <w:t>Справа "МПП "Голуб" проти України" (Заява N 6778/05  від 18.10.2005). [Електронний ресурс] : Офіційний сайт Верховної Ради України – Режим доступу :    http://zakon3.rada.gov.ua/laws/show/974_224.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Справа «Бочан проти України (№ 2)» (Заява № 22251/08 від 05.02.2015 року). [Електронний ресурс] : Офіційний сайт Верховної Ради України – Режим доступу :    http://zakon3.rada.gov.ua/laws/show/974_a43.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С</w:t>
      </w:r>
      <w:r w:rsidRPr="00E45578">
        <w:rPr>
          <w:rFonts w:ascii="Times New Roman" w:eastAsia="Calibri" w:hAnsi="Times New Roman" w:cs="Times New Roman"/>
          <w:iCs/>
          <w:sz w:val="28"/>
          <w:szCs w:val="28"/>
          <w:lang w:val="uk-UA"/>
        </w:rPr>
        <w:t xml:space="preserve">права «Броньовський проти Польщі» (заява № 31443/96) від 22.06.2004. </w:t>
      </w:r>
      <w:r w:rsidRPr="00E45578">
        <w:rPr>
          <w:rFonts w:ascii="Times New Roman" w:eastAsia="Calibri" w:hAnsi="Times New Roman" w:cs="Times New Roman"/>
          <w:bCs/>
          <w:iCs/>
          <w:sz w:val="28"/>
          <w:szCs w:val="28"/>
          <w:lang w:val="uk-UA"/>
        </w:rPr>
        <w:t xml:space="preserve">[Електронний ресурс] : </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Веб сайт</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 xml:space="preserve"> – Режим доступу :    </w:t>
      </w:r>
      <w:r w:rsidRPr="00E45578">
        <w:rPr>
          <w:rFonts w:ascii="Times New Roman" w:eastAsia="Calibri" w:hAnsi="Times New Roman" w:cs="Times New Roman"/>
          <w:iCs/>
          <w:sz w:val="28"/>
          <w:szCs w:val="28"/>
          <w:lang w:val="uk-UA"/>
        </w:rPr>
        <w:t>http://search.ligazakon.ua/l_doc2.nsf/link1/SO1119.html.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 xml:space="preserve">Справа «Воробйов проти України» (Заява № 28242/10 від 16.10.2014). [Електронний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http://zakon3.rada.gov.ua/laws/show/974_a36.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Справа «Кечко проти України» (Заява N 63134/00) від 08.11.2005. </w:t>
      </w:r>
      <w:r w:rsidRPr="00E45578">
        <w:rPr>
          <w:rFonts w:ascii="Times New Roman" w:eastAsia="Calibri" w:hAnsi="Times New Roman" w:cs="Times New Roman"/>
          <w:b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sz w:val="28"/>
          <w:szCs w:val="28"/>
          <w:lang w:val="uk-UA"/>
        </w:rPr>
        <w:t>http://zakon2.rada.gov.ua/laws/show/974_025.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С</w:t>
      </w:r>
      <w:r w:rsidRPr="00E45578">
        <w:rPr>
          <w:rFonts w:ascii="Times New Roman" w:eastAsia="Calibri" w:hAnsi="Times New Roman" w:cs="Times New Roman"/>
          <w:iCs/>
          <w:sz w:val="28"/>
          <w:szCs w:val="28"/>
          <w:lang w:val="uk-UA"/>
        </w:rPr>
        <w:t xml:space="preserve">права «Мельник проти України» (заява № 72286/01) від 28.03.2006. </w:t>
      </w:r>
      <w:r w:rsidRPr="00E45578">
        <w:rPr>
          <w:rFonts w:ascii="Times New Roman" w:eastAsia="Calibri" w:hAnsi="Times New Roman" w:cs="Times New Roman"/>
          <w:bCs/>
          <w:iCs/>
          <w:sz w:val="28"/>
          <w:szCs w:val="28"/>
          <w:lang w:val="uk-UA"/>
        </w:rPr>
        <w:t xml:space="preserve">[Електронний ресурс] : Офіційний сайт Верховної Ради України – Режим доступу :    </w:t>
      </w:r>
      <w:r w:rsidRPr="00E45578">
        <w:rPr>
          <w:rFonts w:ascii="Times New Roman" w:eastAsia="Calibri" w:hAnsi="Times New Roman" w:cs="Times New Roman"/>
          <w:iCs/>
          <w:sz w:val="28"/>
          <w:szCs w:val="28"/>
          <w:lang w:val="uk-UA"/>
        </w:rPr>
        <w:t>http://zakon2.rada.gov.ua/laws/show/974_049.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С</w:t>
      </w:r>
      <w:r w:rsidRPr="00E45578">
        <w:rPr>
          <w:rFonts w:ascii="Times New Roman" w:eastAsia="Calibri" w:hAnsi="Times New Roman" w:cs="Times New Roman"/>
          <w:iCs/>
          <w:sz w:val="28"/>
          <w:szCs w:val="28"/>
          <w:lang w:val="uk-UA"/>
        </w:rPr>
        <w:t xml:space="preserve">права «Принц Ліхтенштейну Ганс-Адам ІІ проти Німеччини» (заява № 42527/98) від 12.07.2001. </w:t>
      </w:r>
      <w:r w:rsidRPr="00E45578">
        <w:rPr>
          <w:rFonts w:ascii="Times New Roman" w:eastAsia="Calibri" w:hAnsi="Times New Roman" w:cs="Times New Roman"/>
          <w:bCs/>
          <w:iCs/>
          <w:sz w:val="28"/>
          <w:szCs w:val="28"/>
          <w:lang w:val="uk-UA"/>
        </w:rPr>
        <w:t xml:space="preserve">[Електронний ресурс] : </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Веб сайт</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 xml:space="preserve"> – Режим доступу :    </w:t>
      </w:r>
      <w:r w:rsidRPr="00E45578">
        <w:rPr>
          <w:rFonts w:ascii="Times New Roman" w:eastAsia="Calibri" w:hAnsi="Times New Roman" w:cs="Times New Roman"/>
          <w:iCs/>
          <w:sz w:val="28"/>
          <w:szCs w:val="28"/>
          <w:lang w:val="uk-UA"/>
        </w:rPr>
        <w:t>http://eurocourt.in.ua/Article.asp?AIdx=520.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Справа «Приставська проти України» (Заява № 21287/02 від 30.04.2002).</w:t>
      </w:r>
      <w:r w:rsidRPr="00E45578">
        <w:rPr>
          <w:rFonts w:ascii="Times New Roman" w:eastAsia="Calibri" w:hAnsi="Times New Roman" w:cs="Times New Roman"/>
          <w:bCs/>
          <w:iCs/>
          <w:sz w:val="28"/>
          <w:szCs w:val="28"/>
          <w:lang w:val="uk-UA"/>
        </w:rPr>
        <w:t xml:space="preserve"> [Електронний ресурс] : </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Веб сайт</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 xml:space="preserve"> – Режим доступу :    </w:t>
      </w:r>
      <w:r w:rsidRPr="00E45578">
        <w:rPr>
          <w:rFonts w:ascii="Times New Roman" w:eastAsia="Calibri" w:hAnsi="Times New Roman" w:cs="Times New Roman"/>
          <w:sz w:val="28"/>
          <w:szCs w:val="28"/>
          <w:lang w:val="uk-UA"/>
        </w:rPr>
        <w:t>http://old.minjust.gov.ua/197.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Статут ООН і Статут Міжнародного Суду.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http://zakon4.rada.gov.ua/laws/show/995_010.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Суд Європейського Союзу. </w:t>
      </w:r>
      <w:r w:rsidRPr="00E45578">
        <w:rPr>
          <w:rFonts w:ascii="Times New Roman" w:eastAsia="Calibri" w:hAnsi="Times New Roman" w:cs="Times New Roman"/>
          <w:bCs/>
          <w:iCs/>
          <w:sz w:val="28"/>
          <w:szCs w:val="28"/>
          <w:lang w:val="uk-UA"/>
        </w:rPr>
        <w:t xml:space="preserve">[Електронний ресурс] : </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Веб сайт</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 xml:space="preserve"> – Режим доступу :    </w:t>
      </w:r>
      <w:r w:rsidRPr="00E45578">
        <w:rPr>
          <w:rFonts w:ascii="Times New Roman" w:eastAsia="Calibri" w:hAnsi="Times New Roman" w:cs="Times New Roman"/>
          <w:sz w:val="28"/>
          <w:szCs w:val="28"/>
          <w:lang w:val="uk-UA"/>
        </w:rPr>
        <w:t>https://uk.wikipedia.org/wiki/Суд_Європейського_Союзу.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Сыченко Е.В.  Практика Европейского суда по правам человека в области защиты трудовых прав граждан и права на социальное обеспечение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Е.В. Сыченко. – М.: Юстицинформ, 2014. – 160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Сыченко Е.В.. Пересмотр вступившего в силу решения на основании решения Европейского суда по правам человека: Кудешкина против России 2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Е.В. Сыченко // Международное право и международные организации. - 2015. - № 2. - С. 104-107.</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Тихиня, В. Г. Международный гражданский процесс / В. Г. Тихиня // Международное частное право: учебник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 Г. Тихиня. – Минск: Книж. Дом, 2007. – Гл. 17. – С. 289–306.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Тодика Ю.М.  Проблеми становлення українського конституціоналізму в   аспекті міжнародних стандартів прав людини [Текст] / Ю.М. Тодика // Проблеми правового забезпечення економічної та соціальної   політики в Україні: Матеріали наук.-прак. конф. (м. Харків, 24-25 травня 2005 р.). – Х.:</w:t>
      </w:r>
      <w:r w:rsidRPr="00E45578">
        <w:rPr>
          <w:rFonts w:ascii="Calibri" w:eastAsia="Calibri" w:hAnsi="Calibri" w:cs="Times New Roman"/>
          <w:color w:val="000000"/>
          <w:sz w:val="20"/>
          <w:szCs w:val="20"/>
          <w:shd w:val="clear" w:color="auto" w:fill="FFFFFF"/>
          <w:lang w:val="uk-UA"/>
        </w:rPr>
        <w:t xml:space="preserve"> </w:t>
      </w:r>
      <w:r w:rsidRPr="00E45578">
        <w:rPr>
          <w:rFonts w:ascii="Times New Roman" w:eastAsia="Calibri" w:hAnsi="Times New Roman" w:cs="Times New Roman"/>
          <w:sz w:val="28"/>
          <w:szCs w:val="28"/>
          <w:lang w:val="uk-UA"/>
        </w:rPr>
        <w:t xml:space="preserve">Нац. юрид. акад. України ім. Я. Мудрого, 2005.-С.201-205.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Тодоров І.Я. Україна на шляху до європейської та євроатлантичної спільноти: Монографія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І.Я. Тодоров. – Донецьк: ДонНУ, 2006. – 268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 ВАСУ відбувся заключний етап переговорів щодо підготовки контракту проекту Twinning. </w:t>
      </w:r>
      <w:r w:rsidRPr="00E45578">
        <w:rPr>
          <w:rFonts w:ascii="Times New Roman" w:eastAsia="Calibri" w:hAnsi="Times New Roman" w:cs="Times New Roman"/>
          <w:bCs/>
          <w:sz w:val="28"/>
          <w:szCs w:val="28"/>
          <w:lang w:val="uk-UA"/>
        </w:rPr>
        <w:t xml:space="preserve">[Електронний ресурс] : Офіційний сайт Вищого адміністративного суду України – Режим доступу : </w:t>
      </w:r>
      <w:r w:rsidRPr="00E45578">
        <w:rPr>
          <w:rFonts w:ascii="Times New Roman" w:eastAsia="Calibri" w:hAnsi="Times New Roman" w:cs="Times New Roman"/>
          <w:sz w:val="28"/>
          <w:szCs w:val="28"/>
          <w:lang w:val="uk-UA"/>
        </w:rPr>
        <w:t xml:space="preserve"> </w:t>
      </w:r>
      <w:r w:rsidRPr="00E45578">
        <w:rPr>
          <w:rFonts w:ascii="Times New Roman" w:eastAsia="Calibri" w:hAnsi="Times New Roman" w:cs="Times New Roman"/>
          <w:sz w:val="28"/>
          <w:szCs w:val="28"/>
          <w:lang w:val="uk-UA"/>
        </w:rPr>
        <w:lastRenderedPageBreak/>
        <w:t>http://www.vasu.gov.ua/mps/twinning/twinning_2011_05_13.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Уитц Р. Право Европейского Союза и Конституционный суд Венгрии: опыт первой встречи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Р. Уитц // Сравнительное конституционное обозрение. – 2005. – № 3. – С. 175-186.</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Указ Президента України «Про вдосконалення мережі адміністративних судів України» від 16.10.2008 № 941/2008.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http://zakon3.rada.gov.ua/laws/show/941/2008.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Указ Президента України «Про кількісний склад суддів адміністративних судів» від 16.05.2007 № 417/2007.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http://zakon3.rada.gov.ua/laws/show/417/2007. – Назва з екрану.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Указ Президента України «Про консульський статут України» від 02.04.1994 № </w:t>
      </w:r>
      <w:r w:rsidRPr="00E45578">
        <w:rPr>
          <w:rFonts w:ascii="Times New Roman" w:eastAsia="Calibri" w:hAnsi="Times New Roman" w:cs="Times New Roman"/>
          <w:bCs/>
          <w:sz w:val="28"/>
          <w:szCs w:val="28"/>
          <w:lang w:val="uk-UA"/>
        </w:rPr>
        <w:t xml:space="preserve">127/94.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bCs/>
          <w:sz w:val="28"/>
          <w:szCs w:val="28"/>
          <w:lang w:val="uk-UA"/>
        </w:rPr>
        <w:t xml:space="preserve"> http://zakon3.rada.gov.ua/laws/show/127/94.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Указ Президента України «Про утворення місцевих та апеляційних адміністративних судів, затвердження їх мережі» від 16.11.2004 № 1417/2004.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http://zakon0.rada.gov.ua/laws/show/1417/2004.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Украз Президента України «Про Апеляційний суд України, Касаційний суд України та Вищий адміністративний суд України» від 01.10.2002 № 889/2002.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http://zakon2.rada.gov.ua/laws/show/889/2002.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Украз Президента України «Про заходи щодо впровадження Концепції адміністративної реформи в Україні» від 22.07.1998. </w:t>
      </w:r>
      <w:r w:rsidRPr="00E45578">
        <w:rPr>
          <w:rFonts w:ascii="Times New Roman" w:eastAsia="Calibri" w:hAnsi="Times New Roman" w:cs="Times New Roman"/>
          <w:bCs/>
          <w:iCs/>
          <w:sz w:val="28"/>
          <w:szCs w:val="28"/>
          <w:lang w:val="uk-UA"/>
        </w:rPr>
        <w:lastRenderedPageBreak/>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http://zakon3.rada.gov.ua/laws/show/810/98.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Устав Международного трибунала по Руанде от 08.11.1994 года.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http://zakon2.rada.gov.ua/laws/show/995_d65.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Франс Ван Дер Дулен. Функционирование российской и нидерландской судебных систем в европейской перспективе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Ван Дер Дулен Франц // Правовое измерение международного сообщества: элементы мозаики. Сборник статей. - Strasbourg: Centre Europeen de Cooperation Juridique, 2013. - 276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Фриго Джузеппе. Конституция Итальянской республики и применение Европейской конвенции по защите прав человека и основных свобод в национальной правовой системе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Джузеппе Фриго // Реализация Европейской конвенции о защите прав и основных свобод человека национальными судебными системами: опыт Италии и России. – Strasbourg: Centre Europeen de Cooperation Juridique, 2013. - С. – 38-53.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Фулей Т.І. Застосування практики Європейського суду з прав людини при здійсненні правосуддя: Науково-методичний посібник для суддів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Т.І. Фулей. – К.: Вид-во Координатора проектів ОБСЄ в Україні, 2015. - 208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Фурса С.Я. Міжнародний цивільний процес України: Навчальний посібник. Практикум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С.Я. Фурса – К.:. КНТ, 2010. – 328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Фурсов Д.А. Предмет, система и основные принципы арбитражного процессуального права (проблемы теории и практики)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Д.А. Фурсов. - М.: Инфра-М, 1998. – 190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Хартія основних прав Європейського Союзу від 07.12.2000 року. </w:t>
      </w:r>
      <w:r w:rsidRPr="00E45578">
        <w:rPr>
          <w:rFonts w:ascii="Times New Roman" w:eastAsia="Calibri" w:hAnsi="Times New Roman" w:cs="Times New Roman"/>
          <w:bCs/>
          <w:iCs/>
          <w:sz w:val="28"/>
          <w:szCs w:val="28"/>
          <w:lang w:val="uk-UA"/>
        </w:rPr>
        <w:t>[Електронний ресурс] : Офіційний сайт Верховної Ради України – Режим доступу :</w:t>
      </w:r>
      <w:r w:rsidRPr="00E45578">
        <w:rPr>
          <w:rFonts w:ascii="Times New Roman" w:eastAsia="Calibri" w:hAnsi="Times New Roman" w:cs="Times New Roman"/>
          <w:sz w:val="28"/>
          <w:szCs w:val="28"/>
          <w:lang w:val="uk-UA"/>
        </w:rPr>
        <w:t xml:space="preserve"> http://zakon2.rada.gov.ua/laws/show/994_524.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 xml:space="preserve">Хорошковська Д.Ю. Роль судової практики в системі джерел права України: теоретико-правове дослідження : Автореф. дис. на здобуття наук. ступеня канд. юрид. наук : 12.00.01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Д.Ю. Хорошковська ; </w:t>
      </w:r>
      <w:r w:rsidRPr="00E45578">
        <w:rPr>
          <w:rFonts w:ascii="Times New Roman" w:eastAsia="Calibri" w:hAnsi="Times New Roman" w:cs="Times New Roman"/>
          <w:sz w:val="28"/>
          <w:szCs w:val="28"/>
        </w:rPr>
        <w:t>Інститут законодавства Верховної Ради України. - К., 2006. - 20 с.</w:t>
      </w:r>
      <w:r w:rsidRPr="00E45578">
        <w:rPr>
          <w:rFonts w:ascii="Times New Roman" w:eastAsia="Calibri" w:hAnsi="Times New Roman" w:cs="Times New Roman"/>
          <w:sz w:val="28"/>
          <w:szCs w:val="28"/>
          <w:lang w:val="uk-UA"/>
        </w:rPr>
        <w:t xml:space="preserve">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Центр адаптації державної служби до стандартів Європейського Союзу. </w:t>
      </w:r>
      <w:r w:rsidRPr="00E45578">
        <w:rPr>
          <w:rFonts w:ascii="Times New Roman" w:eastAsia="Calibri" w:hAnsi="Times New Roman" w:cs="Times New Roman"/>
          <w:bCs/>
          <w:iCs/>
          <w:sz w:val="28"/>
          <w:szCs w:val="28"/>
          <w:lang w:val="uk-UA"/>
        </w:rPr>
        <w:t xml:space="preserve">[Електронний ресурс] : </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Веб сайт</w:t>
      </w:r>
      <w:r w:rsidRPr="00E45578">
        <w:rPr>
          <w:rFonts w:ascii="Times New Roman" w:eastAsia="Calibri" w:hAnsi="Times New Roman" w:cs="Times New Roman"/>
          <w:bCs/>
          <w:iCs/>
          <w:sz w:val="28"/>
          <w:szCs w:val="28"/>
        </w:rPr>
        <w:t>]</w:t>
      </w:r>
      <w:r w:rsidRPr="00E45578">
        <w:rPr>
          <w:rFonts w:ascii="Times New Roman" w:eastAsia="Calibri" w:hAnsi="Times New Roman" w:cs="Times New Roman"/>
          <w:bCs/>
          <w:iCs/>
          <w:sz w:val="28"/>
          <w:szCs w:val="28"/>
          <w:lang w:val="uk-UA"/>
        </w:rPr>
        <w:t xml:space="preserve"> – Режим доступу :   </w:t>
      </w:r>
      <w:r w:rsidRPr="00E45578">
        <w:rPr>
          <w:rFonts w:ascii="Times New Roman" w:eastAsia="Calibri" w:hAnsi="Times New Roman" w:cs="Times New Roman"/>
          <w:sz w:val="28"/>
          <w:szCs w:val="28"/>
          <w:lang w:val="uk-UA"/>
        </w:rPr>
        <w:t>http://www.center.gov.ua/pro-tsentr/proekti/twinning. – Назва з екрану.</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Цивільний процесуальний кодекс України від 18.03.2004 № 1618-IV [Текст] / Відомості Верховної Ради України. – 2004. - № 40-41, 42. -  Ст.492.</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Цыганков П.А. Теория международных отношений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П.А. </w:t>
      </w:r>
      <w:r w:rsidRPr="00E45578">
        <w:rPr>
          <w:rFonts w:ascii="Times New Roman" w:eastAsia="Calibri" w:hAnsi="Times New Roman" w:cs="Times New Roman"/>
          <w:sz w:val="28"/>
          <w:szCs w:val="28"/>
        </w:rPr>
        <w:t>Цыганков</w:t>
      </w:r>
      <w:r w:rsidRPr="00E45578">
        <w:rPr>
          <w:rFonts w:ascii="Times New Roman" w:eastAsia="Calibri" w:hAnsi="Times New Roman" w:cs="Times New Roman"/>
          <w:sz w:val="28"/>
          <w:szCs w:val="28"/>
          <w:lang w:val="uk-UA"/>
        </w:rPr>
        <w:t>. – М.: Гардарики, 2003. – 590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Шевченко О.Д. Досвід зарубіжних країн щодо забезпечення права на освіту засуджених до позбавлення волі [Текст] / О.Д. Шевченко // Науковий вісник Херсонського державного університету – Херсон: видавництво ХДУ. – 2015 - Випуск 6. - Том 3. – С. 76-78.</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Шевчук С. Судовий захист прав людини: Практика Європейського Суду з прав людини у контексті західної правової традиції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С. Шевчук. – К.: Реферат, 2007. – 848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Шинкарецкая Г. Г. Новые действующие лица в международном праве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Г.Г. Шинкарецкая  // Международное право и международные организации. - 2011. -  № 1. – С. 129-133.</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bCs/>
          <w:sz w:val="28"/>
          <w:szCs w:val="28"/>
          <w:lang w:val="uk-UA"/>
        </w:rPr>
        <w:t>Шинкарецкая Г</w:t>
      </w:r>
      <w:r w:rsidRPr="00E45578">
        <w:rPr>
          <w:rFonts w:ascii="Times New Roman" w:eastAsia="Calibri" w:hAnsi="Times New Roman" w:cs="Times New Roman"/>
          <w:sz w:val="28"/>
          <w:szCs w:val="28"/>
          <w:lang w:val="uk-UA"/>
        </w:rPr>
        <w:t>. </w:t>
      </w:r>
      <w:r w:rsidRPr="00E45578">
        <w:rPr>
          <w:rFonts w:ascii="Times New Roman" w:eastAsia="Calibri" w:hAnsi="Times New Roman" w:cs="Times New Roman"/>
          <w:bCs/>
          <w:sz w:val="28"/>
          <w:szCs w:val="28"/>
          <w:lang w:val="uk-UA"/>
        </w:rPr>
        <w:t>Г</w:t>
      </w:r>
      <w:r w:rsidRPr="00E45578">
        <w:rPr>
          <w:rFonts w:ascii="Times New Roman" w:eastAsia="Calibri" w:hAnsi="Times New Roman" w:cs="Times New Roman"/>
          <w:sz w:val="28"/>
          <w:szCs w:val="28"/>
          <w:lang w:val="uk-UA"/>
        </w:rPr>
        <w:t>. Судебные средства разрешения международных споров (</w:t>
      </w:r>
      <w:r w:rsidRPr="00E45578">
        <w:rPr>
          <w:rFonts w:ascii="Times New Roman" w:eastAsia="Calibri" w:hAnsi="Times New Roman" w:cs="Times New Roman"/>
          <w:bCs/>
          <w:sz w:val="28"/>
          <w:szCs w:val="28"/>
          <w:lang w:val="uk-UA"/>
        </w:rPr>
        <w:t xml:space="preserve">тенденции </w:t>
      </w:r>
      <w:r w:rsidRPr="00E45578">
        <w:rPr>
          <w:rFonts w:ascii="Times New Roman" w:eastAsia="Calibri" w:hAnsi="Times New Roman" w:cs="Times New Roman"/>
          <w:sz w:val="28"/>
          <w:szCs w:val="28"/>
          <w:lang w:val="uk-UA"/>
        </w:rPr>
        <w:t xml:space="preserve">развития) : Автореф. дис. на соискание науч. степени доктора юрид. наук : 12.00.10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Г.Г. Шинкарецкая </w:t>
      </w:r>
      <w:r w:rsidRPr="00E45578">
        <w:rPr>
          <w:rFonts w:ascii="Times New Roman" w:eastAsia="Calibri" w:hAnsi="Times New Roman" w:cs="Times New Roman"/>
          <w:sz w:val="28"/>
          <w:szCs w:val="28"/>
        </w:rPr>
        <w:t xml:space="preserve">; Ин-т государства и права Российской акад. наук. </w:t>
      </w:r>
      <w:r w:rsidRPr="00E45578">
        <w:rPr>
          <w:rFonts w:ascii="Times New Roman" w:eastAsia="Calibri" w:hAnsi="Times New Roman" w:cs="Times New Roman"/>
          <w:sz w:val="28"/>
          <w:szCs w:val="28"/>
          <w:lang w:val="uk-UA"/>
        </w:rPr>
        <w:t>- М., 2010. – 32 с.</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t xml:space="preserve">Шишкин С.А. Состязательность в гражданском и арбитражном судопроизводстве </w:t>
      </w:r>
      <w:r w:rsidRPr="00E45578">
        <w:rPr>
          <w:rFonts w:ascii="Times New Roman" w:eastAsia="Calibri" w:hAnsi="Times New Roman" w:cs="Times New Roman"/>
          <w:sz w:val="28"/>
          <w:szCs w:val="28"/>
        </w:rPr>
        <w:t xml:space="preserve">[Текст] </w:t>
      </w:r>
      <w:r w:rsidRPr="00E45578">
        <w:rPr>
          <w:rFonts w:ascii="Times New Roman" w:eastAsia="Calibri" w:hAnsi="Times New Roman" w:cs="Times New Roman"/>
          <w:sz w:val="28"/>
          <w:szCs w:val="28"/>
          <w:lang w:val="uk-UA"/>
        </w:rPr>
        <w:t xml:space="preserve">/ С.А. Шишкин. - М.: Городец, 1997. – 192 с. </w:t>
      </w:r>
    </w:p>
    <w:p w:rsidR="00E45578" w:rsidRPr="00E45578" w:rsidRDefault="00E45578" w:rsidP="00E45578">
      <w:pPr>
        <w:numPr>
          <w:ilvl w:val="0"/>
          <w:numId w:val="21"/>
        </w:numPr>
        <w:spacing w:after="0" w:line="360" w:lineRule="auto"/>
        <w:contextualSpacing/>
        <w:jc w:val="both"/>
        <w:rPr>
          <w:rFonts w:ascii="Times New Roman" w:eastAsia="Calibri" w:hAnsi="Times New Roman" w:cs="Times New Roman"/>
          <w:sz w:val="28"/>
          <w:szCs w:val="28"/>
          <w:lang w:val="uk-UA"/>
        </w:rPr>
      </w:pPr>
      <w:r w:rsidRPr="00E45578">
        <w:rPr>
          <w:rFonts w:ascii="Times New Roman" w:eastAsia="Calibri" w:hAnsi="Times New Roman" w:cs="Times New Roman"/>
          <w:sz w:val="28"/>
          <w:szCs w:val="28"/>
          <w:lang w:val="uk-UA"/>
        </w:rPr>
        <w:lastRenderedPageBreak/>
        <w:t>Юрійчук Є. Рішення Європейського суду з прав людини як критерій зовнішньополітичної електоральної легітимації влади на пострадянському просторі [Текст] / Є. Юрійчук // Вісник Центральної виборчої комісії. – 2011. - №2 (21). – С.70-84.</w:t>
      </w:r>
    </w:p>
    <w:p w:rsidR="00E45578" w:rsidRPr="00E45578" w:rsidRDefault="00E45578">
      <w:pPr>
        <w:rPr>
          <w:lang w:val="uk-UA"/>
        </w:rPr>
      </w:pPr>
      <w:bookmarkStart w:id="2" w:name="_GoBack"/>
      <w:bookmarkEnd w:id="2"/>
    </w:p>
    <w:sectPr w:rsidR="00E45578" w:rsidRPr="00E45578">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CC"/>
    <w:family w:val="roman"/>
    <w:pitch w:val="variable"/>
    <w:sig w:usb0="E00002FF" w:usb1="400004FF" w:usb2="00000000" w:usb3="00000000" w:csb0="0000019F" w:csb1="00000000"/>
  </w:font>
  <w:font w:name="Calibri">
    <w:panose1 w:val="020F0502020204030204"/>
    <w:charset w:val="CC"/>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ahoma">
    <w:panose1 w:val="020B0604030504040204"/>
    <w:charset w:val="CC"/>
    <w:family w:val="swiss"/>
    <w:pitch w:val="variable"/>
    <w:sig w:usb0="E1002EFF" w:usb1="C000605B" w:usb2="00000029" w:usb3="00000000" w:csb0="000101FF" w:csb1="00000000"/>
  </w:font>
  <w:font w:name="Consolas">
    <w:panose1 w:val="020B0609020204030204"/>
    <w:charset w:val="CC"/>
    <w:family w:val="modern"/>
    <w:pitch w:val="fixed"/>
    <w:sig w:usb0="E10002FF" w:usb1="4000FCFF" w:usb2="00000009" w:usb3="00000000" w:csb0="0000019F" w:csb1="00000000"/>
  </w:font>
  <w:font w:name="Calibri Light">
    <w:panose1 w:val="020F0302020204030204"/>
    <w:charset w:val="CC"/>
    <w:family w:val="swiss"/>
    <w:pitch w:val="variable"/>
    <w:sig w:usb0="A00002EF" w:usb1="4000207B" w:usb2="00000000" w:usb3="00000000" w:csb0="0000019F" w:csb1="00000000"/>
  </w:font>
  <w:font w:name="Arial">
    <w:panose1 w:val="020B0604020202020204"/>
    <w:charset w:val="CC"/>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E7585B"/>
    <w:multiLevelType w:val="multilevel"/>
    <w:tmpl w:val="B61CFF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F95778"/>
    <w:multiLevelType w:val="hybridMultilevel"/>
    <w:tmpl w:val="9E9EB062"/>
    <w:lvl w:ilvl="0" w:tplc="0419000B">
      <w:start w:val="1"/>
      <w:numFmt w:val="bullet"/>
      <w:lvlText w:val=""/>
      <w:lvlJc w:val="left"/>
      <w:pPr>
        <w:ind w:left="1440" w:hanging="360"/>
      </w:pPr>
      <w:rPr>
        <w:rFonts w:ascii="Wingdings" w:hAnsi="Wingdings" w:hint="default"/>
      </w:rPr>
    </w:lvl>
    <w:lvl w:ilvl="1" w:tplc="04190003" w:tentative="1">
      <w:start w:val="1"/>
      <w:numFmt w:val="bullet"/>
      <w:lvlText w:val="o"/>
      <w:lvlJc w:val="left"/>
      <w:pPr>
        <w:ind w:left="2160" w:hanging="360"/>
      </w:pPr>
      <w:rPr>
        <w:rFonts w:ascii="Courier New" w:hAnsi="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2" w15:restartNumberingAfterBreak="0">
    <w:nsid w:val="14A6510B"/>
    <w:multiLevelType w:val="hybridMultilevel"/>
    <w:tmpl w:val="296C722E"/>
    <w:lvl w:ilvl="0" w:tplc="3D5A3114">
      <w:start w:val="1"/>
      <w:numFmt w:val="upperRoman"/>
      <w:lvlText w:val="%1."/>
      <w:lvlJc w:val="left"/>
      <w:pPr>
        <w:ind w:left="1080" w:hanging="72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3" w15:restartNumberingAfterBreak="0">
    <w:nsid w:val="152301B1"/>
    <w:multiLevelType w:val="multilevel"/>
    <w:tmpl w:val="132E51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A16693D"/>
    <w:multiLevelType w:val="hybridMultilevel"/>
    <w:tmpl w:val="4F0A8DC8"/>
    <w:lvl w:ilvl="0" w:tplc="0419000B">
      <w:start w:val="1"/>
      <w:numFmt w:val="bullet"/>
      <w:lvlText w:val=""/>
      <w:lvlJc w:val="left"/>
      <w:pPr>
        <w:ind w:left="1485" w:hanging="360"/>
      </w:pPr>
      <w:rPr>
        <w:rFonts w:ascii="Wingdings" w:hAnsi="Wingdings" w:hint="default"/>
      </w:rPr>
    </w:lvl>
    <w:lvl w:ilvl="1" w:tplc="04190003" w:tentative="1">
      <w:start w:val="1"/>
      <w:numFmt w:val="bullet"/>
      <w:lvlText w:val="o"/>
      <w:lvlJc w:val="left"/>
      <w:pPr>
        <w:ind w:left="2205" w:hanging="360"/>
      </w:pPr>
      <w:rPr>
        <w:rFonts w:ascii="Courier New" w:hAnsi="Courier New" w:hint="default"/>
      </w:rPr>
    </w:lvl>
    <w:lvl w:ilvl="2" w:tplc="04190005" w:tentative="1">
      <w:start w:val="1"/>
      <w:numFmt w:val="bullet"/>
      <w:lvlText w:val=""/>
      <w:lvlJc w:val="left"/>
      <w:pPr>
        <w:ind w:left="2925" w:hanging="360"/>
      </w:pPr>
      <w:rPr>
        <w:rFonts w:ascii="Wingdings" w:hAnsi="Wingdings" w:hint="default"/>
      </w:rPr>
    </w:lvl>
    <w:lvl w:ilvl="3" w:tplc="04190001" w:tentative="1">
      <w:start w:val="1"/>
      <w:numFmt w:val="bullet"/>
      <w:lvlText w:val=""/>
      <w:lvlJc w:val="left"/>
      <w:pPr>
        <w:ind w:left="3645" w:hanging="360"/>
      </w:pPr>
      <w:rPr>
        <w:rFonts w:ascii="Symbol" w:hAnsi="Symbol" w:hint="default"/>
      </w:rPr>
    </w:lvl>
    <w:lvl w:ilvl="4" w:tplc="04190003" w:tentative="1">
      <w:start w:val="1"/>
      <w:numFmt w:val="bullet"/>
      <w:lvlText w:val="o"/>
      <w:lvlJc w:val="left"/>
      <w:pPr>
        <w:ind w:left="4365" w:hanging="360"/>
      </w:pPr>
      <w:rPr>
        <w:rFonts w:ascii="Courier New" w:hAnsi="Courier New" w:hint="default"/>
      </w:rPr>
    </w:lvl>
    <w:lvl w:ilvl="5" w:tplc="04190005" w:tentative="1">
      <w:start w:val="1"/>
      <w:numFmt w:val="bullet"/>
      <w:lvlText w:val=""/>
      <w:lvlJc w:val="left"/>
      <w:pPr>
        <w:ind w:left="5085" w:hanging="360"/>
      </w:pPr>
      <w:rPr>
        <w:rFonts w:ascii="Wingdings" w:hAnsi="Wingdings" w:hint="default"/>
      </w:rPr>
    </w:lvl>
    <w:lvl w:ilvl="6" w:tplc="04190001" w:tentative="1">
      <w:start w:val="1"/>
      <w:numFmt w:val="bullet"/>
      <w:lvlText w:val=""/>
      <w:lvlJc w:val="left"/>
      <w:pPr>
        <w:ind w:left="5805" w:hanging="360"/>
      </w:pPr>
      <w:rPr>
        <w:rFonts w:ascii="Symbol" w:hAnsi="Symbol" w:hint="default"/>
      </w:rPr>
    </w:lvl>
    <w:lvl w:ilvl="7" w:tplc="04190003" w:tentative="1">
      <w:start w:val="1"/>
      <w:numFmt w:val="bullet"/>
      <w:lvlText w:val="o"/>
      <w:lvlJc w:val="left"/>
      <w:pPr>
        <w:ind w:left="6525" w:hanging="360"/>
      </w:pPr>
      <w:rPr>
        <w:rFonts w:ascii="Courier New" w:hAnsi="Courier New" w:hint="default"/>
      </w:rPr>
    </w:lvl>
    <w:lvl w:ilvl="8" w:tplc="04190005" w:tentative="1">
      <w:start w:val="1"/>
      <w:numFmt w:val="bullet"/>
      <w:lvlText w:val=""/>
      <w:lvlJc w:val="left"/>
      <w:pPr>
        <w:ind w:left="7245" w:hanging="360"/>
      </w:pPr>
      <w:rPr>
        <w:rFonts w:ascii="Wingdings" w:hAnsi="Wingdings" w:hint="default"/>
      </w:rPr>
    </w:lvl>
  </w:abstractNum>
  <w:abstractNum w:abstractNumId="5" w15:restartNumberingAfterBreak="0">
    <w:nsid w:val="1C04777D"/>
    <w:multiLevelType w:val="hybridMultilevel"/>
    <w:tmpl w:val="5F5A7AF0"/>
    <w:lvl w:ilvl="0" w:tplc="C3ECC1EE">
      <w:start w:val="1"/>
      <w:numFmt w:val="decimal"/>
      <w:lvlText w:val="%1)"/>
      <w:lvlJc w:val="left"/>
      <w:pPr>
        <w:ind w:left="1035" w:hanging="360"/>
      </w:pPr>
      <w:rPr>
        <w:rFonts w:ascii="Times New Roman" w:eastAsia="Times New Roman" w:hAnsi="Times New Roman" w:cs="Times New Roman"/>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 w15:restartNumberingAfterBreak="0">
    <w:nsid w:val="1C0C387E"/>
    <w:multiLevelType w:val="hybridMultilevel"/>
    <w:tmpl w:val="1722E50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202613EB"/>
    <w:multiLevelType w:val="hybridMultilevel"/>
    <w:tmpl w:val="8C04EC40"/>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15:restartNumberingAfterBreak="0">
    <w:nsid w:val="2310547B"/>
    <w:multiLevelType w:val="hybridMultilevel"/>
    <w:tmpl w:val="5150F3D2"/>
    <w:lvl w:ilvl="0" w:tplc="04190009">
      <w:start w:val="1"/>
      <w:numFmt w:val="bullet"/>
      <w:lvlText w:val=""/>
      <w:lvlJc w:val="left"/>
      <w:pPr>
        <w:tabs>
          <w:tab w:val="num" w:pos="1440"/>
        </w:tabs>
        <w:ind w:left="1440" w:hanging="360"/>
      </w:pPr>
      <w:rPr>
        <w:rFonts w:ascii="Wingdings" w:hAnsi="Wingdings" w:hint="default"/>
      </w:rPr>
    </w:lvl>
    <w:lvl w:ilvl="1" w:tplc="04190003" w:tentative="1">
      <w:start w:val="1"/>
      <w:numFmt w:val="bullet"/>
      <w:lvlText w:val="o"/>
      <w:lvlJc w:val="left"/>
      <w:pPr>
        <w:tabs>
          <w:tab w:val="num" w:pos="2160"/>
        </w:tabs>
        <w:ind w:left="2160" w:hanging="360"/>
      </w:pPr>
      <w:rPr>
        <w:rFonts w:ascii="Courier New" w:hAnsi="Courier New" w:cs="Courier New" w:hint="default"/>
      </w:rPr>
    </w:lvl>
    <w:lvl w:ilvl="2" w:tplc="04190005" w:tentative="1">
      <w:start w:val="1"/>
      <w:numFmt w:val="bullet"/>
      <w:lvlText w:val=""/>
      <w:lvlJc w:val="left"/>
      <w:pPr>
        <w:tabs>
          <w:tab w:val="num" w:pos="2880"/>
        </w:tabs>
        <w:ind w:left="2880" w:hanging="360"/>
      </w:pPr>
      <w:rPr>
        <w:rFonts w:ascii="Wingdings" w:hAnsi="Wingdings" w:hint="default"/>
      </w:rPr>
    </w:lvl>
    <w:lvl w:ilvl="3" w:tplc="04190001" w:tentative="1">
      <w:start w:val="1"/>
      <w:numFmt w:val="bullet"/>
      <w:lvlText w:val=""/>
      <w:lvlJc w:val="left"/>
      <w:pPr>
        <w:tabs>
          <w:tab w:val="num" w:pos="3600"/>
        </w:tabs>
        <w:ind w:left="3600" w:hanging="360"/>
      </w:pPr>
      <w:rPr>
        <w:rFonts w:ascii="Symbol" w:hAnsi="Symbol" w:hint="default"/>
      </w:rPr>
    </w:lvl>
    <w:lvl w:ilvl="4" w:tplc="04190003" w:tentative="1">
      <w:start w:val="1"/>
      <w:numFmt w:val="bullet"/>
      <w:lvlText w:val="o"/>
      <w:lvlJc w:val="left"/>
      <w:pPr>
        <w:tabs>
          <w:tab w:val="num" w:pos="4320"/>
        </w:tabs>
        <w:ind w:left="4320" w:hanging="360"/>
      </w:pPr>
      <w:rPr>
        <w:rFonts w:ascii="Courier New" w:hAnsi="Courier New" w:cs="Courier New" w:hint="default"/>
      </w:rPr>
    </w:lvl>
    <w:lvl w:ilvl="5" w:tplc="04190005" w:tentative="1">
      <w:start w:val="1"/>
      <w:numFmt w:val="bullet"/>
      <w:lvlText w:val=""/>
      <w:lvlJc w:val="left"/>
      <w:pPr>
        <w:tabs>
          <w:tab w:val="num" w:pos="5040"/>
        </w:tabs>
        <w:ind w:left="5040" w:hanging="360"/>
      </w:pPr>
      <w:rPr>
        <w:rFonts w:ascii="Wingdings" w:hAnsi="Wingdings" w:hint="default"/>
      </w:rPr>
    </w:lvl>
    <w:lvl w:ilvl="6" w:tplc="04190001" w:tentative="1">
      <w:start w:val="1"/>
      <w:numFmt w:val="bullet"/>
      <w:lvlText w:val=""/>
      <w:lvlJc w:val="left"/>
      <w:pPr>
        <w:tabs>
          <w:tab w:val="num" w:pos="5760"/>
        </w:tabs>
        <w:ind w:left="5760" w:hanging="360"/>
      </w:pPr>
      <w:rPr>
        <w:rFonts w:ascii="Symbol" w:hAnsi="Symbol" w:hint="default"/>
      </w:rPr>
    </w:lvl>
    <w:lvl w:ilvl="7" w:tplc="04190003" w:tentative="1">
      <w:start w:val="1"/>
      <w:numFmt w:val="bullet"/>
      <w:lvlText w:val="o"/>
      <w:lvlJc w:val="left"/>
      <w:pPr>
        <w:tabs>
          <w:tab w:val="num" w:pos="6480"/>
        </w:tabs>
        <w:ind w:left="6480" w:hanging="360"/>
      </w:pPr>
      <w:rPr>
        <w:rFonts w:ascii="Courier New" w:hAnsi="Courier New" w:cs="Courier New" w:hint="default"/>
      </w:rPr>
    </w:lvl>
    <w:lvl w:ilvl="8" w:tplc="04190005" w:tentative="1">
      <w:start w:val="1"/>
      <w:numFmt w:val="bullet"/>
      <w:lvlText w:val=""/>
      <w:lvlJc w:val="left"/>
      <w:pPr>
        <w:tabs>
          <w:tab w:val="num" w:pos="7200"/>
        </w:tabs>
        <w:ind w:left="7200" w:hanging="360"/>
      </w:pPr>
      <w:rPr>
        <w:rFonts w:ascii="Wingdings" w:hAnsi="Wingdings" w:hint="default"/>
      </w:rPr>
    </w:lvl>
  </w:abstractNum>
  <w:abstractNum w:abstractNumId="9" w15:restartNumberingAfterBreak="0">
    <w:nsid w:val="23233F71"/>
    <w:multiLevelType w:val="hybridMultilevel"/>
    <w:tmpl w:val="B67C4FF8"/>
    <w:lvl w:ilvl="0" w:tplc="4B16F4B0">
      <w:start w:val="1"/>
      <w:numFmt w:val="bullet"/>
      <w:lvlText w:val="−"/>
      <w:lvlJc w:val="left"/>
      <w:pPr>
        <w:ind w:left="1069" w:hanging="360"/>
      </w:pPr>
      <w:rPr>
        <w:rFonts w:ascii="Times New Roman" w:eastAsia="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10" w15:restartNumberingAfterBreak="0">
    <w:nsid w:val="23AE0C39"/>
    <w:multiLevelType w:val="hybridMultilevel"/>
    <w:tmpl w:val="4B0468C4"/>
    <w:lvl w:ilvl="0" w:tplc="EAA6A264">
      <w:start w:val="1"/>
      <w:numFmt w:val="decimal"/>
      <w:lvlText w:val="%1)"/>
      <w:lvlJc w:val="left"/>
      <w:pPr>
        <w:ind w:left="15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1" w15:restartNumberingAfterBreak="0">
    <w:nsid w:val="2E4D0454"/>
    <w:multiLevelType w:val="hybridMultilevel"/>
    <w:tmpl w:val="0ED8E09A"/>
    <w:lvl w:ilvl="0" w:tplc="C8D89D74">
      <w:start w:val="1"/>
      <w:numFmt w:val="decimal"/>
      <w:lvlText w:val="%1)"/>
      <w:lvlJc w:val="left"/>
      <w:pPr>
        <w:ind w:left="927"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2" w15:restartNumberingAfterBreak="0">
    <w:nsid w:val="3ABC034E"/>
    <w:multiLevelType w:val="hybridMultilevel"/>
    <w:tmpl w:val="10B073F8"/>
    <w:lvl w:ilvl="0" w:tplc="0D9467F8">
      <w:start w:val="1"/>
      <w:numFmt w:val="decimal"/>
      <w:lvlText w:val="%1."/>
      <w:lvlJc w:val="left"/>
      <w:pPr>
        <w:tabs>
          <w:tab w:val="num" w:pos="1818"/>
        </w:tabs>
        <w:ind w:left="1818" w:hanging="1110"/>
      </w:pPr>
      <w:rPr>
        <w:rFonts w:hint="default"/>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3" w15:restartNumberingAfterBreak="0">
    <w:nsid w:val="468A723C"/>
    <w:multiLevelType w:val="hybridMultilevel"/>
    <w:tmpl w:val="5A04E8B6"/>
    <w:lvl w:ilvl="0" w:tplc="5802DE76">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4" w15:restartNumberingAfterBreak="0">
    <w:nsid w:val="4D532402"/>
    <w:multiLevelType w:val="hybridMultilevel"/>
    <w:tmpl w:val="EEF01C4C"/>
    <w:lvl w:ilvl="0" w:tplc="2340C924">
      <w:numFmt w:val="bullet"/>
      <w:lvlText w:val="-"/>
      <w:lvlJc w:val="left"/>
      <w:pPr>
        <w:tabs>
          <w:tab w:val="num" w:pos="1623"/>
        </w:tabs>
        <w:ind w:left="1623" w:hanging="915"/>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cs="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cs="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cs="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15" w15:restartNumberingAfterBreak="0">
    <w:nsid w:val="533610E0"/>
    <w:multiLevelType w:val="hybridMultilevel"/>
    <w:tmpl w:val="23A856C2"/>
    <w:lvl w:ilvl="0" w:tplc="C30AF4A0">
      <w:start w:val="7"/>
      <w:numFmt w:val="bullet"/>
      <w:lvlText w:val="-"/>
      <w:lvlJc w:val="left"/>
      <w:pPr>
        <w:ind w:left="720" w:hanging="360"/>
      </w:pPr>
      <w:rPr>
        <w:rFonts w:ascii="Times New Roman" w:eastAsia="MS Mincho"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631026E3"/>
    <w:multiLevelType w:val="hybridMultilevel"/>
    <w:tmpl w:val="A3EC1908"/>
    <w:lvl w:ilvl="0" w:tplc="9440D284">
      <w:start w:val="1"/>
      <w:numFmt w:val="decimal"/>
      <w:lvlText w:val="%1)"/>
      <w:lvlJc w:val="left"/>
      <w:pPr>
        <w:ind w:left="1080" w:hanging="405"/>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7" w15:restartNumberingAfterBreak="0">
    <w:nsid w:val="69E674DD"/>
    <w:multiLevelType w:val="hybridMultilevel"/>
    <w:tmpl w:val="242403F0"/>
    <w:lvl w:ilvl="0" w:tplc="684E082E">
      <w:numFmt w:val="bullet"/>
      <w:lvlText w:val="-"/>
      <w:lvlJc w:val="left"/>
      <w:pPr>
        <w:ind w:left="1080" w:hanging="360"/>
      </w:pPr>
      <w:rPr>
        <w:rFonts w:ascii="Cambria" w:eastAsia="MS Mincho" w:hAnsi="Cambria" w:hint="default"/>
        <w:sz w:val="30"/>
      </w:rPr>
    </w:lvl>
    <w:lvl w:ilvl="1" w:tplc="04190003" w:tentative="1">
      <w:start w:val="1"/>
      <w:numFmt w:val="bullet"/>
      <w:lvlText w:val="o"/>
      <w:lvlJc w:val="left"/>
      <w:pPr>
        <w:ind w:left="1800" w:hanging="360"/>
      </w:pPr>
      <w:rPr>
        <w:rFonts w:ascii="Courier New" w:hAnsi="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18" w15:restartNumberingAfterBreak="0">
    <w:nsid w:val="6CFF3AAF"/>
    <w:multiLevelType w:val="hybridMultilevel"/>
    <w:tmpl w:val="0CD47916"/>
    <w:lvl w:ilvl="0" w:tplc="88DAB25E">
      <w:start w:val="1"/>
      <w:numFmt w:val="decimal"/>
      <w:lvlText w:val="%1."/>
      <w:lvlJc w:val="left"/>
      <w:pPr>
        <w:tabs>
          <w:tab w:val="num" w:pos="720"/>
        </w:tabs>
        <w:ind w:left="720" w:hanging="360"/>
      </w:pPr>
      <w:rPr>
        <w:rFonts w:hint="default"/>
      </w:rPr>
    </w:lvl>
    <w:lvl w:ilvl="1" w:tplc="6D061A36">
      <w:start w:val="1"/>
      <w:numFmt w:val="bullet"/>
      <w:lvlText w:val=""/>
      <w:lvlJc w:val="left"/>
      <w:pPr>
        <w:tabs>
          <w:tab w:val="num" w:pos="1440"/>
        </w:tabs>
        <w:ind w:left="1440" w:hanging="360"/>
      </w:pPr>
      <w:rPr>
        <w:rFonts w:ascii="Wingdings" w:hAnsi="Wingdings" w:hint="default"/>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9" w15:restartNumberingAfterBreak="0">
    <w:nsid w:val="6E835955"/>
    <w:multiLevelType w:val="hybridMultilevel"/>
    <w:tmpl w:val="59D22CB6"/>
    <w:lvl w:ilvl="0" w:tplc="7A4662A8">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20" w15:restartNumberingAfterBreak="0">
    <w:nsid w:val="711F0F66"/>
    <w:multiLevelType w:val="hybridMultilevel"/>
    <w:tmpl w:val="CF64D6C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3"/>
  </w:num>
  <w:num w:numId="3">
    <w:abstractNumId w:val="15"/>
  </w:num>
  <w:num w:numId="4">
    <w:abstractNumId w:val="19"/>
  </w:num>
  <w:num w:numId="5">
    <w:abstractNumId w:val="7"/>
  </w:num>
  <w:num w:numId="6">
    <w:abstractNumId w:val="2"/>
  </w:num>
  <w:num w:numId="7">
    <w:abstractNumId w:val="6"/>
  </w:num>
  <w:num w:numId="8">
    <w:abstractNumId w:val="17"/>
  </w:num>
  <w:num w:numId="9">
    <w:abstractNumId w:val="1"/>
  </w:num>
  <w:num w:numId="10">
    <w:abstractNumId w:val="4"/>
  </w:num>
  <w:num w:numId="11">
    <w:abstractNumId w:val="1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4"/>
  </w:num>
  <w:num w:numId="13">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num>
  <w:num w:numId="20">
    <w:abstractNumId w:val="8"/>
  </w:num>
  <w:num w:numId="21">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4350"/>
    <w:rsid w:val="00874350"/>
    <w:rsid w:val="008A6BFB"/>
    <w:rsid w:val="00E4557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48EC605-A551-4790-9961-7FAA5D469E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paragraph" w:styleId="1">
    <w:name w:val="heading 1"/>
    <w:basedOn w:val="a"/>
    <w:next w:val="a"/>
    <w:link w:val="10"/>
    <w:uiPriority w:val="9"/>
    <w:qFormat/>
    <w:rsid w:val="00E45578"/>
    <w:pPr>
      <w:keepNext/>
      <w:keepLines/>
      <w:spacing w:before="240" w:after="0"/>
      <w:outlineLvl w:val="0"/>
    </w:pPr>
    <w:rPr>
      <w:rFonts w:ascii="Cambria" w:eastAsia="MS Gothic" w:hAnsi="Cambria" w:cs="Times New Roman"/>
      <w:b/>
      <w:bCs/>
      <w:color w:val="365F91"/>
      <w:sz w:val="28"/>
      <w:szCs w:val="28"/>
    </w:rPr>
  </w:style>
  <w:style w:type="paragraph" w:styleId="3">
    <w:name w:val="heading 3"/>
    <w:basedOn w:val="a"/>
    <w:next w:val="a"/>
    <w:link w:val="30"/>
    <w:uiPriority w:val="9"/>
    <w:semiHidden/>
    <w:unhideWhenUsed/>
    <w:qFormat/>
    <w:rsid w:val="00E45578"/>
    <w:pPr>
      <w:keepNext/>
      <w:keepLines/>
      <w:spacing w:before="40" w:after="0"/>
      <w:outlineLvl w:val="2"/>
    </w:pPr>
    <w:rPr>
      <w:rFonts w:ascii="Cambria" w:eastAsia="MS Gothic" w:hAnsi="Cambria" w:cs="Times New Roman"/>
      <w:b/>
      <w:bCs/>
      <w:color w:val="4F81BD"/>
    </w:rPr>
  </w:style>
  <w:style w:type="paragraph" w:styleId="4">
    <w:name w:val="heading 4"/>
    <w:basedOn w:val="a"/>
    <w:next w:val="a"/>
    <w:link w:val="40"/>
    <w:uiPriority w:val="9"/>
    <w:semiHidden/>
    <w:unhideWhenUsed/>
    <w:qFormat/>
    <w:rsid w:val="00E45578"/>
    <w:pPr>
      <w:keepNext/>
      <w:keepLines/>
      <w:spacing w:before="40" w:after="0"/>
      <w:outlineLvl w:val="3"/>
    </w:pPr>
    <w:rPr>
      <w:rFonts w:ascii="Cambria" w:eastAsia="MS Gothic" w:hAnsi="Cambria" w:cs="Times New Roman"/>
      <w:b/>
      <w:bCs/>
      <w:i/>
      <w:iCs/>
      <w:color w:val="4F81BD"/>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1">
    <w:name w:val="Заголовок 11"/>
    <w:basedOn w:val="a"/>
    <w:next w:val="a"/>
    <w:uiPriority w:val="9"/>
    <w:qFormat/>
    <w:rsid w:val="00E45578"/>
    <w:pPr>
      <w:keepNext/>
      <w:keepLines/>
      <w:spacing w:before="480" w:after="0" w:line="276" w:lineRule="auto"/>
      <w:outlineLvl w:val="0"/>
    </w:pPr>
    <w:rPr>
      <w:rFonts w:ascii="Cambria" w:eastAsia="MS Gothic" w:hAnsi="Cambria" w:cs="Times New Roman"/>
      <w:b/>
      <w:bCs/>
      <w:color w:val="365F91"/>
      <w:sz w:val="28"/>
      <w:szCs w:val="28"/>
    </w:rPr>
  </w:style>
  <w:style w:type="paragraph" w:customStyle="1" w:styleId="31">
    <w:name w:val="Заголовок 31"/>
    <w:basedOn w:val="a"/>
    <w:next w:val="a"/>
    <w:uiPriority w:val="9"/>
    <w:semiHidden/>
    <w:unhideWhenUsed/>
    <w:qFormat/>
    <w:rsid w:val="00E45578"/>
    <w:pPr>
      <w:keepNext/>
      <w:keepLines/>
      <w:spacing w:before="200" w:after="0" w:line="276" w:lineRule="auto"/>
      <w:outlineLvl w:val="2"/>
    </w:pPr>
    <w:rPr>
      <w:rFonts w:ascii="Cambria" w:eastAsia="MS Gothic" w:hAnsi="Cambria" w:cs="Times New Roman"/>
      <w:b/>
      <w:bCs/>
      <w:color w:val="4F81BD"/>
    </w:rPr>
  </w:style>
  <w:style w:type="paragraph" w:customStyle="1" w:styleId="41">
    <w:name w:val="Заголовок 41"/>
    <w:basedOn w:val="a"/>
    <w:next w:val="a"/>
    <w:uiPriority w:val="9"/>
    <w:semiHidden/>
    <w:unhideWhenUsed/>
    <w:qFormat/>
    <w:rsid w:val="00E45578"/>
    <w:pPr>
      <w:keepNext/>
      <w:keepLines/>
      <w:spacing w:before="200" w:after="0" w:line="276" w:lineRule="auto"/>
      <w:outlineLvl w:val="3"/>
    </w:pPr>
    <w:rPr>
      <w:rFonts w:ascii="Cambria" w:eastAsia="MS Gothic" w:hAnsi="Cambria" w:cs="Times New Roman"/>
      <w:b/>
      <w:bCs/>
      <w:i/>
      <w:iCs/>
      <w:color w:val="4F81BD"/>
    </w:rPr>
  </w:style>
  <w:style w:type="numbering" w:customStyle="1" w:styleId="12">
    <w:name w:val="Нет списка1"/>
    <w:next w:val="a2"/>
    <w:uiPriority w:val="99"/>
    <w:semiHidden/>
    <w:unhideWhenUsed/>
    <w:rsid w:val="00E45578"/>
  </w:style>
  <w:style w:type="paragraph" w:styleId="a3">
    <w:name w:val="footnote text"/>
    <w:basedOn w:val="a"/>
    <w:link w:val="a4"/>
    <w:semiHidden/>
    <w:unhideWhenUsed/>
    <w:rsid w:val="00E45578"/>
    <w:pPr>
      <w:spacing w:after="0" w:line="240" w:lineRule="auto"/>
    </w:pPr>
    <w:rPr>
      <w:sz w:val="20"/>
      <w:szCs w:val="20"/>
    </w:rPr>
  </w:style>
  <w:style w:type="character" w:customStyle="1" w:styleId="a4">
    <w:name w:val="Текст сноски Знак"/>
    <w:basedOn w:val="a0"/>
    <w:link w:val="a3"/>
    <w:semiHidden/>
    <w:rsid w:val="00E45578"/>
    <w:rPr>
      <w:sz w:val="20"/>
      <w:szCs w:val="20"/>
    </w:rPr>
  </w:style>
  <w:style w:type="character" w:styleId="a5">
    <w:name w:val="footnote reference"/>
    <w:basedOn w:val="a0"/>
    <w:semiHidden/>
    <w:unhideWhenUsed/>
    <w:rsid w:val="00E45578"/>
    <w:rPr>
      <w:vertAlign w:val="superscript"/>
    </w:rPr>
  </w:style>
  <w:style w:type="paragraph" w:styleId="a6">
    <w:name w:val="Normal (Web)"/>
    <w:basedOn w:val="a"/>
    <w:uiPriority w:val="99"/>
    <w:semiHidden/>
    <w:unhideWhenUsed/>
    <w:rsid w:val="00E45578"/>
    <w:pPr>
      <w:spacing w:after="200" w:line="276" w:lineRule="auto"/>
    </w:pPr>
    <w:rPr>
      <w:rFonts w:ascii="Times New Roman" w:hAnsi="Times New Roman" w:cs="Times New Roman"/>
      <w:sz w:val="24"/>
      <w:szCs w:val="24"/>
    </w:rPr>
  </w:style>
  <w:style w:type="character" w:customStyle="1" w:styleId="13">
    <w:name w:val="Гиперссылка1"/>
    <w:basedOn w:val="a0"/>
    <w:unhideWhenUsed/>
    <w:rsid w:val="00E45578"/>
    <w:rPr>
      <w:color w:val="0000FF"/>
      <w:u w:val="single"/>
    </w:rPr>
  </w:style>
  <w:style w:type="character" w:customStyle="1" w:styleId="10">
    <w:name w:val="Заголовок 1 Знак"/>
    <w:basedOn w:val="a0"/>
    <w:link w:val="1"/>
    <w:uiPriority w:val="9"/>
    <w:rsid w:val="00E45578"/>
    <w:rPr>
      <w:rFonts w:ascii="Cambria" w:eastAsia="MS Gothic" w:hAnsi="Cambria" w:cs="Times New Roman"/>
      <w:b/>
      <w:bCs/>
      <w:color w:val="365F91"/>
      <w:sz w:val="28"/>
      <w:szCs w:val="28"/>
    </w:rPr>
  </w:style>
  <w:style w:type="numbering" w:customStyle="1" w:styleId="110">
    <w:name w:val="Нет списка11"/>
    <w:next w:val="a2"/>
    <w:semiHidden/>
    <w:rsid w:val="00E45578"/>
  </w:style>
  <w:style w:type="paragraph" w:styleId="a7">
    <w:name w:val="Balloon Text"/>
    <w:basedOn w:val="a"/>
    <w:link w:val="a8"/>
    <w:semiHidden/>
    <w:rsid w:val="00E45578"/>
    <w:pPr>
      <w:spacing w:after="0" w:line="240" w:lineRule="auto"/>
    </w:pPr>
    <w:rPr>
      <w:rFonts w:ascii="Tahoma" w:eastAsia="MS Mincho" w:hAnsi="Tahoma" w:cs="Tahoma"/>
      <w:sz w:val="16"/>
      <w:szCs w:val="16"/>
      <w:lang w:eastAsia="ru-RU"/>
    </w:rPr>
  </w:style>
  <w:style w:type="character" w:customStyle="1" w:styleId="a8">
    <w:name w:val="Текст выноски Знак"/>
    <w:basedOn w:val="a0"/>
    <w:link w:val="a7"/>
    <w:semiHidden/>
    <w:rsid w:val="00E45578"/>
    <w:rPr>
      <w:rFonts w:ascii="Tahoma" w:eastAsia="MS Mincho" w:hAnsi="Tahoma" w:cs="Tahoma"/>
      <w:sz w:val="16"/>
      <w:szCs w:val="16"/>
      <w:lang w:eastAsia="ru-RU"/>
    </w:rPr>
  </w:style>
  <w:style w:type="paragraph" w:customStyle="1" w:styleId="14">
    <w:name w:val="Абзац списка1"/>
    <w:basedOn w:val="a"/>
    <w:rsid w:val="00E45578"/>
    <w:pPr>
      <w:spacing w:after="0" w:line="240" w:lineRule="auto"/>
      <w:ind w:left="720"/>
      <w:contextualSpacing/>
    </w:pPr>
    <w:rPr>
      <w:rFonts w:ascii="Cambria" w:eastAsia="MS Mincho" w:hAnsi="Cambria" w:cs="Times New Roman"/>
      <w:sz w:val="24"/>
      <w:szCs w:val="24"/>
      <w:lang w:eastAsia="ru-RU"/>
    </w:rPr>
  </w:style>
  <w:style w:type="paragraph" w:styleId="a9">
    <w:name w:val="header"/>
    <w:basedOn w:val="a"/>
    <w:link w:val="aa"/>
    <w:uiPriority w:val="99"/>
    <w:rsid w:val="00E45578"/>
    <w:pPr>
      <w:tabs>
        <w:tab w:val="center" w:pos="4677"/>
        <w:tab w:val="right" w:pos="9355"/>
      </w:tabs>
      <w:spacing w:after="0" w:line="240" w:lineRule="auto"/>
    </w:pPr>
    <w:rPr>
      <w:rFonts w:ascii="Cambria" w:eastAsia="MS Mincho" w:hAnsi="Cambria" w:cs="Times New Roman"/>
      <w:sz w:val="24"/>
      <w:szCs w:val="24"/>
      <w:lang w:eastAsia="ru-RU"/>
    </w:rPr>
  </w:style>
  <w:style w:type="character" w:customStyle="1" w:styleId="aa">
    <w:name w:val="Верхний колонтитул Знак"/>
    <w:basedOn w:val="a0"/>
    <w:link w:val="a9"/>
    <w:uiPriority w:val="99"/>
    <w:rsid w:val="00E45578"/>
    <w:rPr>
      <w:rFonts w:ascii="Cambria" w:eastAsia="MS Mincho" w:hAnsi="Cambria" w:cs="Times New Roman"/>
      <w:sz w:val="24"/>
      <w:szCs w:val="24"/>
      <w:lang w:eastAsia="ru-RU"/>
    </w:rPr>
  </w:style>
  <w:style w:type="paragraph" w:styleId="ab">
    <w:name w:val="footer"/>
    <w:basedOn w:val="a"/>
    <w:link w:val="ac"/>
    <w:semiHidden/>
    <w:rsid w:val="00E45578"/>
    <w:pPr>
      <w:tabs>
        <w:tab w:val="center" w:pos="4677"/>
        <w:tab w:val="right" w:pos="9355"/>
      </w:tabs>
      <w:spacing w:after="0" w:line="240" w:lineRule="auto"/>
    </w:pPr>
    <w:rPr>
      <w:rFonts w:ascii="Cambria" w:eastAsia="MS Mincho" w:hAnsi="Cambria" w:cs="Times New Roman"/>
      <w:sz w:val="24"/>
      <w:szCs w:val="24"/>
      <w:lang w:eastAsia="ru-RU"/>
    </w:rPr>
  </w:style>
  <w:style w:type="character" w:customStyle="1" w:styleId="ac">
    <w:name w:val="Нижний колонтитул Знак"/>
    <w:basedOn w:val="a0"/>
    <w:link w:val="ab"/>
    <w:semiHidden/>
    <w:rsid w:val="00E45578"/>
    <w:rPr>
      <w:rFonts w:ascii="Cambria" w:eastAsia="MS Mincho" w:hAnsi="Cambria" w:cs="Times New Roman"/>
      <w:sz w:val="24"/>
      <w:szCs w:val="24"/>
      <w:lang w:eastAsia="ru-RU"/>
    </w:rPr>
  </w:style>
  <w:style w:type="paragraph" w:styleId="2">
    <w:name w:val="Body Text Indent 2"/>
    <w:basedOn w:val="a"/>
    <w:link w:val="20"/>
    <w:rsid w:val="00E45578"/>
    <w:pPr>
      <w:spacing w:after="120" w:line="480" w:lineRule="auto"/>
      <w:ind w:left="283"/>
    </w:pPr>
    <w:rPr>
      <w:rFonts w:ascii="Times New Roman" w:eastAsia="Calibri" w:hAnsi="Times New Roman" w:cs="Times New Roman"/>
      <w:sz w:val="24"/>
      <w:szCs w:val="24"/>
      <w:lang w:eastAsia="ru-RU"/>
    </w:rPr>
  </w:style>
  <w:style w:type="character" w:customStyle="1" w:styleId="20">
    <w:name w:val="Основной текст с отступом 2 Знак"/>
    <w:basedOn w:val="a0"/>
    <w:link w:val="2"/>
    <w:rsid w:val="00E45578"/>
    <w:rPr>
      <w:rFonts w:ascii="Times New Roman" w:eastAsia="Calibri" w:hAnsi="Times New Roman" w:cs="Times New Roman"/>
      <w:sz w:val="24"/>
      <w:szCs w:val="24"/>
      <w:lang w:eastAsia="ru-RU"/>
    </w:rPr>
  </w:style>
  <w:style w:type="paragraph" w:styleId="HTML">
    <w:name w:val="HTML Preformatted"/>
    <w:basedOn w:val="a"/>
    <w:link w:val="HTML0"/>
    <w:uiPriority w:val="99"/>
    <w:semiHidden/>
    <w:unhideWhenUsed/>
    <w:rsid w:val="00E45578"/>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semiHidden/>
    <w:rsid w:val="00E45578"/>
    <w:rPr>
      <w:rFonts w:ascii="Consolas" w:hAnsi="Consolas" w:cs="Consolas"/>
      <w:sz w:val="20"/>
      <w:szCs w:val="20"/>
    </w:rPr>
  </w:style>
  <w:style w:type="paragraph" w:styleId="32">
    <w:name w:val="Body Text Indent 3"/>
    <w:basedOn w:val="a"/>
    <w:link w:val="33"/>
    <w:uiPriority w:val="99"/>
    <w:semiHidden/>
    <w:unhideWhenUsed/>
    <w:rsid w:val="00E45578"/>
    <w:pPr>
      <w:spacing w:after="120" w:line="276" w:lineRule="auto"/>
      <w:ind w:left="283"/>
    </w:pPr>
    <w:rPr>
      <w:sz w:val="16"/>
      <w:szCs w:val="16"/>
    </w:rPr>
  </w:style>
  <w:style w:type="character" w:customStyle="1" w:styleId="33">
    <w:name w:val="Основной текст с отступом 3 Знак"/>
    <w:basedOn w:val="a0"/>
    <w:link w:val="32"/>
    <w:uiPriority w:val="99"/>
    <w:semiHidden/>
    <w:rsid w:val="00E45578"/>
    <w:rPr>
      <w:sz w:val="16"/>
      <w:szCs w:val="16"/>
    </w:rPr>
  </w:style>
  <w:style w:type="paragraph" w:styleId="ad">
    <w:name w:val="List Paragraph"/>
    <w:basedOn w:val="a"/>
    <w:uiPriority w:val="34"/>
    <w:qFormat/>
    <w:rsid w:val="00E45578"/>
    <w:pPr>
      <w:spacing w:after="200" w:line="276" w:lineRule="auto"/>
      <w:ind w:left="720"/>
      <w:contextualSpacing/>
    </w:pPr>
  </w:style>
  <w:style w:type="character" w:customStyle="1" w:styleId="40">
    <w:name w:val="Заголовок 4 Знак"/>
    <w:basedOn w:val="a0"/>
    <w:link w:val="4"/>
    <w:uiPriority w:val="9"/>
    <w:semiHidden/>
    <w:rsid w:val="00E45578"/>
    <w:rPr>
      <w:rFonts w:ascii="Cambria" w:eastAsia="MS Gothic" w:hAnsi="Cambria" w:cs="Times New Roman"/>
      <w:b/>
      <w:bCs/>
      <w:i/>
      <w:iCs/>
      <w:color w:val="4F81BD"/>
    </w:rPr>
  </w:style>
  <w:style w:type="character" w:customStyle="1" w:styleId="30">
    <w:name w:val="Заголовок 3 Знак"/>
    <w:basedOn w:val="a0"/>
    <w:link w:val="3"/>
    <w:uiPriority w:val="9"/>
    <w:semiHidden/>
    <w:rsid w:val="00E45578"/>
    <w:rPr>
      <w:rFonts w:ascii="Cambria" w:eastAsia="MS Gothic" w:hAnsi="Cambria" w:cs="Times New Roman"/>
      <w:b/>
      <w:bCs/>
      <w:color w:val="4F81BD"/>
    </w:rPr>
  </w:style>
  <w:style w:type="character" w:styleId="ae">
    <w:name w:val="page number"/>
    <w:basedOn w:val="a0"/>
    <w:uiPriority w:val="99"/>
    <w:semiHidden/>
    <w:unhideWhenUsed/>
    <w:rsid w:val="00E45578"/>
  </w:style>
  <w:style w:type="character" w:styleId="af">
    <w:name w:val="Hyperlink"/>
    <w:basedOn w:val="a0"/>
    <w:uiPriority w:val="99"/>
    <w:semiHidden/>
    <w:unhideWhenUsed/>
    <w:rsid w:val="00E45578"/>
    <w:rPr>
      <w:color w:val="0563C1" w:themeColor="hyperlink"/>
      <w:u w:val="single"/>
    </w:rPr>
  </w:style>
  <w:style w:type="character" w:customStyle="1" w:styleId="111">
    <w:name w:val="Заголовок 1 Знак1"/>
    <w:basedOn w:val="a0"/>
    <w:link w:val="1"/>
    <w:uiPriority w:val="9"/>
    <w:rsid w:val="00E45578"/>
    <w:rPr>
      <w:rFonts w:asciiTheme="majorHAnsi" w:eastAsiaTheme="majorEastAsia" w:hAnsiTheme="majorHAnsi" w:cstheme="majorBidi"/>
      <w:color w:val="2E74B5" w:themeColor="accent1" w:themeShade="BF"/>
      <w:sz w:val="32"/>
      <w:szCs w:val="32"/>
    </w:rPr>
  </w:style>
  <w:style w:type="character" w:customStyle="1" w:styleId="410">
    <w:name w:val="Заголовок 4 Знак1"/>
    <w:basedOn w:val="a0"/>
    <w:link w:val="4"/>
    <w:uiPriority w:val="9"/>
    <w:semiHidden/>
    <w:rsid w:val="00E45578"/>
    <w:rPr>
      <w:rFonts w:asciiTheme="majorHAnsi" w:eastAsiaTheme="majorEastAsia" w:hAnsiTheme="majorHAnsi" w:cstheme="majorBidi"/>
      <w:i/>
      <w:iCs/>
      <w:color w:val="2E74B5" w:themeColor="accent1" w:themeShade="BF"/>
    </w:rPr>
  </w:style>
  <w:style w:type="character" w:customStyle="1" w:styleId="310">
    <w:name w:val="Заголовок 3 Знак1"/>
    <w:basedOn w:val="a0"/>
    <w:link w:val="3"/>
    <w:uiPriority w:val="9"/>
    <w:semiHidden/>
    <w:rsid w:val="00E45578"/>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42</Pages>
  <Words>10513</Words>
  <Characters>59925</Characters>
  <Application>Microsoft Office Word</Application>
  <DocSecurity>0</DocSecurity>
  <Lines>499</Lines>
  <Paragraphs>140</Paragraphs>
  <ScaleCrop>false</ScaleCrop>
  <Company/>
  <LinksUpToDate>false</LinksUpToDate>
  <CharactersWithSpaces>70298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2018-04-16T11:18:00Z</dcterms:created>
  <dcterms:modified xsi:type="dcterms:W3CDTF">2018-04-16T11:20:00Z</dcterms:modified>
</cp:coreProperties>
</file>