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26EB" w:rsidRDefault="007326EB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7326EB" w:rsidRDefault="00C95192">
      <w:pPr>
        <w:pBdr>
          <w:bottom w:val="single" w:sz="4" w:space="1" w:color="000000"/>
        </w:pBd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7326EB" w:rsidRDefault="00C95192">
      <w:pPr>
        <w:spacing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(повне найменування закладу вищої освіти)</w:t>
      </w:r>
    </w:p>
    <w:p w:rsidR="007326EB" w:rsidRDefault="00C95192">
      <w:pPr>
        <w:pBdr>
          <w:bottom w:val="single" w:sz="4" w:space="1" w:color="000000"/>
        </w:pBdr>
        <w:tabs>
          <w:tab w:val="center" w:pos="4677"/>
        </w:tabs>
        <w:spacing w:before="24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Біологічний факультет</w:t>
      </w:r>
    </w:p>
    <w:p w:rsidR="007326EB" w:rsidRDefault="00C95192">
      <w:pPr>
        <w:spacing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(повне найменування факультету)</w:t>
      </w:r>
    </w:p>
    <w:p w:rsidR="007326EB" w:rsidRDefault="00C95192">
      <w:pPr>
        <w:pBdr>
          <w:bottom w:val="single" w:sz="4" w:space="1" w:color="000000"/>
        </w:pBdr>
        <w:spacing w:before="2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Кафедра молекулярної біології, біохімії та генетики</w:t>
      </w:r>
    </w:p>
    <w:p w:rsidR="007326EB" w:rsidRDefault="00C95192">
      <w:pPr>
        <w:spacing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(повна назва кафедри)</w:t>
      </w:r>
    </w:p>
    <w:p w:rsidR="007326EB" w:rsidRDefault="007326EB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</w:rPr>
      </w:pPr>
    </w:p>
    <w:p w:rsidR="007326EB" w:rsidRDefault="00C95192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Кваліфікаційна робота</w:t>
      </w:r>
    </w:p>
    <w:p w:rsidR="007326EB" w:rsidRDefault="00C95192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7326EB" w:rsidRDefault="007326EB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326EB" w:rsidRDefault="00C95192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«Вміст відновленого глутатіону в органах щурів за дією тіаміну та його метаболітів»</w:t>
      </w:r>
    </w:p>
    <w:p w:rsidR="007326EB" w:rsidRDefault="00C95192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The content of reduced glutathione in the organs of rats under the influence of thiamine and its metabolites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:rsidR="007326EB" w:rsidRDefault="007326EB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326EB" w:rsidRDefault="007326EB">
      <w:pPr>
        <w:tabs>
          <w:tab w:val="right" w:pos="9355"/>
        </w:tabs>
        <w:spacing w:line="240" w:lineRule="auto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:rsidR="007326EB" w:rsidRDefault="00C95192">
      <w:pPr>
        <w:ind w:left="2880" w:firstLine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Виконала: здобувачка денної форми навчання</w:t>
      </w:r>
    </w:p>
    <w:p w:rsidR="007326EB" w:rsidRDefault="00C95192">
      <w:pPr>
        <w:ind w:left="2880" w:firstLine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спеціальності 091 Біологія</w:t>
      </w:r>
    </w:p>
    <w:p w:rsidR="007326EB" w:rsidRDefault="00C95192">
      <w:pPr>
        <w:ind w:left="2880" w:firstLine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ОП Біологія                                </w:t>
      </w:r>
    </w:p>
    <w:p w:rsidR="007326EB" w:rsidRDefault="00C95192">
      <w:pPr>
        <w:ind w:left="2880" w:firstLine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Хмарська Ірина Сергіївна</w:t>
      </w:r>
    </w:p>
    <w:p w:rsidR="007326EB" w:rsidRDefault="007326EB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326EB" w:rsidRDefault="00C95192">
      <w:pPr>
        <w:spacing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</w:t>
      </w:r>
    </w:p>
    <w:p w:rsidR="007326EB" w:rsidRDefault="00C95192">
      <w:pPr>
        <w:tabs>
          <w:tab w:val="left" w:pos="5245"/>
          <w:tab w:val="right" w:pos="9355"/>
        </w:tabs>
        <w:spacing w:before="120" w:line="240" w:lineRule="auto"/>
        <w:ind w:left="288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Керівник: кандидат біологічних наук, доцент</w:t>
      </w:r>
    </w:p>
    <w:p w:rsidR="007326EB" w:rsidRDefault="00C95192">
      <w:pPr>
        <w:tabs>
          <w:tab w:val="left" w:pos="5245"/>
          <w:tab w:val="right" w:pos="9355"/>
        </w:tabs>
        <w:spacing w:before="120" w:line="240" w:lineRule="auto"/>
        <w:ind w:left="288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Будняк Олександр Костянтинович _________</w:t>
      </w:r>
    </w:p>
    <w:p w:rsidR="007326EB" w:rsidRDefault="00C95192">
      <w:pPr>
        <w:tabs>
          <w:tab w:val="left" w:pos="5245"/>
          <w:tab w:val="right" w:pos="9355"/>
        </w:tabs>
        <w:spacing w:before="120" w:line="240" w:lineRule="auto"/>
        <w:ind w:left="2880" w:firstLine="72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(підпис)</w:t>
      </w:r>
    </w:p>
    <w:p w:rsidR="007326EB" w:rsidRDefault="00C95192">
      <w:pPr>
        <w:tabs>
          <w:tab w:val="left" w:pos="5245"/>
          <w:tab w:val="right" w:pos="9355"/>
        </w:tabs>
        <w:spacing w:before="120" w:line="240" w:lineRule="auto"/>
        <w:ind w:left="288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Рецензент: доктор біологічних наук</w:t>
      </w:r>
    </w:p>
    <w:p w:rsidR="007326EB" w:rsidRDefault="00C95192">
      <w:pPr>
        <w:tabs>
          <w:tab w:val="left" w:pos="5245"/>
          <w:tab w:val="right" w:pos="9355"/>
        </w:tabs>
        <w:spacing w:before="120" w:line="240" w:lineRule="auto"/>
        <w:ind w:left="288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Макаренко Ольга Анатоліївна</w:t>
      </w:r>
    </w:p>
    <w:p w:rsidR="007326EB" w:rsidRDefault="007326EB">
      <w:pPr>
        <w:tabs>
          <w:tab w:val="left" w:pos="5245"/>
          <w:tab w:val="right" w:pos="9355"/>
        </w:tabs>
        <w:spacing w:before="12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7326EB" w:rsidRDefault="007326EB">
      <w:pPr>
        <w:tabs>
          <w:tab w:val="left" w:pos="5245"/>
          <w:tab w:val="right" w:pos="9355"/>
        </w:tabs>
        <w:spacing w:before="12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ff2"/>
        <w:tblW w:w="9868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5082"/>
        <w:gridCol w:w="4786"/>
      </w:tblGrid>
      <w:tr w:rsidR="007326EB">
        <w:tc>
          <w:tcPr>
            <w:tcW w:w="5082" w:type="dxa"/>
          </w:tcPr>
          <w:p w:rsidR="007326EB" w:rsidRDefault="00C9519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7326EB" w:rsidRDefault="00C9519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7326EB" w:rsidRDefault="00C9519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__________________________</w:t>
            </w:r>
          </w:p>
          <w:p w:rsidR="007326EB" w:rsidRDefault="00C9519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  від ____.____. 20___ р. </w:t>
            </w:r>
          </w:p>
          <w:p w:rsidR="007326EB" w:rsidRDefault="007326E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7326EB" w:rsidRDefault="00C9519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Завідувачка кафедри</w:t>
            </w:r>
          </w:p>
          <w:p w:rsidR="007326EB" w:rsidRDefault="00C95192">
            <w:pPr>
              <w:tabs>
                <w:tab w:val="left" w:pos="1168"/>
                <w:tab w:val="left" w:pos="3861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_______               Чеботар С. В.</w:t>
            </w:r>
          </w:p>
          <w:p w:rsidR="007326EB" w:rsidRDefault="00C95192">
            <w:pPr>
              <w:tabs>
                <w:tab w:val="left" w:pos="284"/>
                <w:tab w:val="left" w:pos="1767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 xml:space="preserve">     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прізвище,ім’я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7326EB" w:rsidRDefault="00C95192">
            <w:pPr>
              <w:tabs>
                <w:tab w:val="right" w:pos="4462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7326EB" w:rsidRDefault="00C9519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__від ____.____.20___ р.</w:t>
            </w:r>
          </w:p>
          <w:p w:rsidR="007326EB" w:rsidRDefault="00C9519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:rsidR="007326EB" w:rsidRDefault="00C95192">
            <w:pPr>
              <w:tabs>
                <w:tab w:val="right" w:pos="4462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7326EB" w:rsidRDefault="00C9519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шкалою/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шкалою ЕСТS/ бали)</w:t>
            </w:r>
          </w:p>
          <w:p w:rsidR="007326EB" w:rsidRDefault="00C9519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7326EB" w:rsidRDefault="00C9519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_______                Філіпова Т. О.</w:t>
            </w:r>
          </w:p>
          <w:p w:rsidR="007326EB" w:rsidRDefault="00C95192">
            <w:pPr>
              <w:tabs>
                <w:tab w:val="left" w:pos="454"/>
                <w:tab w:val="left" w:pos="2155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                      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прізвище, ім’я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7326EB">
        <w:tc>
          <w:tcPr>
            <w:tcW w:w="5082" w:type="dxa"/>
          </w:tcPr>
          <w:p w:rsidR="007326EB" w:rsidRDefault="007326E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7326EB" w:rsidRDefault="007326E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7326EB" w:rsidRDefault="007326E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7326EB" w:rsidRDefault="007326E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7326EB" w:rsidRDefault="007326E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7326EB" w:rsidRDefault="00C95192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Одеса 2022</w:t>
      </w:r>
      <w:r>
        <w:br w:type="page"/>
      </w:r>
    </w:p>
    <w:p w:rsidR="007326EB" w:rsidRDefault="00C95192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АНОТАЦІЯ</w:t>
      </w:r>
    </w:p>
    <w:p w:rsidR="007326EB" w:rsidRDefault="00C95192">
      <w:pPr>
        <w:spacing w:line="288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Проведено дослідження впливу тіаміну, його метаболітів та тіамінового вітаболому на вміст відновленого глутатіону та активність глутатіон-залежних ферментів в печінці, нирках, мозку та серці щурів при дії гіпоксії замкненого простору.</w:t>
      </w:r>
    </w:p>
    <w:p w:rsidR="007326EB" w:rsidRDefault="00C95192">
      <w:pPr>
        <w:spacing w:line="288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Встановлено зменшення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вмісту відновленого глутатіону, активності глутатіонредуктази, глутатіонпероксидази та підвищення активності гамма-глутамілтрансферази в органах щурів за дії гіпоксії замкнутого простору. Введення тіамінпірофосфату підвищувало вміст відновленого глутатіон</w:t>
      </w:r>
      <w:r>
        <w:rPr>
          <w:rFonts w:ascii="Times New Roman" w:eastAsia="Times New Roman" w:hAnsi="Times New Roman" w:cs="Times New Roman"/>
          <w:sz w:val="26"/>
          <w:szCs w:val="26"/>
        </w:rPr>
        <w:t>у у печінці на 34 %, активність глутатіонредуктази у нирках та печінці, відповідно на 18 % та 20 %, а введення тіохрому підвищувало вміст відновленого глутатіону у 1,2-2,2 разів у всіх досліджених органах, крім серця, і пригнічувало активність глутатіонред</w:t>
      </w:r>
      <w:r>
        <w:rPr>
          <w:rFonts w:ascii="Times New Roman" w:eastAsia="Times New Roman" w:hAnsi="Times New Roman" w:cs="Times New Roman"/>
          <w:sz w:val="26"/>
          <w:szCs w:val="26"/>
        </w:rPr>
        <w:t>уктази у печінці та нирках, відповідно на 14-25 % відносно показників гіпоксичних тварин.</w:t>
      </w:r>
    </w:p>
    <w:p w:rsidR="007326EB" w:rsidRDefault="00C95192">
      <w:pPr>
        <w:spacing w:line="288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Дипломну роботу викладено на 61 сторінках, вона містить 2 таблиці та 4 рисунки. Наведено посилання на 67 джерел літератури (50 кирилицею та 17 латиницею).</w:t>
      </w:r>
    </w:p>
    <w:p w:rsidR="007326EB" w:rsidRDefault="00C95192">
      <w:pPr>
        <w:spacing w:line="288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Ключові сло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ва: </w:t>
      </w:r>
      <w:r>
        <w:rPr>
          <w:rFonts w:ascii="Times New Roman" w:eastAsia="Times New Roman" w:hAnsi="Times New Roman" w:cs="Times New Roman"/>
          <w:sz w:val="26"/>
          <w:szCs w:val="26"/>
        </w:rPr>
        <w:t>глутатіон, глутатіонредуктаза, глутатіонпероксидаза, гамма-глутамілтрансфераза, тіамін, тіохром, тіамінпірофосфат, метаболіти, гіпоксія замкненого простору</w:t>
      </w:r>
    </w:p>
    <w:p w:rsidR="007326EB" w:rsidRDefault="007326EB">
      <w:pPr>
        <w:spacing w:line="288" w:lineRule="auto"/>
        <w:ind w:firstLine="720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7326EB" w:rsidRDefault="00C95192">
      <w:pPr>
        <w:spacing w:line="288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The effect of thiamine, its metabolites and thiamine vitabolom on the content of reduced glutat</w:t>
      </w:r>
      <w:r>
        <w:rPr>
          <w:rFonts w:ascii="Times New Roman" w:eastAsia="Times New Roman" w:hAnsi="Times New Roman" w:cs="Times New Roman"/>
          <w:sz w:val="26"/>
          <w:szCs w:val="26"/>
        </w:rPr>
        <w:t>hione and the activity of glutathione-dependent enzymes in the liver, kidneys, brain and heart of rats under the influence of  closed space hypoxia was studied.</w:t>
      </w:r>
    </w:p>
    <w:p w:rsidR="007326EB" w:rsidRDefault="00C95192">
      <w:pPr>
        <w:spacing w:line="288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A decrease in the content of reduced glutathione, the activity of glutathione reductase, glutat</w:t>
      </w:r>
      <w:r>
        <w:rPr>
          <w:rFonts w:ascii="Times New Roman" w:eastAsia="Times New Roman" w:hAnsi="Times New Roman" w:cs="Times New Roman"/>
          <w:sz w:val="26"/>
          <w:szCs w:val="26"/>
        </w:rPr>
        <w:t>hione peroxidase, and an increase in the activity of gamma-glutamyltransferase in the organs of rats under the effects of  closed space hypoxia were established. The introduction of thiamine pyrophosphate increased the content of reduced glutathione in the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liver by 34 %, the activity of glutathione reductase in the kidneys and liver by 18 % and 20 %, respectively, and the introduction of thiochrome increased the content of reduced glutathione by 1.2-2.2 times in all studied organs, except the heart , and in</w:t>
      </w:r>
      <w:r>
        <w:rPr>
          <w:rFonts w:ascii="Times New Roman" w:eastAsia="Times New Roman" w:hAnsi="Times New Roman" w:cs="Times New Roman"/>
          <w:sz w:val="26"/>
          <w:szCs w:val="26"/>
        </w:rPr>
        <w:t>hibited the activity of glutathione reductase in the liver and kidneys, respectively, by 14-25 % relative to the indicators of hypoxic animals.</w:t>
      </w:r>
    </w:p>
    <w:p w:rsidR="007326EB" w:rsidRDefault="00C95192">
      <w:pPr>
        <w:spacing w:line="288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 xml:space="preserve">Diploma thesis is expounded on 61 pages, it contains 2 tables and 4 figures. It provides links to 67 references </w:t>
      </w:r>
      <w:r>
        <w:rPr>
          <w:rFonts w:ascii="Times New Roman" w:eastAsia="Times New Roman" w:hAnsi="Times New Roman" w:cs="Times New Roman"/>
          <w:sz w:val="26"/>
          <w:szCs w:val="26"/>
        </w:rPr>
        <w:t>(50 cyrillic and 17 latinic).</w:t>
      </w:r>
    </w:p>
    <w:p w:rsidR="007326EB" w:rsidRDefault="00C95192">
      <w:pPr>
        <w:spacing w:line="288" w:lineRule="auto"/>
        <w:ind w:firstLine="720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Key words: </w:t>
      </w:r>
      <w:r>
        <w:rPr>
          <w:rFonts w:ascii="Times New Roman" w:eastAsia="Times New Roman" w:hAnsi="Times New Roman" w:cs="Times New Roman"/>
          <w:sz w:val="26"/>
          <w:szCs w:val="26"/>
        </w:rPr>
        <w:t>glutathione, glutathione reductase, glutathione peroxidase, gamma-glutamyltransferase, thiamine, thiochrome, thiamine pyrophosphate, metabolites, closed space hypoxia</w:t>
      </w:r>
    </w:p>
    <w:p w:rsidR="007326EB" w:rsidRDefault="00C95192">
      <w:pPr>
        <w:spacing w:line="312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</w:p>
    <w:p w:rsidR="007326EB" w:rsidRDefault="00C95192">
      <w:pPr>
        <w:spacing w:line="312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ЗМІСТ</w:t>
      </w:r>
    </w:p>
    <w:p w:rsidR="007326EB" w:rsidRDefault="00C9519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ВСТУП……………………………………………………………………………..5</w:t>
      </w:r>
    </w:p>
    <w:p w:rsidR="007326EB" w:rsidRDefault="00C95192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ОГЛЯД ЛІТЕРАТУРИ……………………………………………………...7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 Біохімічна характеристика  тіаміну та його похідних………………7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1.1.1. Тіамін………………………………………………………….7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1.1.2. Тіамінпірофосфат……………………………………………14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1.1.3. Тіохром……………………………………………………….15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1.1.4. Тіамін дисульфід……………………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……………………….17</w:t>
      </w:r>
    </w:p>
    <w:p w:rsidR="007326EB" w:rsidRDefault="00C95192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 Біохімічна характеристика глутатіону та глутатіон-залежних ферментів………………………………………………………………….19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1.2.1. Глутатіон…………….………………….……………………19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1.2.2. Глутатіонредуктаза…………………………………………..23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1.2.3. Глутатіонпероксидаза……………………………………….24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1.2.4. Г</w:t>
      </w:r>
      <w:r>
        <w:rPr>
          <w:rFonts w:ascii="Times New Roman" w:eastAsia="Times New Roman" w:hAnsi="Times New Roman" w:cs="Times New Roman"/>
          <w:sz w:val="28"/>
          <w:szCs w:val="28"/>
        </w:rPr>
        <w:t>амма-глутамілтрансфераза…………………………...……25</w:t>
      </w:r>
    </w:p>
    <w:p w:rsidR="007326EB" w:rsidRDefault="00C95192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1.3. Біохімічні перетворення при дії гіпоксії замкненого простору…...26</w:t>
      </w:r>
    </w:p>
    <w:p w:rsidR="007326EB" w:rsidRDefault="00C95192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МАТЕРІАЛИ ТА МЕТОДИ ДОСЛІДЖЕНЬ……………………….……28</w:t>
      </w:r>
    </w:p>
    <w:p w:rsidR="007326EB" w:rsidRDefault="00C95192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 Матеріали дослідження……………………………………………...28</w:t>
      </w:r>
    </w:p>
    <w:p w:rsidR="007326EB" w:rsidRDefault="00C95192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 Методи дослідження…………………………………………………28</w:t>
      </w:r>
    </w:p>
    <w:p w:rsidR="007326EB" w:rsidRDefault="00C95192">
      <w:pPr>
        <w:spacing w:line="36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2.2.1. Визначення вмісту відновленого глутатіону………………29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2.2.2.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Визначення активності глутатіонредуктази………….……30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2.2.3. Визначення активності глутатіонпероксидази…………….31</w:t>
      </w:r>
    </w:p>
    <w:p w:rsidR="007326EB" w:rsidRDefault="00C95192">
      <w:pPr>
        <w:spacing w:line="36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2.2.4. Визначення активності  γ-глутамілтрансферази………..…32</w:t>
      </w:r>
    </w:p>
    <w:p w:rsidR="007326EB" w:rsidRDefault="00C95192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2.3. Статистична обробк</w:t>
      </w:r>
      <w:r>
        <w:rPr>
          <w:rFonts w:ascii="Times New Roman" w:eastAsia="Times New Roman" w:hAnsi="Times New Roman" w:cs="Times New Roman"/>
          <w:sz w:val="28"/>
          <w:szCs w:val="28"/>
        </w:rPr>
        <w:t>а результатів дослідження………………….…34</w:t>
      </w:r>
    </w:p>
    <w:p w:rsidR="007326EB" w:rsidRDefault="00C95192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РЕЗУЛЬТАТИ ДОСЛІДЖЕНЬ ТА ЇХ ОБГОВОРЕННЯ………………...35</w:t>
      </w:r>
    </w:p>
    <w:p w:rsidR="007326EB" w:rsidRDefault="00C9519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УЗАГАЛЬНЕННЯ …………………………………………………………….…49</w:t>
      </w:r>
    </w:p>
    <w:p w:rsidR="007326EB" w:rsidRDefault="00C9519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ВИСНОВКИ…………………………………………………………………...…53</w:t>
      </w:r>
    </w:p>
    <w:p w:rsidR="007326EB" w:rsidRDefault="00C9519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СПИСОК ЛІТЕРАТУРИ……………………………...……………………….…54</w:t>
      </w:r>
      <w:r>
        <w:br w:type="page"/>
      </w:r>
    </w:p>
    <w:p w:rsidR="007326EB" w:rsidRDefault="00C95192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" w:name="_heading=h.6zaqex3m6gjx" w:colFirst="0" w:colLast="0"/>
      <w:bookmarkEnd w:id="1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Прийняті скорочення та абревіатури</w:t>
      </w:r>
    </w:p>
    <w:p w:rsidR="007326EB" w:rsidRDefault="007326EB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eastAsia="Times New Roman" w:hAnsi="Times New Roman" w:cs="Times New Roman"/>
          <w:sz w:val="28"/>
          <w:szCs w:val="28"/>
        </w:rPr>
        <w:t>тіамін</w:t>
      </w: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ГГТ — γ-глутамілтрансфераза</w:t>
      </w: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ГЗП — гіпоксія замкненого простору</w:t>
      </w: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ГП — глутатіонпероксидаза</w:t>
      </w: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ГР — глутатіонредуктаза</w:t>
      </w:r>
    </w:p>
    <w:p w:rsidR="007326EB" w:rsidRDefault="00C9519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ТМФ — тіамінмонофосфат</w:t>
      </w:r>
    </w:p>
    <w:p w:rsidR="007326EB" w:rsidRDefault="00C9519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ТПФ (ТДФ) — тіамінпірофосфат (тіаміндифосфат)</w:t>
      </w:r>
    </w:p>
    <w:p w:rsidR="007326EB" w:rsidRDefault="00C9519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ТТФ — тіамінтрифосфат</w:t>
      </w: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ТХ — тіохром</w:t>
      </w: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GSH — відновлений глутатіон</w:t>
      </w: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GSSG — дисульфід глутатіону, окиснений глутатіон</w:t>
      </w:r>
    </w:p>
    <w:p w:rsidR="007326EB" w:rsidRDefault="007326EB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</w:p>
    <w:p w:rsidR="007326EB" w:rsidRDefault="00C95192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ВСТУ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П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Вітаміни групи В мають широкий спектр біохімічної дії, оскільки їхні коферментні форми беруть участь у більшості метаболічних і енергогенеруючих процесах в організмі [Марушко та ін., 2015].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Але, на </w:t>
      </w:r>
      <w:r>
        <w:rPr>
          <w:rFonts w:ascii="Times New Roman" w:eastAsia="Times New Roman" w:hAnsi="Times New Roman" w:cs="Times New Roman"/>
          <w:sz w:val="28"/>
          <w:szCs w:val="28"/>
        </w:rPr>
        <w:t>жаль, вивчення метаболізму вітамінів та їх функцій в організмі донедавна проводили лише однобічно,  оскільки більшість досліджень були присвячені вивченню лише механізмів їх перетворення в коферменти та ролі цих коферментів у здійсненні певних ферментативн</w:t>
      </w:r>
      <w:r>
        <w:rPr>
          <w:rFonts w:ascii="Times New Roman" w:eastAsia="Times New Roman" w:hAnsi="Times New Roman" w:cs="Times New Roman"/>
          <w:sz w:val="28"/>
          <w:szCs w:val="28"/>
        </w:rPr>
        <w:t>их реакцій. Вивченню саме катаболізму вітамінів і біохімічних функцій катаболітів були присвячені лише деякі роботи [Петров та ін., 1988, 1992а, 1992б, 2006, 2016, 2021; Якименко та ін., 2016а, 2016б]. Функції тіаміну вивчали лише в контексті його перетвор</w:t>
      </w:r>
      <w:r>
        <w:rPr>
          <w:rFonts w:ascii="Times New Roman" w:eastAsia="Times New Roman" w:hAnsi="Times New Roman" w:cs="Times New Roman"/>
          <w:sz w:val="28"/>
          <w:szCs w:val="28"/>
        </w:rPr>
        <w:t>ення в тіамінфосфати та участі у функціонуванні відповідних тіамінпірофосфат-залежних ферментів [Петров, 2006].</w:t>
      </w:r>
    </w:p>
    <w:p w:rsidR="007326EB" w:rsidRDefault="00C95192">
      <w:pPr>
        <w:spacing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На кафедрі молекулярної біології, біохімії та генетики Одеського національного університету імені І. І. Мечникова в останні роки вивчалася біохі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мічна роль основних катаболітів тіаміну, а саме тіохрому, тіамінпірофосфату та 4-метил-5β-оксиетилтіазолу </w:t>
      </w:r>
      <w:r>
        <w:rPr>
          <w:rFonts w:ascii="Times New Roman" w:eastAsia="Times New Roman" w:hAnsi="Times New Roman" w:cs="Times New Roman"/>
          <w:sz w:val="28"/>
          <w:szCs w:val="28"/>
        </w:rPr>
        <w:t>[Петров та ін., 2016, 2021; Чернадчук та ін., 2015]. Встановлено, що деякі продукти катаболізму тіаміну, що утворюються в організмі, можуть виявляти в</w:t>
      </w:r>
      <w:r>
        <w:rPr>
          <w:rFonts w:ascii="Times New Roman" w:eastAsia="Times New Roman" w:hAnsi="Times New Roman" w:cs="Times New Roman"/>
          <w:sz w:val="28"/>
          <w:szCs w:val="28"/>
        </w:rPr>
        <w:t>ласні ефекти, що не пов'язані з коферментними функціями. Показано вплив катаболітів тіаміну на різні процеси в організмі in vitro [Петров, 2006].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Глутатіонова система бере активну участь у формуванні адаптаційних реакцій під час дії екстремальних факторів,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зокрема, гіпоксії замкненого простору [Гончар та ін., 2007]. Різноманітні і дуже важливі функції глутатіону пов'язані саме з наявністю SH-груп в його молекулі. Окислюючись по ній, він бере участь у багатьох важливих процесах в організмі [Поступаленко та і</w:t>
      </w:r>
      <w:r>
        <w:rPr>
          <w:rFonts w:ascii="Times New Roman" w:eastAsia="Times New Roman" w:hAnsi="Times New Roman" w:cs="Times New Roman"/>
          <w:sz w:val="28"/>
          <w:szCs w:val="28"/>
        </w:rPr>
        <w:t>н., 2019].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7326EB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9" w:h="16834"/>
          <w:pgMar w:top="1133" w:right="850" w:bottom="1133" w:left="1700" w:header="720" w:footer="720" w:gutter="0"/>
          <w:pgNumType w:start="1"/>
          <w:cols w:space="720"/>
        </w:sect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Враховуючи поліпротекторні властивості глутатіону, актуальним є дослідження його ролі та функціонального значення в походженні та виникненні гіпоксичних станів і, особливо, гіпоксії [Чернадчук та ін., 2015]. 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Однак, питання щодо участі глутатіону під час г</w:t>
      </w:r>
      <w:r>
        <w:rPr>
          <w:rFonts w:ascii="Times New Roman" w:eastAsia="Times New Roman" w:hAnsi="Times New Roman" w:cs="Times New Roman"/>
          <w:sz w:val="28"/>
          <w:szCs w:val="28"/>
        </w:rPr>
        <w:t>іпоксії замкненого простору за дії тіаміну, його метаболітів та тіамінового вітаболому, вивчені недостатньо. Поширення гіпоксичних станів та їхня участь у патогенезі багатьох захворювань обумовлює актуальність проблеми [Гончар та ін., 2007].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Тому метою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дип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ломної роботи було визначення впливу тіаміну, його похідних та тіамінового вітаболому на вміст відновленого глутатіону в органах щурів із гіпоксією замкненого простору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 vivo.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досягнення поставленої мети вирішувалися наступні завдання:</w:t>
      </w:r>
    </w:p>
    <w:p w:rsidR="007326EB" w:rsidRDefault="00C95192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Визначити вміст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відновленого глутатіону в органах щурів із гіпоксією замкненого простору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 vivo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326EB" w:rsidRDefault="00C95192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Визначити вміст відновленого глутатіону в органах щурів при введенні тіаміну, тіамінпірофосфату та тіохрому із гіпоксією замкненого простору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 vivo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326EB" w:rsidRDefault="00C95192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Визначити вміст відновленого глутатіону в органах щурів при введенні тіамінового вітаболому із гіпоксією замкненого простору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 vivo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326EB" w:rsidRDefault="00C95192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Визначити дію тіаміну, його похідних та тіамінового вітаболому на активність глутатіонредуктази, глутатіонпероксидази та 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амма- глутамілтрансферази в органах щурів при гіпоксії замкненого простору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 vivo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Об’єкт дослідження: дія тіаміну та його похідних на вміст відновленого глутатіону та активність глутатіон-залежних ферментів.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Предмет дослідження: </w:t>
      </w:r>
      <w:r>
        <w:rPr>
          <w:rFonts w:ascii="Times New Roman" w:eastAsia="Times New Roman" w:hAnsi="Times New Roman" w:cs="Times New Roman"/>
          <w:sz w:val="28"/>
          <w:szCs w:val="28"/>
        </w:rPr>
        <w:t>вміст відновленого глутатіону та активність глутатіон-залежних ферментів в органах щурів при дії гіпоксії замкненого простору.</w:t>
      </w:r>
    </w:p>
    <w:p w:rsidR="007326EB" w:rsidRDefault="007326EB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326EB" w:rsidRDefault="00C95192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</w:p>
    <w:p w:rsidR="007326EB" w:rsidRDefault="00C95192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2" w:name="_heading=h.6sy79zyn6cc7" w:colFirst="0" w:colLast="0"/>
      <w:bookmarkStart w:id="3" w:name="_GoBack"/>
      <w:bookmarkEnd w:id="2"/>
      <w:bookmarkEnd w:id="3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УЗАГАЛЬНЕННЯ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Вітаміни групи В належать до неспецифічних активаторів ферментних і коферментних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систем. Тіамін є сильним активатором біологічних процесів [Чернадчук та ін., 2015]. 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Довгий час коферментну функцію вважали основною біохімічною функцією тіаміну. Вважалося, що більшість катаболітів вітамінів є інертними і не виявляють біохімічної та фарма</w:t>
      </w:r>
      <w:r>
        <w:rPr>
          <w:rFonts w:ascii="Times New Roman" w:eastAsia="Times New Roman" w:hAnsi="Times New Roman" w:cs="Times New Roman"/>
          <w:sz w:val="28"/>
          <w:szCs w:val="28"/>
        </w:rPr>
        <w:t>кологічної активності. Проте поступово накопичується інформація про наявність у живих об’єктах крім ТПФ і вільного тіаміну інших похідних вітамінів, що свідчить про те, що функції тіаміну не обмежуються його участю в якості коферменту [Пархоменко та ін., 2</w:t>
      </w:r>
      <w:r>
        <w:rPr>
          <w:rFonts w:ascii="Times New Roman" w:eastAsia="Times New Roman" w:hAnsi="Times New Roman" w:cs="Times New Roman"/>
          <w:sz w:val="28"/>
          <w:szCs w:val="28"/>
        </w:rPr>
        <w:t>012; Петров, 2006, 2016].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Тіамін та його похідні можуть проявляти виражені антиоксидантні властивості. Сам тіамін здатен нейтралізувати супероксидні радикали, перетворюючись при цьому на дисульфід тіаміну, а 4-метил-5-β-оксиетилтіазол — на 4-метил-5-β-окси</w:t>
      </w:r>
      <w:r>
        <w:rPr>
          <w:rFonts w:ascii="Times New Roman" w:eastAsia="Times New Roman" w:hAnsi="Times New Roman" w:cs="Times New Roman"/>
          <w:sz w:val="28"/>
          <w:szCs w:val="28"/>
        </w:rPr>
        <w:t>етилтіазолдисульфід [Петров та ін., 2021]. Тіохром захищає клітинні структури від шкідливої дії пероксиду, пероксинітриту та діоксиду азоту [Пархоменко та ін., 2012]. Була зареєстрована дія тіаміну та його метаболітів на рівень відновленого глутатіону в ор</w:t>
      </w:r>
      <w:r>
        <w:rPr>
          <w:rFonts w:ascii="Times New Roman" w:eastAsia="Times New Roman" w:hAnsi="Times New Roman" w:cs="Times New Roman"/>
          <w:sz w:val="28"/>
          <w:szCs w:val="28"/>
        </w:rPr>
        <w:t>ганах щурів [Петров, 2016].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Існує чотири лінії антиоксидантного захисту організму, які здатні послідовно відновлювати  активні форми кисню, продукти перекисного окислення жирів і білків. При цьому глутатіонова система, яка складається з глутатіону та глута</w:t>
      </w:r>
      <w:r>
        <w:rPr>
          <w:rFonts w:ascii="Times New Roman" w:eastAsia="Times New Roman" w:hAnsi="Times New Roman" w:cs="Times New Roman"/>
          <w:sz w:val="28"/>
          <w:szCs w:val="28"/>
        </w:rPr>
        <w:t>тіон-залежних ензимів беруть участь у трьох лініях захисту з чотирьох. Ця система працює тільки тоді, коли всі її компоненти працюють узгоджено. Саме тому предметом активного вивчення є система глутатіону, а також її роль в організмі в нормі і при патологі</w:t>
      </w:r>
      <w:r>
        <w:rPr>
          <w:rFonts w:ascii="Times New Roman" w:eastAsia="Times New Roman" w:hAnsi="Times New Roman" w:cs="Times New Roman"/>
          <w:sz w:val="28"/>
          <w:szCs w:val="28"/>
        </w:rPr>
        <w:t>ях [Бабак, 2015].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Глутатіон — центральний компонент глутатіонової антиоксидантної системи [Лавришин та ін., 2016]. Різноманітність і важливість його функцій пов'язана з наявністю SH-групи по якій від здатен окислюватись [Поступаленко та ін., 2019].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Глутаті</w:t>
      </w:r>
      <w:r>
        <w:rPr>
          <w:rFonts w:ascii="Times New Roman" w:eastAsia="Times New Roman" w:hAnsi="Times New Roman" w:cs="Times New Roman"/>
          <w:sz w:val="28"/>
          <w:szCs w:val="28"/>
        </w:rPr>
        <w:t>онредуктаза відновлює дисульфідний зв'язок окисленого глутатіону (GSSG) до його сульфгідрильної форми GSН. Відновлення глутатіону відбувається за рахунок енергії НАДФ-Н, що утворюється у пентозному циклі. Є одним з основних ферментів тіол-дисульфідної сист</w:t>
      </w:r>
      <w:r>
        <w:rPr>
          <w:rFonts w:ascii="Times New Roman" w:eastAsia="Times New Roman" w:hAnsi="Times New Roman" w:cs="Times New Roman"/>
          <w:sz w:val="28"/>
          <w:szCs w:val="28"/>
        </w:rPr>
        <w:t>еми [Чекман та ін., 2016].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Глутатіонпероксидаза є одним з основних ферментів антиоксидантної системи організму, що каталізує відновлення пероксиду водню та інших органічних гідропероксидів до води та спиртів, одночасно окислюючи відновлений глутатіон [Іскр</w:t>
      </w:r>
      <w:r>
        <w:rPr>
          <w:rFonts w:ascii="Times New Roman" w:eastAsia="Times New Roman" w:hAnsi="Times New Roman" w:cs="Times New Roman"/>
          <w:sz w:val="28"/>
          <w:szCs w:val="28"/>
        </w:rPr>
        <w:t>а та ін., 2011].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Гамма-глутамілтрансфераза — фермент, що бере участь в обміні амінокислот, каталізує перенесення гамма-глутамілового залишку глутатіону. Цей фермент є маркером оксидативного стресу та має вирішальне значення у процесі клітинної детоксикації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[Бабій, 2010].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4" w:name="_heading=h.hyztynj0z844" w:colFirst="0" w:colLast="0"/>
      <w:bookmarkEnd w:id="4"/>
      <w:r>
        <w:rPr>
          <w:rFonts w:ascii="Times New Roman" w:eastAsia="Times New Roman" w:hAnsi="Times New Roman" w:cs="Times New Roman"/>
          <w:sz w:val="28"/>
          <w:szCs w:val="28"/>
        </w:rPr>
        <w:t>Гіпоксія призводить до зниження активності глутатіон-залежних ферментів — ГР та ГП [Гончар та ін., 2014]. Вона здатна порушувати в тканинах обмін вітамінів групи В та їх коферментних форм [Будняк та ін., 2015].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" w:name="_heading=h.z2oki6qpnmli" w:colFirst="0" w:colLast="0"/>
      <w:bookmarkEnd w:id="5"/>
      <w:r>
        <w:rPr>
          <w:rFonts w:ascii="Times New Roman" w:eastAsia="Times New Roman" w:hAnsi="Times New Roman" w:cs="Times New Roman"/>
          <w:sz w:val="28"/>
          <w:szCs w:val="28"/>
        </w:rPr>
        <w:t>Стан глутатіонової системи ан</w:t>
      </w:r>
      <w:r>
        <w:rPr>
          <w:rFonts w:ascii="Times New Roman" w:eastAsia="Times New Roman" w:hAnsi="Times New Roman" w:cs="Times New Roman"/>
          <w:sz w:val="28"/>
          <w:szCs w:val="28"/>
        </w:rPr>
        <w:t>тиоксидантного захисту організму залежить від багатьох факторів, в тому числі і вітамінів. Тому були всі підстави для проведення вивчення вмісту глутатіону та активності глутатіон-залежних ензимів в органах щурів за дією тіаміну та його метаболітів при гіп</w:t>
      </w:r>
      <w:r>
        <w:rPr>
          <w:rFonts w:ascii="Times New Roman" w:eastAsia="Times New Roman" w:hAnsi="Times New Roman" w:cs="Times New Roman"/>
          <w:sz w:val="28"/>
          <w:szCs w:val="28"/>
        </w:rPr>
        <w:t>оксії замкненого простору [Кобзар та ін., 2019].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Вивчення змін глутатіонової системи є важливим для пошуку нових фармакологічних засобів, що здатні коригувати стан окисного стресу [Боброва та ін., 2014].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6" w:name="_heading=h.p3xbvbpvat4e" w:colFirst="0" w:colLast="0"/>
      <w:bookmarkEnd w:id="6"/>
      <w:r>
        <w:rPr>
          <w:rFonts w:ascii="Times New Roman" w:eastAsia="Times New Roman" w:hAnsi="Times New Roman" w:cs="Times New Roman"/>
          <w:sz w:val="28"/>
          <w:szCs w:val="28"/>
        </w:rPr>
        <w:t>В даній роботі визначали рівень відновленого глутаті</w:t>
      </w:r>
      <w:r>
        <w:rPr>
          <w:rFonts w:ascii="Times New Roman" w:eastAsia="Times New Roman" w:hAnsi="Times New Roman" w:cs="Times New Roman"/>
          <w:sz w:val="28"/>
          <w:szCs w:val="28"/>
        </w:rPr>
        <w:t>ону в печінці, нирках, мозку та серці щурів за дії впливу тіаміну, його метаболітів та тіамінового вітаболому із гіпоксією замкненого простору.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7" w:name="_heading=h.uadznfnuvkug" w:colFirst="0" w:colLast="0"/>
      <w:bookmarkEnd w:id="7"/>
      <w:r>
        <w:rPr>
          <w:rFonts w:ascii="Times New Roman" w:eastAsia="Times New Roman" w:hAnsi="Times New Roman" w:cs="Times New Roman"/>
          <w:sz w:val="28"/>
          <w:szCs w:val="28"/>
        </w:rPr>
        <w:t>Вміст GSH в органах щурів знизився у всіх дослідних груп. При ГЗП рівень глутатіону знижується в печінці на 65 %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в нирках на 54 %, в мозку на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32 %. Тіамін знижує рівень GSH в печінці на 67 %, в нирках на 50 %, в мозку на 26 %. Ін'єкції ТПФ знижують вміст відновленого глутатіону в печінці на 59 %, в нирках на 45 %, в мозку на 23 %. За дії тіохрому показник відновлен</w:t>
      </w:r>
      <w:r>
        <w:rPr>
          <w:rFonts w:ascii="Times New Roman" w:eastAsia="Times New Roman" w:hAnsi="Times New Roman" w:cs="Times New Roman"/>
          <w:sz w:val="28"/>
          <w:szCs w:val="28"/>
        </w:rPr>
        <w:t>ого глутатіону знижується найменше, на 24 %, 40 %, 20 % в печінці, нирках та мозку відповідно. Вітаболом знижував вміст GSH в печінці на 67 %, в нирках на 48 %, в мозку на 26 % та в серці на 7 %.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8" w:name="_heading=h.f6ifda3ixf93" w:colFirst="0" w:colLast="0"/>
      <w:bookmarkEnd w:id="8"/>
      <w:r>
        <w:rPr>
          <w:rFonts w:ascii="Times New Roman" w:eastAsia="Times New Roman" w:hAnsi="Times New Roman" w:cs="Times New Roman"/>
          <w:sz w:val="28"/>
          <w:szCs w:val="28"/>
        </w:rPr>
        <w:t xml:space="preserve">Для пояснення коливання вмісту GSH в органах щурів в умовах </w:t>
      </w:r>
      <w:r>
        <w:rPr>
          <w:rFonts w:ascii="Times New Roman" w:eastAsia="Times New Roman" w:hAnsi="Times New Roman" w:cs="Times New Roman"/>
          <w:sz w:val="28"/>
          <w:szCs w:val="28"/>
        </w:rPr>
        <w:t>досліду, було прийнято рішення дослідити активність основних ферментів окисно-відновного циклу глутатіону — глутатіонпероксидази, глутатіонредуктази та гамма-глутамілтрансферази.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9" w:name="_heading=h.of2q1d2unkxe" w:colFirst="0" w:colLast="0"/>
      <w:bookmarkEnd w:id="9"/>
      <w:r>
        <w:rPr>
          <w:rFonts w:ascii="Times New Roman" w:eastAsia="Times New Roman" w:hAnsi="Times New Roman" w:cs="Times New Roman"/>
          <w:sz w:val="28"/>
          <w:szCs w:val="28"/>
        </w:rPr>
        <w:t xml:space="preserve">Активність глутатіонредуктази в органах щурів знизилась у всіх досліджуваних </w:t>
      </w:r>
      <w:r>
        <w:rPr>
          <w:rFonts w:ascii="Times New Roman" w:eastAsia="Times New Roman" w:hAnsi="Times New Roman" w:cs="Times New Roman"/>
          <w:sz w:val="28"/>
          <w:szCs w:val="28"/>
        </w:rPr>
        <w:t>групах. Найбільше знизилась активність за дії тіохрому, а найменше при введенні тіамінпірофосфату.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0" w:name="_heading=h.bhneg5fohfve" w:colFirst="0" w:colLast="0"/>
      <w:bookmarkEnd w:id="10"/>
      <w:r>
        <w:rPr>
          <w:rFonts w:ascii="Times New Roman" w:eastAsia="Times New Roman" w:hAnsi="Times New Roman" w:cs="Times New Roman"/>
          <w:sz w:val="28"/>
          <w:szCs w:val="28"/>
        </w:rPr>
        <w:t>Активність глутатіонпероксидази в органах щурів знизилась у всіх досліджуваних групах. Тіамін та його похідні по-різному вплинули на показник активності ферм</w:t>
      </w:r>
      <w:r>
        <w:rPr>
          <w:rFonts w:ascii="Times New Roman" w:eastAsia="Times New Roman" w:hAnsi="Times New Roman" w:cs="Times New Roman"/>
          <w:sz w:val="28"/>
          <w:szCs w:val="28"/>
        </w:rPr>
        <w:t>енту, що свідчить про органоспецифічність дії.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1" w:name="_heading=h.x4zngu9wugxh" w:colFirst="0" w:colLast="0"/>
      <w:bookmarkEnd w:id="11"/>
      <w:r>
        <w:rPr>
          <w:rFonts w:ascii="Times New Roman" w:eastAsia="Times New Roman" w:hAnsi="Times New Roman" w:cs="Times New Roman"/>
          <w:sz w:val="28"/>
          <w:szCs w:val="28"/>
        </w:rPr>
        <w:t xml:space="preserve">Активність гамма-глутамілтрансферази підвищилась у всіх досліджуваних групах, в печінці більше ніж в 2 рази, а в нирках в 1,25-1,5 рази. Найбільший показник активності ферменту спостерігається за дії тіохрому </w:t>
      </w:r>
      <w:r>
        <w:rPr>
          <w:rFonts w:ascii="Times New Roman" w:eastAsia="Times New Roman" w:hAnsi="Times New Roman" w:cs="Times New Roman"/>
          <w:sz w:val="28"/>
          <w:szCs w:val="28"/>
        </w:rPr>
        <w:t>та Вітаболому у нирках в умовах гіпоксії, що свідчить про незначний, проте, негативний вплив цих препаратів на цей фермент.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2" w:name="_heading=h.uk5w4oa98sxz" w:colFirst="0" w:colLast="0"/>
      <w:bookmarkEnd w:id="12"/>
      <w:r>
        <w:rPr>
          <w:rFonts w:ascii="Times New Roman" w:eastAsia="Times New Roman" w:hAnsi="Times New Roman" w:cs="Times New Roman"/>
          <w:sz w:val="28"/>
          <w:szCs w:val="28"/>
        </w:rPr>
        <w:t>Зниження активності глутатіонредуктази зумовлене тим, що при розвитку оксидативного стресу знижується вміст NADPH. Зниження активнос</w:t>
      </w:r>
      <w:r>
        <w:rPr>
          <w:rFonts w:ascii="Times New Roman" w:eastAsia="Times New Roman" w:hAnsi="Times New Roman" w:cs="Times New Roman"/>
          <w:sz w:val="28"/>
          <w:szCs w:val="28"/>
        </w:rPr>
        <w:t>ті ГР призводить до зниження вмісту відновленого глутатіону в органах щурів. Це, в свою чергу, впливає і на активність глутатіонпероксидази, адже рівень активності ГП залежить від активності ГР [Онуфрович та ін., 2016]. Підвищення активності гамма-глутаміл</w:t>
      </w:r>
      <w:r>
        <w:rPr>
          <w:rFonts w:ascii="Times New Roman" w:eastAsia="Times New Roman" w:hAnsi="Times New Roman" w:cs="Times New Roman"/>
          <w:sz w:val="28"/>
          <w:szCs w:val="28"/>
        </w:rPr>
        <w:t>трансферази пов’язано з тим, що фермент бере участь в процесі деградації глутатіону, він розщеплює його під час виконання своїх транспортних функцій [Бабій та ін., 2015].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3" w:name="_heading=h.wnsxtpehp84c" w:colFirst="0" w:colLast="0"/>
      <w:bookmarkEnd w:id="13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Аналізуючи отримані результати, можна припустити, що існує органоспецифічність дії ві</w:t>
      </w:r>
      <w:r>
        <w:rPr>
          <w:rFonts w:ascii="Times New Roman" w:eastAsia="Times New Roman" w:hAnsi="Times New Roman" w:cs="Times New Roman"/>
          <w:sz w:val="28"/>
          <w:szCs w:val="28"/>
        </w:rPr>
        <w:t>тамінів на вміст глутатіону та активність глутатіон-залежних ензимів.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Значне зниження активності глутатіонпероксидази та глутатіонредуктази безпосередньо пов’язане зі збільшенням рівня продуктів перекисного окиснення ліпідів та погіршенням стану окисно-від</w:t>
      </w:r>
      <w:r>
        <w:rPr>
          <w:rFonts w:ascii="Times New Roman" w:eastAsia="Times New Roman" w:hAnsi="Times New Roman" w:cs="Times New Roman"/>
          <w:sz w:val="28"/>
          <w:szCs w:val="28"/>
        </w:rPr>
        <w:t>новного балансу в досліджуваних групах. Ці зміни свідчать про те, що за умов гіпоксії в органах щурів вичерпуються компенсаторні механізми антиоксидантної системи глутатіону, про це свідчить пригнічення активності ГР та ГП [Онуфрович та ін., 2016].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Показан</w:t>
      </w:r>
      <w:r>
        <w:rPr>
          <w:rFonts w:ascii="Times New Roman" w:eastAsia="Times New Roman" w:hAnsi="Times New Roman" w:cs="Times New Roman"/>
          <w:sz w:val="28"/>
          <w:szCs w:val="28"/>
        </w:rPr>
        <w:t>о, що існує різниця після введення коферментних і некоферментних форм вітаміну В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. Зокрема, між тіаміном, який може перетворюватися на коензим ТПФ, і кінцевим метаболітом — тіохромом. Водночас було встановлено, що тіохром може виконувати специфічні регулят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орні функції [Якименко та ін., 2016].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Встановлено, що похідні тіаміну виконують некоферментні функції, впливають на активність багатьох ферментів. Крім того,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швидкість утворення катаболітів тіаміну багато в чому залежить від стану тканини, від наявності в ній патологічних змін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[Петров, 1992б].</w:t>
      </w:r>
    </w:p>
    <w:p w:rsidR="007326EB" w:rsidRDefault="00C951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Отримані результати досліджень свідчать про наявність у катаболітів тіаміну широкого спектру біохімічних функцій [Петр</w:t>
      </w:r>
      <w:r>
        <w:rPr>
          <w:rFonts w:ascii="Times New Roman" w:eastAsia="Times New Roman" w:hAnsi="Times New Roman" w:cs="Times New Roman"/>
          <w:sz w:val="28"/>
          <w:szCs w:val="28"/>
        </w:rPr>
        <w:t>ов, 2016]. Тому, в подальшому планується вивчення дії тіамінового вітаболому в умовах інших патологічних станів (діабет, індукований цироз печінки) та у тварин різного віку.</w:t>
      </w:r>
    </w:p>
    <w:p w:rsidR="007326EB" w:rsidRDefault="00C95192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</w:p>
    <w:p w:rsidR="007326EB" w:rsidRDefault="00C95192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ВИСНОВКИ</w:t>
      </w:r>
    </w:p>
    <w:p w:rsidR="007326EB" w:rsidRDefault="00C95192">
      <w:pPr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4" w:name="_heading=h.x7wbt2bqatsk" w:colFirst="0" w:colLast="0"/>
      <w:bookmarkEnd w:id="14"/>
      <w:r>
        <w:rPr>
          <w:rFonts w:ascii="Times New Roman" w:eastAsia="Times New Roman" w:hAnsi="Times New Roman" w:cs="Times New Roman"/>
          <w:sz w:val="28"/>
          <w:szCs w:val="28"/>
        </w:rPr>
        <w:t>Гіпоксія замкненого простору викликала зменшення вмісту відновленого глутатіону в печінці на 65 %, в нирках на 54 %, в мозку на 32 %, у порівнянні з показниками контрольних тварин, що пояснюється зменшенням активності глутатіонредуктази та глутатіонперокси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дази на, відповідно, 25-60 % та 15-55 % та підвищенням активності гамма- глутамілтрансферази на 40-100 % в цих органах у гіпоксичних тварин. </w:t>
      </w:r>
    </w:p>
    <w:p w:rsidR="007326EB" w:rsidRDefault="00C95192">
      <w:pPr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5" w:name="_heading=h.g8p51qnsobyu" w:colFirst="0" w:colLast="0"/>
      <w:bookmarkEnd w:id="15"/>
      <w:r>
        <w:rPr>
          <w:rFonts w:ascii="Times New Roman" w:eastAsia="Times New Roman" w:hAnsi="Times New Roman" w:cs="Times New Roman"/>
          <w:sz w:val="28"/>
          <w:szCs w:val="28"/>
        </w:rPr>
        <w:t>Внутрішньоочеревинне введення тіамінпірофосфату підвищувало вміст відновленого глутатіону у печінці на 34 %, актив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ність глутатіонредуктази у нирках та печінці, відповідно на 18 % та 20 % у порівнянні з показниками тварин з гіпоксією замкненого простору (група 2). </w:t>
      </w:r>
    </w:p>
    <w:p w:rsidR="007326EB" w:rsidRDefault="00C95192">
      <w:pPr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Внутрішньоочеревинне введення тіохрому підвищувало вміст відновленого глутатіону у 1,2-2,2 разів у всіх д</w:t>
      </w:r>
      <w:r>
        <w:rPr>
          <w:rFonts w:ascii="Times New Roman" w:eastAsia="Times New Roman" w:hAnsi="Times New Roman" w:cs="Times New Roman"/>
          <w:sz w:val="28"/>
          <w:szCs w:val="28"/>
        </w:rPr>
        <w:t>осліджених органах, крім серця, і пригнічувало активність глутатіонредуктази у печінці та нирках, відповідно на 14-25 % відносно показників гіпоксичних тварин (група 2).</w:t>
      </w:r>
    </w:p>
    <w:p w:rsidR="007326EB" w:rsidRDefault="00C95192">
      <w:pPr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Внутрішньоочеревинне введення Вітаболому не впливало суттєво на вміст глутатіону та ак</w:t>
      </w:r>
      <w:r>
        <w:rPr>
          <w:rFonts w:ascii="Times New Roman" w:eastAsia="Times New Roman" w:hAnsi="Times New Roman" w:cs="Times New Roman"/>
          <w:sz w:val="28"/>
          <w:szCs w:val="28"/>
        </w:rPr>
        <w:t>тивність залежних від нього ферментів в органах щурів із гіпоксією замкненого простору.</w:t>
      </w:r>
    </w:p>
    <w:p w:rsidR="007326EB" w:rsidRDefault="00C95192">
      <w:pPr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6" w:name="_heading=h.oqf9up4v82n0" w:colFirst="0" w:colLast="0"/>
      <w:bookmarkEnd w:id="16"/>
      <w:r>
        <w:rPr>
          <w:rFonts w:ascii="Times New Roman" w:eastAsia="Times New Roman" w:hAnsi="Times New Roman" w:cs="Times New Roman"/>
          <w:sz w:val="28"/>
          <w:szCs w:val="28"/>
        </w:rPr>
        <w:t>Коефіцієнти кореляції між накопиченням відновленого глутатіону та активністю ферментів були позитивні з глутатіонредуктазою (в діапазоні 0,7-0,9) і глутатіонпероксидазо</w:t>
      </w:r>
      <w:r>
        <w:rPr>
          <w:rFonts w:ascii="Times New Roman" w:eastAsia="Times New Roman" w:hAnsi="Times New Roman" w:cs="Times New Roman"/>
          <w:sz w:val="28"/>
          <w:szCs w:val="28"/>
        </w:rPr>
        <w:t>ю (в діапазоні 0,82-0,98), та негативні з гамма-глутамілтрансферазою (на рівні 0,8).</w:t>
      </w:r>
    </w:p>
    <w:p w:rsidR="007326EB" w:rsidRDefault="007326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</w:rPr>
      </w:pPr>
    </w:p>
    <w:p w:rsidR="007326EB" w:rsidRDefault="00C95192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7" w:name="_heading=h.ufxastnzcvms" w:colFirst="0" w:colLast="0"/>
      <w:bookmarkEnd w:id="17"/>
      <w:r>
        <w:br w:type="page"/>
      </w:r>
    </w:p>
    <w:p w:rsidR="007326EB" w:rsidRDefault="00C95192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18" w:name="_heading=h.32q5v0o6a90j" w:colFirst="0" w:colLast="0"/>
      <w:bookmarkEnd w:id="18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ЛІТЕРАТУРИ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Александрова Е. В. Биохимические основы витаминологии / Е. В. Александрова, А. С. Шкода, Д. Н. Юрченко,  С. В. Левич. –  Запорожье, 2015. –  С. 14-16.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Антоняк Г. Л. Утворення активних форм кисню та система антиоксидантного захисту в організмі тварин / Г. Л. Антоняк, Н. О. Бабич, Л. І. Сологуб, В. В. Снітинський // Біологія тварин. – 2000. – Т. 2,  № 2. – С. 34-42.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Бабак О. Я. Глутатион в норме и при пат</w:t>
      </w:r>
      <w:r>
        <w:rPr>
          <w:rFonts w:ascii="Times New Roman" w:eastAsia="Times New Roman" w:hAnsi="Times New Roman" w:cs="Times New Roman"/>
          <w:sz w:val="28"/>
          <w:szCs w:val="28"/>
        </w:rPr>
        <w:t>ологии: биологическая роль и возможности клинического применения / О. Я. Бабак // Здоров’я України. – 2015. – № 1. – 10 с.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Бабій С. О. Y-глутамілтрансфераза в моделі канцерогенезу у щурів / С. О. Бабій, О. О. Дьомшина, Н. І. Штеменко // Вісник ДНУ. Біологі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я. Медицина. – 2010. – Т. 1, вип. 1. – С. 28–33. 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Бєленічев І. Ф. Антиоксидантна система захисту організму / І. Ф. Бєленічев, Є. Л. Левицький, Ю. І. Губський // Совр. пробл. токсикол. – 2002. – № 3. – С. 24–29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Боброва В. І. Стан глутатіон залежної ланки ан</w:t>
      </w:r>
      <w:r>
        <w:rPr>
          <w:rFonts w:ascii="Times New Roman" w:eastAsia="Times New Roman" w:hAnsi="Times New Roman" w:cs="Times New Roman"/>
          <w:sz w:val="28"/>
          <w:szCs w:val="28"/>
        </w:rPr>
        <w:t>тиоксидантної системи у хворих на хронічну ішемію мозку / В. І. Боброва, А. В. Демченко // Український неврологічний журнал. – 2014. – № 3-4. – С. 87.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Брехова А. С. Роль тіаміну в організмі тварин  / А.С. Брехова // матеріали міжнар. наук.-практ. конф. сту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дентів (14 квітня 2021 р., Біла Церква). – Біла Церква : БНАУ, 2021. – С. 24-25. 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Будняк О. К. Регуляція аскорбіновою кислотою активності лактатдегідрогенази в органах щурів при гіпоксії замкненого простору / О. К. Будняк, С. А. Петров, С. С. Чернадчук //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ScienceRise. – 2015. – № 7(1). – С. 7-12.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Гланц С. Медико-биологическая статистика: Пер. с англ. / С. Гланц. – М. : Практика, 1999. – 459 с.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Гончар О. О. Адаптація глутатіонової системи серця щурів до дії гострого стресу під впливом різних режимів гіпоксичних тренувань / О. О. Гончар, І. М. Маньковська // Укр. біохім. журн. – 2007. – Т. 79, № 3. – С. 79-85. 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Гончар О. О. Тіол-дисульфідна сист</w:t>
      </w:r>
      <w:r>
        <w:rPr>
          <w:rFonts w:ascii="Times New Roman" w:eastAsia="Times New Roman" w:hAnsi="Times New Roman" w:cs="Times New Roman"/>
          <w:sz w:val="28"/>
          <w:szCs w:val="28"/>
        </w:rPr>
        <w:t>ема мітохондрій за гострої гіпоксії та гіпоксично-гіпероксичної адаптації / О. О. Гончар, І. М. Маньковська // Укр. біохім. журн. – 2014. – Т. 86, № 1. – С. 93-100.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Горячковский О. М. Определение уровня восстановленного глутатиона в эритроцитах крови / О.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 Горячковский. – Одесса: Астропринт, 1998. – С. 370-372.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Губський Ю. І. Біологічна хімія / Ю. І. Губський. – Київ-Тернопіль: Укрмедкнига, 2000. – С. 401, 256-257.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Завійський Ю. М. Антиоксиданти і антиоксидантна система організму людини / Ю. М. Завійськ</w:t>
      </w:r>
      <w:r>
        <w:rPr>
          <w:rFonts w:ascii="Times New Roman" w:eastAsia="Times New Roman" w:hAnsi="Times New Roman" w:cs="Times New Roman"/>
          <w:sz w:val="28"/>
          <w:szCs w:val="28"/>
        </w:rPr>
        <w:t>ий // Вісник ПНУ. Біологія. – 2005. – № 5. – С. 107-114.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Іскра Р. Я. Активність антиоксидантної системи в організмі кролика за дії сполук хрому / Р. Я. Іскра // Біологічні Студіїї / Studia Biologica. – 2012. – Т. 6, № 1. – С. 77-86.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Іскра Р. Я. Інтенсивн</w:t>
      </w:r>
      <w:r>
        <w:rPr>
          <w:rFonts w:ascii="Times New Roman" w:eastAsia="Times New Roman" w:hAnsi="Times New Roman" w:cs="Times New Roman"/>
          <w:sz w:val="28"/>
          <w:szCs w:val="28"/>
        </w:rPr>
        <w:t>ість пероксидних процесів і активність антиоксидантних ензимів у тканинах щурів за підвищеного рівня хрому в раціоні Р. Я. Іскра, В. Г. Янович // Український біохімічний журнал. – 2011. – Т. 83, № 3. – С. 91-98.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Кобзар О. С. Активність глутатіонзалежних ферментів в тканинах білих щурів за умов введення вітамінних комплексів  / О. С. Кобзар, О. В. Шепотиненко, О. І. Арнаут та ін. // ХХXVІ Міжнародна науково-практична iнтернет-конференція (18 листопада 2019 р., Він</w:t>
      </w:r>
      <w:r>
        <w:rPr>
          <w:rFonts w:ascii="Times New Roman" w:eastAsia="Times New Roman" w:hAnsi="Times New Roman" w:cs="Times New Roman"/>
          <w:sz w:val="28"/>
          <w:szCs w:val="28"/>
        </w:rPr>
        <w:t>ниця) : тези допов. – Вінниця, 2019. – С. 56-59.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Ковтун Ю. А. Гепатопротекторні властивості сироваткових білків / Ю. А. Ковтун, Т. О. Рашевська // Актуальні задачі сучасних технологій: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матеріали наук.-техн. конф. (Тернопіль, 11-12 грудня 2013) / НУХТ. – Т</w:t>
      </w:r>
      <w:r>
        <w:rPr>
          <w:rFonts w:ascii="Times New Roman" w:eastAsia="Times New Roman" w:hAnsi="Times New Roman" w:cs="Times New Roman"/>
          <w:sz w:val="28"/>
          <w:szCs w:val="28"/>
        </w:rPr>
        <w:t>ернопіль, 2013. – С. 257-258.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Кулинский В. И. Система глутатиона II. Другие ферменты, тиолдисульфидный обмен, воспаление и иммунитет, функции / В. И. Кулинский, Л. С. Колесниченко // Биомедицинская химия. – 2009. – ​Т. 55, № 4. – ​С. 365-379.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Лавришин Ю.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Ю. Біологічне значення системи антиоксидантного захисту організму тварин / Ю. Ю. Лавришин, І. С. Вархоляк, Т. В. Мартишук та ін. // Наук. вісник ЛНУ ветер. медицини та біотехн. ім. С. З. Ґжицького. – 2016. – Т. 18. – № 2 (66). – С. 100-111.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Лещенко О. Ю.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Роль глутатіон-залежної системи в адаптації сортів рослин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Lolium perenne L.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вітчизняної селекції / О. Ю. Лещенко // Біологія, біотехнологія, екологія. – 2014. – № 204. – С. 30-36.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Мартишук Т. В. Показники функціонального та антиоксидантного стану печінки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щурів за умов оксидаційного стресу та за дії ліпосомального препарату Бутаселмевіт / Т. В. Мартишук, Б. В. Гутий, О. І. Віщур // Наук. вісник ЛНУ ветер. медицини та біотехн. імені С. З. Ґжицького. – 2018. – № 20. – С. 100-107.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Марушко Ю. В. Роль вітаміні</w:t>
      </w:r>
      <w:r>
        <w:rPr>
          <w:rFonts w:ascii="Times New Roman" w:eastAsia="Times New Roman" w:hAnsi="Times New Roman" w:cs="Times New Roman"/>
          <w:sz w:val="28"/>
          <w:szCs w:val="28"/>
        </w:rPr>
        <w:t>в групи В у складі лікувальних заходів при первинній артеріальній гіпотензії / Ю. В. Марушко, О. В. Хомич, Т. В. Гищак // Ліки України. – 2015. – № 9-10. – С. 15-19.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Меженська О. О. Нові протеїнові мішені дії тіаміну і його похідних в нервовій тканині : 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ис. ... канд. біол. наук : 03.00.04 / О. О. Меженська ; Інст. біохімії ім. О. В. Палладіна. – Київ, 2021. – 230 с.  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Метаболізм вітамінів і мінеральних речовин : навч. посібник / Л. О. Прімова, І. Ю. Висоцький. – Суми : Сумський державний університет, 201</w:t>
      </w:r>
      <w:r>
        <w:rPr>
          <w:rFonts w:ascii="Times New Roman" w:eastAsia="Times New Roman" w:hAnsi="Times New Roman" w:cs="Times New Roman"/>
          <w:sz w:val="28"/>
          <w:szCs w:val="28"/>
        </w:rPr>
        <w:t>4. – 256 с.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Онуфрович О. К. Активність глутатіонзалежних ензимів сперматозоїдів за умов патоспермії / О. К. Онуфрович, Р. В. Фафула, Й. А. Наконечний та ін. // Медична та клінічна хімія. – 2016. – Т. 18, № 4. – С. 5-10.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Особа І. А. Особливості функціонув</w:t>
      </w:r>
      <w:r>
        <w:rPr>
          <w:rFonts w:ascii="Times New Roman" w:eastAsia="Times New Roman" w:hAnsi="Times New Roman" w:cs="Times New Roman"/>
          <w:sz w:val="28"/>
          <w:szCs w:val="28"/>
        </w:rPr>
        <w:t>ання системи антиоксидантного захисту організму / І. А. Особа // Рибогосподарська наука України. – 2009. – № 1. – С. 133-139.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Павлова О. С. Ключові протеїни обміну тіаміну та функціональний стан нервових клітин за різної забезпеченості організму вітаміном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 xml:space="preserve">1 </w:t>
      </w:r>
      <w:r>
        <w:rPr>
          <w:rFonts w:ascii="Times New Roman" w:eastAsia="Times New Roman" w:hAnsi="Times New Roman" w:cs="Times New Roman"/>
          <w:sz w:val="28"/>
          <w:szCs w:val="28"/>
        </w:rPr>
        <w:t>: автореф. дис. ... канд. біол. наук : 03.00.04 “Біохімія” / О. С. Павлова; Інст. біохімії ім. О. В. Палладіна. – Київ, 2019. – 24 с.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Панченко Л. Ф. Повышение активности глутатионпероксидазы и глутатионредуктазы крыс при введении фенобарбитала / Л. Ф.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Панченко, А. М. Герасимов, Я. М. Коон и др. // Фармакол. и токсикол. – 1975. – Т. 28, № 3. – С. 334-337.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Пархоменко Ю. М. Окисленные производные тиамина: образование, свойства, биологическая роль / Ю. М. Пархоменко, И. И Степуро, Г. В Донченко // Українс</w:t>
      </w:r>
      <w:r>
        <w:rPr>
          <w:rFonts w:ascii="Times New Roman" w:eastAsia="Times New Roman" w:hAnsi="Times New Roman" w:cs="Times New Roman"/>
          <w:sz w:val="28"/>
          <w:szCs w:val="28"/>
        </w:rPr>
        <w:t>ький біохімічний журнал. – 2012. – Т. 84, № 6. – С. 5-24.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Петров С. А. Вплив тіаміну та його похідних на виживаність предличинок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Danio rerio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 різних температур / С. А. Петров, О. К. Будняк, Ю. В. Караванський // Гідробіол. журн. – 2021. – Т. 57, № 1. – </w:t>
      </w:r>
      <w:r>
        <w:rPr>
          <w:rFonts w:ascii="Times New Roman" w:eastAsia="Times New Roman" w:hAnsi="Times New Roman" w:cs="Times New Roman"/>
          <w:sz w:val="28"/>
          <w:szCs w:val="28"/>
        </w:rPr>
        <w:t>С. 80-84.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Петров С. А. Вивчення метаболізму тіаміну в органах і тканинах мишей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 vivo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// Фізіол. журн. – 1992а. – Т. 38, № 1. – С. 69-80.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Петров С. А. Вивчення регуляторних властивостей катаболітів тіаміну в організмі / С.А. Петров // Вісник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Львівського університету. Серія біологічна. – 2016. – Вип. 73. – С. 182-185.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Петров С.А. Влияние тиамина и его производных на активность трансаминаз гемолимфы черноморских мидий / С. А. Петров, М. С. Галина, Ю. П. Давыдова // Всесоюзная конференция по мо</w:t>
      </w:r>
      <w:r>
        <w:rPr>
          <w:rFonts w:ascii="Times New Roman" w:eastAsia="Times New Roman" w:hAnsi="Times New Roman" w:cs="Times New Roman"/>
          <w:sz w:val="28"/>
          <w:szCs w:val="28"/>
        </w:rPr>
        <w:t>рской биологии (7-15 окт. 1988 г.) : тезисы докл. – Севастополь, 1988. – С. 58-59.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Петров С. А. Некоферментные эффекты тиамина и его метаболитов / С. А. Петров // Биомедицинская химия. – 2006. – Т. 52, № 4. – С. 335-345.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Петров С. А. Регуляция тиамином 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его метаболитами процессов образования и обмена аминокислот и кетокислот в организме : автореф. дис. ... докт. биол. наук : 03.00.04 “Біохімія” / С. А. Петров; Инст. радиобиологии Академии наук Беларуси. – Минск, 1992б. – 42 с.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Поступаленко А. В. Система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глутатіону – перспективна мішень для підвищення чутливості до хіміотерапевтичних препаратів / А. В. Поступаленко, Ю. І. Зайвелєва,  О. С. Зотов // Практична онкологія. – 2019. – Т. 2, № 2. – С. 16-21.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Роль Н. В. Вплив вітамінно-кормової добавки на вміст відновленого глутатіону та сульфгідрильних груп в органах та тканинах кролів / Н. В. Роль, С. І. Цехмістренко // Вісник аграрної науки Причорномор'я. – 2016. – № 1. – С. 125-131.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Салига Н. О. Активніст</w:t>
      </w:r>
      <w:r>
        <w:rPr>
          <w:rFonts w:ascii="Times New Roman" w:eastAsia="Times New Roman" w:hAnsi="Times New Roman" w:cs="Times New Roman"/>
          <w:sz w:val="28"/>
          <w:szCs w:val="28"/>
        </w:rPr>
        <w:t>ь глутатіонової системи антиоксидантного захисту в щурів за дії L-глутамінової кислоти / Н. О. Салига // Укр. біохім. журн. – 2013. – Т. 85, № 4. – С. 40–47.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Сорока В. Активність ензимів регенерації глутатіону в гепатоцитах щурів за умов нутрітивного дисб</w:t>
      </w:r>
      <w:r>
        <w:rPr>
          <w:rFonts w:ascii="Times New Roman" w:eastAsia="Times New Roman" w:hAnsi="Times New Roman" w:cs="Times New Roman"/>
          <w:sz w:val="28"/>
          <w:szCs w:val="28"/>
        </w:rPr>
        <w:t>алансу / В. Сорока, І. Николайчук // ХVІ Міжнародна наукова конференція (27 – 29 квітня 2020 р., Львів): тези допов. – Львів, 2020. – С. 35-36.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Тимошенко М. Вміст різних форм глутатіону та активність глутатіонредуктази в клітинах слизової оболонки шлунка </w:t>
      </w:r>
      <w:r>
        <w:rPr>
          <w:rFonts w:ascii="Times New Roman" w:eastAsia="Times New Roman" w:hAnsi="Times New Roman" w:cs="Times New Roman"/>
          <w:sz w:val="28"/>
          <w:szCs w:val="28"/>
        </w:rPr>
        <w:t>за умов експериментального гастроканцерогенезу / М. Тимошенко, Л. Гайда, О. Кравченко // Біологія. – 2012. – № 2. – С. 34-36.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Тіхова Є. Стан глутатіонової системи у сироватці крові щурів при експериментальному артозі та при введенні хондроїтина сульфату 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Є. Тіхова, М. Тимошенко, Ю. Ковельська // Проблеми регуляції фізіологічних функцій. – 2017. – № 1. – С. 47-49.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Устянська О. В. Регуляція тіаміном і його похідними активності катепсину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/ О. В. Устянська, І. І. Бокал, О. В. Шварцова, С. А Петров // Біоло</w:t>
      </w:r>
      <w:r>
        <w:rPr>
          <w:rFonts w:ascii="Times New Roman" w:eastAsia="Times New Roman" w:hAnsi="Times New Roman" w:cs="Times New Roman"/>
          <w:sz w:val="28"/>
          <w:szCs w:val="28"/>
        </w:rPr>
        <w:t>гія, хімія. – 2011. – Т. 24 (63), № 2. – С. 291-297.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Федець О. М. Структура та функції глутатіонтрансфераз / О. М. Федець // Ukrainian biochemical journal. – 2014. – Т. 86, № 3. – С. 23-32.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Федорко Н. Л.  Вплив гіпоксії замкненого простору на вміст рибоф</w:t>
      </w:r>
      <w:r>
        <w:rPr>
          <w:rFonts w:ascii="Times New Roman" w:eastAsia="Times New Roman" w:hAnsi="Times New Roman" w:cs="Times New Roman"/>
          <w:sz w:val="28"/>
          <w:szCs w:val="28"/>
        </w:rPr>
        <w:t>лавіну та його коферментів в органах білих щурів / Н. Л. Федорко, Н. Ю. Прокоф'єва, А. Е. Келар, С. А. Петров // ScienceRise. – 2015. – № 8(1). – С. 16-19.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Чекман І. С. Доклінічне вивчення специфічної активності потенційних лікарських засобів первинної 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вторинної нейропротекції: методичні рекомендації / І. С. Чекман, І. Ф. Бєленічев, О. О. Нагорна та ін.  – Київ, 2016. – 92 с.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Чернадчук С. С. Активність амінотрансфераз в органах щурів при гіпоксії замкненого простору за дією тіамінброміду / С. С. Чернадчук, С. А. Петров, О. К. Будняк // ScienceRise. – 2015. – Т. 5, №1 (10). – С. 27-30.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Чорна І. В. Біологічне значення показникі</w:t>
      </w:r>
      <w:r>
        <w:rPr>
          <w:rFonts w:ascii="Times New Roman" w:eastAsia="Times New Roman" w:hAnsi="Times New Roman" w:cs="Times New Roman"/>
          <w:sz w:val="28"/>
          <w:szCs w:val="28"/>
        </w:rPr>
        <w:t>в системи антиоксидантного захисту при оцінці безпечності вживання генетично модифікованих організмів / І. В. Чорна, Г. В. Дроник, М. С. Рогозинський // Молодий вчений. – 2018. – № 10 (2). – С. 461-469.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Якименко В. Є. Вплив тіаміну і його метаболітів на д</w:t>
      </w:r>
      <w:r>
        <w:rPr>
          <w:rFonts w:ascii="Times New Roman" w:eastAsia="Times New Roman" w:hAnsi="Times New Roman" w:cs="Times New Roman"/>
          <w:sz w:val="28"/>
          <w:szCs w:val="28"/>
        </w:rPr>
        <w:t>инаміку зміни кількості лімфоцитів у крові білих щурів / В. Є. Якименко, О. Битлан, С. Петров // Біологія. – 2016а. – № 73. – С. 352-355.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Якименко В. Є. Вплив тіаміну і тіохрому на вміст загальних та субстратних лабільних фосфатів в органах білих щурів / </w:t>
      </w:r>
      <w:r>
        <w:rPr>
          <w:rFonts w:ascii="Times New Roman" w:eastAsia="Times New Roman" w:hAnsi="Times New Roman" w:cs="Times New Roman"/>
          <w:sz w:val="28"/>
          <w:szCs w:val="28"/>
        </w:rPr>
        <w:t>В. Є. Якименко, С. А. Петров // Scientific Journal «ScienceRise» , 2016б. – №8/1 (25). – С. 26-31.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Abdou E. Thiamine deficiency: an update of pathophysiologic mechanisms and future therapeutic considerations / E. Abdou, A. S. Hazell. – Neurochemical resea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rch. – 2015. – </w:t>
      </w:r>
      <w:r>
        <w:rPr>
          <w:rFonts w:ascii="Times New Roman" w:eastAsia="Times New Roman" w:hAnsi="Times New Roman" w:cs="Times New Roman"/>
          <w:sz w:val="32"/>
          <w:szCs w:val="32"/>
        </w:rPr>
        <w:t xml:space="preserve">V. </w:t>
      </w:r>
      <w:r>
        <w:rPr>
          <w:rFonts w:ascii="Times New Roman" w:eastAsia="Times New Roman" w:hAnsi="Times New Roman" w:cs="Times New Roman"/>
          <w:sz w:val="28"/>
          <w:szCs w:val="28"/>
        </w:rPr>
        <w:t>40. – P. 353–361.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Bansal A. Glutathione metabolism in cancer progression and treatment resistance / A. Bansal, M. C. Simon // Journal of Cell Biology. – 2018. – V. 217(7). – P. 2291-2298.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Carlberg I. Methods in enzymology // Glutathione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reductase / I. Carlberg, B. Mannervik. – Academic press, 1985. – V. 113. – P. 484-490.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Castellano I. γ-Glutamyltranspeptidases: sequence, structure, biochemical properties, and biotechnological applications / I. Castellano, A. Merlino // Cellular and Mol</w:t>
      </w:r>
      <w:r>
        <w:rPr>
          <w:rFonts w:ascii="Times New Roman" w:eastAsia="Times New Roman" w:hAnsi="Times New Roman" w:cs="Times New Roman"/>
          <w:sz w:val="28"/>
          <w:szCs w:val="28"/>
        </w:rPr>
        <w:t>ecular Life Sciences. – 2012. – Vol. 69. – №. 20. – P. 3381-3394.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Chotera-Ouda А. Five-membered rings with two heteroatoms, and their fused carbocyclic derivatives / А. Chotera-Ouda, С. V. Stevens // Comprehensive Heterocyclic Chemistry. – 2022. – V. 5.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P. 78-121.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Combs Jr. The vitamins: fundamental aspects in nutrition and health / G. F. Combs, J. P. McClung. – Academic press, 2016. – P. 297-314.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Flohе L. The fairytale of the GSSG/GSH redox potential / L. Flohе // Biochimica et Biophysica Acta (BBA)-G</w:t>
      </w:r>
      <w:r>
        <w:rPr>
          <w:rFonts w:ascii="Times New Roman" w:eastAsia="Times New Roman" w:hAnsi="Times New Roman" w:cs="Times New Roman"/>
          <w:sz w:val="28"/>
          <w:szCs w:val="28"/>
        </w:rPr>
        <w:t>eneral Subjects. – 2013. – V. 1830. – №.5. – P. 3139-3142.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Forman H. J. Glutathione: overview of its protective roles, measurement, and biosynthesis / H. J. Forman, H. Zhang, A. Rinna // Mol Aspects Med. – 2009. – V. 30(1-2). – P. 1-12.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Heisterkamp N. Th</w:t>
      </w:r>
      <w:r>
        <w:rPr>
          <w:rFonts w:ascii="Times New Roman" w:eastAsia="Times New Roman" w:hAnsi="Times New Roman" w:cs="Times New Roman"/>
          <w:sz w:val="28"/>
          <w:szCs w:val="28"/>
        </w:rPr>
        <w:t>e human gamma-glutamyltransferase gene family / N. Heisterkamp et al. // Human genetics. – 2008. – Vol. 123. – №. 4. – P. 321-332.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Kaplowitz N. The importance and regulation of hepatic glutathione / N. Kaplowitz // Yale J Biol Med. – 1981. – V. 54(6). – P</w:t>
      </w:r>
      <w:r>
        <w:rPr>
          <w:rFonts w:ascii="Times New Roman" w:eastAsia="Times New Roman" w:hAnsi="Times New Roman" w:cs="Times New Roman"/>
          <w:sz w:val="28"/>
          <w:szCs w:val="28"/>
        </w:rPr>
        <w:t>. 497-502.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Official Journal of the European Union L276 / 33. Directive 2010/63 / EU of the European parliament and of the council of 22 September 2010 on the protection of animals used for scientific purposes. 86/609 / EC.20.10.2010.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Petrov S. A. Vitabol</w:t>
      </w:r>
      <w:r>
        <w:rPr>
          <w:rFonts w:ascii="Times New Roman" w:eastAsia="Times New Roman" w:hAnsi="Times New Roman" w:cs="Times New Roman"/>
          <w:sz w:val="28"/>
          <w:szCs w:val="28"/>
        </w:rPr>
        <w:t>onica. New Direction In The Vitaminology / S. A. Petrov, N. L. Fedorko, O. K. Budnyak et al // Journal of Integrated OMICS. – 2019. – Vol. 9. – №. 1. – P. 17-22.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Ravuri C. Differential regulation of γ-glutamyltransferase and glutamate cysteine ligase expr</w:t>
      </w:r>
      <w:r>
        <w:rPr>
          <w:rFonts w:ascii="Times New Roman" w:eastAsia="Times New Roman" w:hAnsi="Times New Roman" w:cs="Times New Roman"/>
          <w:sz w:val="28"/>
          <w:szCs w:val="28"/>
        </w:rPr>
        <w:t>ession after mitochondrial uncoupling: γ-glutamyltransferase is regulated in a Nrf2 and NFκB-independent manner / C. Ravuri, G. Svineng, N. E. Huseby // Free radical research. – 2013. – Vol. 47. – №. 5. – P. 394-403.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Rucker R. B. Handbook of vitamins / R.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B. Rucker, J. Zempleni, J. W. Suttie, D. B. McCormick. – Crc Press, 2007.  – P. 253-282.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Silvagno F. The role of glutathione in protecting against the severe inflammatory response triggered by COVID-19 / F. Silvagno, А. Vernone, G. P. Pescarmona // Antio</w:t>
      </w:r>
      <w:r>
        <w:rPr>
          <w:rFonts w:ascii="Times New Roman" w:eastAsia="Times New Roman" w:hAnsi="Times New Roman" w:cs="Times New Roman"/>
          <w:sz w:val="28"/>
          <w:szCs w:val="28"/>
        </w:rPr>
        <w:t>xidants J. – 2020. – V. 9(7). – 16 р.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Tylicki A. Thiamine and selected thiamine antivitamins—biological activity and methods of synthesis / А. Tylicki, Z. Lotowski, М.Siemieniuk, А. Ratkiewicz // Bioscience Reports. – 2018. – V. 38 (1). – 23 р.</w:t>
      </w:r>
    </w:p>
    <w:p w:rsidR="007326EB" w:rsidRDefault="00C95192">
      <w:pPr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Whitfield J. B. Gamma glutamyl transferase / J. B. Whitfield // Critical reviews in clinical laboratory sciences. – 2001. – Vol. 38. – №. 4. – P. 263-355.</w:t>
      </w:r>
    </w:p>
    <w:sectPr w:rsidR="007326EB">
      <w:headerReference w:type="default" r:id="rId14"/>
      <w:headerReference w:type="first" r:id="rId15"/>
      <w:pgSz w:w="11909" w:h="16834"/>
      <w:pgMar w:top="1133" w:right="850" w:bottom="1133" w:left="17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95192">
      <w:pPr>
        <w:spacing w:line="240" w:lineRule="auto"/>
      </w:pPr>
      <w:r>
        <w:separator/>
      </w:r>
    </w:p>
  </w:endnote>
  <w:endnote w:type="continuationSeparator" w:id="0">
    <w:p w:rsidR="00000000" w:rsidRDefault="00C951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6EB" w:rsidRDefault="007326EB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6EB" w:rsidRDefault="007326EB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6EB" w:rsidRDefault="007326EB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95192">
      <w:pPr>
        <w:spacing w:line="240" w:lineRule="auto"/>
      </w:pPr>
      <w:r>
        <w:separator/>
      </w:r>
    </w:p>
  </w:footnote>
  <w:footnote w:type="continuationSeparator" w:id="0">
    <w:p w:rsidR="00000000" w:rsidRDefault="00C9519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6EB" w:rsidRDefault="007326EB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6EB" w:rsidRDefault="007326EB">
    <w:pPr>
      <w:jc w:val="right"/>
      <w:rPr>
        <w:color w:val="FFFFFF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6EB" w:rsidRDefault="00C95192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jc w:val="right"/>
      <w:rPr>
        <w:color w:val="000000"/>
      </w:rPr>
    </w:pPr>
    <w:r>
      <w:fldChar w:fldCharType="begin"/>
    </w:r>
    <w:r>
      <w:instrText>PAGE</w:instrText>
    </w:r>
    <w:r>
      <w:fldChar w:fldCharType="end"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6EB" w:rsidRDefault="00C95192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jc w:val="right"/>
      <w:rPr>
        <w:rFonts w:ascii="Times New Roman" w:eastAsia="Times New Roman" w:hAnsi="Times New Roman" w:cs="Times New Roman"/>
        <w:color w:val="000000"/>
        <w:sz w:val="28"/>
        <w:szCs w:val="28"/>
      </w:rPr>
    </w:pPr>
    <w:r>
      <w:rPr>
        <w:rFonts w:ascii="Times New Roman" w:eastAsia="Times New Roman" w:hAnsi="Times New Roman" w:cs="Times New Roman"/>
        <w:sz w:val="28"/>
        <w:szCs w:val="28"/>
      </w:rPr>
      <w:fldChar w:fldCharType="begin"/>
    </w:r>
    <w:r>
      <w:rPr>
        <w:rFonts w:ascii="Times New Roman" w:eastAsia="Times New Roman" w:hAnsi="Times New Roman" w:cs="Times New Roman"/>
        <w:sz w:val="28"/>
        <w:szCs w:val="28"/>
      </w:rPr>
      <w:instrText>PAGE</w:instrText>
    </w:r>
    <w:r w:rsidR="00164DC0">
      <w:rPr>
        <w:rFonts w:ascii="Times New Roman" w:eastAsia="Times New Roman" w:hAnsi="Times New Roman" w:cs="Times New Roman"/>
        <w:sz w:val="28"/>
        <w:szCs w:val="28"/>
      </w:rPr>
      <w:fldChar w:fldCharType="separate"/>
    </w:r>
    <w:r>
      <w:rPr>
        <w:rFonts w:ascii="Times New Roman" w:eastAsia="Times New Roman" w:hAnsi="Times New Roman" w:cs="Times New Roman"/>
        <w:noProof/>
        <w:sz w:val="28"/>
        <w:szCs w:val="28"/>
      </w:rPr>
      <w:t>13</w:t>
    </w:r>
    <w:r>
      <w:rPr>
        <w:rFonts w:ascii="Times New Roman" w:eastAsia="Times New Roman" w:hAnsi="Times New Roman" w:cs="Times New Roman"/>
        <w:sz w:val="28"/>
        <w:szCs w:val="28"/>
      </w:rPr>
      <w:fldChar w:fldCharType="end"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6EB" w:rsidRDefault="00C95192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jc w:val="right"/>
      <w:rPr>
        <w:color w:val="000000"/>
      </w:rPr>
    </w:pPr>
    <w:r>
      <w:fldChar w:fldCharType="begin"/>
    </w:r>
    <w:r>
      <w:instrText>PAGE</w:instrTex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6D3694"/>
    <w:multiLevelType w:val="multilevel"/>
    <w:tmpl w:val="0F8CB290"/>
    <w:lvl w:ilvl="0">
      <w:start w:val="1"/>
      <w:numFmt w:val="decimal"/>
      <w:lvlText w:val="%1."/>
      <w:lvlJc w:val="left"/>
      <w:pPr>
        <w:ind w:left="720" w:hanging="360"/>
      </w:pPr>
      <w:rPr>
        <w:i w:val="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06576D96"/>
    <w:multiLevelType w:val="multilevel"/>
    <w:tmpl w:val="CA26985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nsid w:val="239D6B5E"/>
    <w:multiLevelType w:val="multilevel"/>
    <w:tmpl w:val="A5B8034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nsid w:val="2AEB295C"/>
    <w:multiLevelType w:val="multilevel"/>
    <w:tmpl w:val="DEB8FE4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nsid w:val="3683012F"/>
    <w:multiLevelType w:val="multilevel"/>
    <w:tmpl w:val="536E1122"/>
    <w:lvl w:ilvl="0">
      <w:start w:val="1"/>
      <w:numFmt w:val="decimal"/>
      <w:lvlText w:val="%1."/>
      <w:lvlJc w:val="left"/>
      <w:pPr>
        <w:ind w:left="720" w:hanging="360"/>
      </w:pPr>
      <w:rPr>
        <w:strike w:val="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u w:val="none"/>
      </w:rPr>
    </w:lvl>
  </w:abstractNum>
  <w:abstractNum w:abstractNumId="5">
    <w:nsid w:val="40570BDD"/>
    <w:multiLevelType w:val="multilevel"/>
    <w:tmpl w:val="AA7E1332"/>
    <w:lvl w:ilvl="0">
      <w:start w:val="1"/>
      <w:numFmt w:val="decimal"/>
      <w:lvlText w:val="%1."/>
      <w:lvlJc w:val="left"/>
      <w:pPr>
        <w:ind w:left="720" w:hanging="360"/>
      </w:pPr>
      <w:rPr>
        <w:sz w:val="28"/>
        <w:szCs w:val="2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>
    <w:nsid w:val="424804F8"/>
    <w:multiLevelType w:val="multilevel"/>
    <w:tmpl w:val="8C700BE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>
    <w:nsid w:val="51BD7969"/>
    <w:multiLevelType w:val="multilevel"/>
    <w:tmpl w:val="25349FD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">
    <w:nsid w:val="5E0F27CD"/>
    <w:multiLevelType w:val="multilevel"/>
    <w:tmpl w:val="32BA72C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">
    <w:nsid w:val="61960F2E"/>
    <w:multiLevelType w:val="multilevel"/>
    <w:tmpl w:val="28B8923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8"/>
  </w:num>
  <w:num w:numId="2">
    <w:abstractNumId w:val="2"/>
  </w:num>
  <w:num w:numId="3">
    <w:abstractNumId w:val="3"/>
  </w:num>
  <w:num w:numId="4">
    <w:abstractNumId w:val="0"/>
  </w:num>
  <w:num w:numId="5">
    <w:abstractNumId w:val="9"/>
  </w:num>
  <w:num w:numId="6">
    <w:abstractNumId w:val="1"/>
  </w:num>
  <w:num w:numId="7">
    <w:abstractNumId w:val="5"/>
  </w:num>
  <w:num w:numId="8">
    <w:abstractNumId w:val="7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6EB"/>
    <w:rsid w:val="00164DC0"/>
    <w:rsid w:val="007326EB"/>
    <w:rsid w:val="00C95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D221C8-6ED9-4698-91C0-5A6099BD8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uk-UA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Subtitle"/>
    <w:basedOn w:val="a"/>
    <w:next w:val="a"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  <w:style w:type="table" w:customStyle="1" w:styleId="a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1E6C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table" w:customStyle="1" w:styleId="a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f2">
    <w:name w:val="header"/>
    <w:basedOn w:val="a"/>
    <w:link w:val="af3"/>
    <w:uiPriority w:val="99"/>
    <w:unhideWhenUsed/>
    <w:rsid w:val="006B3EFB"/>
    <w:pPr>
      <w:tabs>
        <w:tab w:val="center" w:pos="4677"/>
        <w:tab w:val="right" w:pos="9355"/>
      </w:tabs>
      <w:spacing w:line="240" w:lineRule="auto"/>
    </w:pPr>
  </w:style>
  <w:style w:type="character" w:customStyle="1" w:styleId="af3">
    <w:name w:val="Верхний колонтитул Знак"/>
    <w:basedOn w:val="a0"/>
    <w:link w:val="af2"/>
    <w:uiPriority w:val="99"/>
    <w:rsid w:val="006B3EFB"/>
  </w:style>
  <w:style w:type="paragraph" w:styleId="af4">
    <w:name w:val="footer"/>
    <w:basedOn w:val="a"/>
    <w:link w:val="af5"/>
    <w:uiPriority w:val="99"/>
    <w:unhideWhenUsed/>
    <w:rsid w:val="006B3EFB"/>
    <w:pPr>
      <w:tabs>
        <w:tab w:val="center" w:pos="4677"/>
        <w:tab w:val="right" w:pos="9355"/>
      </w:tabs>
      <w:spacing w:line="240" w:lineRule="auto"/>
    </w:pPr>
  </w:style>
  <w:style w:type="character" w:customStyle="1" w:styleId="af5">
    <w:name w:val="Нижний колонтитул Знак"/>
    <w:basedOn w:val="a0"/>
    <w:link w:val="af4"/>
    <w:uiPriority w:val="99"/>
    <w:rsid w:val="006B3EFB"/>
  </w:style>
  <w:style w:type="paragraph" w:styleId="af6">
    <w:name w:val="List Paragraph"/>
    <w:basedOn w:val="a"/>
    <w:uiPriority w:val="34"/>
    <w:qFormat/>
    <w:rsid w:val="007A1785"/>
    <w:pPr>
      <w:ind w:left="720"/>
      <w:contextualSpacing/>
    </w:pPr>
  </w:style>
  <w:style w:type="table" w:customStyle="1" w:styleId="af7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10">
    <w:name w:val="Текст1"/>
    <w:basedOn w:val="a"/>
    <w:uiPriority w:val="99"/>
    <w:rsid w:val="00EC16B1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DyDbsszvt6mnu8As81xUM0C97Zg==">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4572</Words>
  <Characters>26066</Characters>
  <Application>Microsoft Office Word</Application>
  <DocSecurity>0</DocSecurity>
  <Lines>217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student</cp:lastModifiedBy>
  <cp:revision>2</cp:revision>
  <dcterms:created xsi:type="dcterms:W3CDTF">2023-04-06T09:32:00Z</dcterms:created>
  <dcterms:modified xsi:type="dcterms:W3CDTF">2023-04-06T09:32:00Z</dcterms:modified>
</cp:coreProperties>
</file>