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embeddings/Microsoft_Excel_Worksheet1.xlsx" ContentType="application/vnd.openxmlformats-officedocument.spreadsheetml.sheet"/>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jc w:val="center"/>
        <w:rPr>
          <w:rFonts w:ascii="Times New Roman" w:hAnsi="Times New Roman"/>
          <w:b/>
          <w:b/>
          <w:bCs/>
          <w:i/>
          <w:i/>
          <w:iCs/>
          <w:sz w:val="28"/>
          <w:szCs w:val="28"/>
          <w:lang w:eastAsia="ru-RU"/>
        </w:rPr>
      </w:pPr>
      <w:r>
        <w:rPr>
          <w:rFonts w:ascii="Times New Roman" w:hAnsi="Times New Roman"/>
          <w:sz w:val="28"/>
          <w:szCs w:val="28"/>
          <w:lang w:eastAsia="ru-RU"/>
        </w:rPr>
        <w:t>Одеський національний університет імені І. І. Мечникова</w:t>
      </w:r>
    </w:p>
    <w:p>
      <w:pPr>
        <w:pStyle w:val="Normal"/>
        <w:spacing w:lineRule="auto" w:line="240" w:before="0" w:after="0"/>
        <w:jc w:val="center"/>
        <w:rPr>
          <w:rFonts w:ascii="Times New Roman" w:hAnsi="Times New Roman"/>
          <w:sz w:val="28"/>
          <w:szCs w:val="28"/>
          <w:lang w:eastAsia="ru-RU"/>
        </w:rPr>
      </w:pPr>
      <w:r>
        <w:rPr>
          <w:rFonts w:ascii="Times New Roman" w:hAnsi="Times New Roman"/>
          <w:sz w:val="28"/>
          <w:szCs w:val="28"/>
          <w:lang w:eastAsia="ru-RU"/>
        </w:rPr>
        <w:t>Факультет міжнародних відносин, політології та соціології</w:t>
      </w:r>
    </w:p>
    <w:p>
      <w:pPr>
        <w:pStyle w:val="Normal"/>
        <w:spacing w:lineRule="auto" w:line="240" w:before="0" w:after="0"/>
        <w:jc w:val="center"/>
        <w:rPr>
          <w:rFonts w:ascii="Times New Roman" w:hAnsi="Times New Roman"/>
          <w:sz w:val="28"/>
          <w:szCs w:val="28"/>
          <w:lang w:eastAsia="ru-RU"/>
        </w:rPr>
      </w:pPr>
      <w:r>
        <w:rPr>
          <w:rFonts w:ascii="Times New Roman" w:hAnsi="Times New Roman"/>
          <w:sz w:val="28"/>
          <w:szCs w:val="28"/>
          <w:lang w:eastAsia="ru-RU"/>
        </w:rPr>
        <w:t>Кафедра світового господарства і міжнародних економічних відносин</w:t>
      </w:r>
    </w:p>
    <w:p>
      <w:pPr>
        <w:pStyle w:val="Normal"/>
        <w:spacing w:lineRule="auto" w:line="240" w:before="0" w:after="0"/>
        <w:rPr>
          <w:rFonts w:ascii="Times New Roman" w:hAnsi="Times New Roman"/>
          <w:sz w:val="28"/>
          <w:szCs w:val="28"/>
          <w:u w:val="single"/>
          <w:lang w:eastAsia="ru-RU"/>
        </w:rPr>
      </w:pPr>
      <w:r>
        <w:rPr>
          <w:rFonts w:ascii="Times New Roman" w:hAnsi="Times New Roman"/>
          <w:sz w:val="28"/>
          <w:szCs w:val="28"/>
          <w:u w:val="single"/>
          <w:lang w:eastAsia="ru-RU"/>
        </w:rPr>
      </w:r>
    </w:p>
    <w:p>
      <w:pPr>
        <w:pStyle w:val="Normal"/>
        <w:spacing w:lineRule="auto" w:line="240" w:before="0" w:after="0"/>
        <w:jc w:val="center"/>
        <w:rPr>
          <w:rFonts w:ascii="Times New Roman" w:hAnsi="Times New Roman"/>
          <w:sz w:val="28"/>
          <w:szCs w:val="28"/>
          <w:u w:val="single"/>
          <w:lang w:eastAsia="ru-RU"/>
        </w:rPr>
      </w:pPr>
      <w:r>
        <w:rPr>
          <w:rFonts w:ascii="Times New Roman" w:hAnsi="Times New Roman"/>
          <w:sz w:val="28"/>
          <w:szCs w:val="28"/>
          <w:u w:val="single"/>
          <w:lang w:eastAsia="ru-RU"/>
        </w:rPr>
      </w:r>
    </w:p>
    <w:p>
      <w:pPr>
        <w:pStyle w:val="Normal"/>
        <w:spacing w:lineRule="auto" w:line="240" w:before="0" w:after="0"/>
        <w:jc w:val="center"/>
        <w:rPr>
          <w:rFonts w:ascii="Times New Roman" w:hAnsi="Times New Roman"/>
          <w:sz w:val="28"/>
          <w:szCs w:val="28"/>
          <w:u w:val="single"/>
          <w:lang w:eastAsia="ru-RU"/>
        </w:rPr>
      </w:pPr>
      <w:r>
        <w:rPr>
          <w:rFonts w:ascii="Times New Roman" w:hAnsi="Times New Roman"/>
          <w:sz w:val="28"/>
          <w:szCs w:val="28"/>
          <w:u w:val="single"/>
          <w:lang w:eastAsia="ru-RU"/>
        </w:rPr>
      </w:r>
    </w:p>
    <w:p>
      <w:pPr>
        <w:pStyle w:val="Normal"/>
        <w:spacing w:lineRule="auto" w:line="240" w:before="0" w:after="0"/>
        <w:jc w:val="center"/>
        <w:rPr>
          <w:rFonts w:ascii="Times New Roman" w:hAnsi="Times New Roman"/>
          <w:sz w:val="28"/>
          <w:szCs w:val="28"/>
          <w:u w:val="single"/>
          <w:lang w:eastAsia="ru-RU"/>
        </w:rPr>
      </w:pPr>
      <w:r>
        <w:rPr>
          <w:rFonts w:ascii="Times New Roman" w:hAnsi="Times New Roman"/>
          <w:sz w:val="28"/>
          <w:szCs w:val="28"/>
          <w:u w:val="single"/>
          <w:lang w:eastAsia="ru-RU"/>
        </w:rPr>
      </w:r>
    </w:p>
    <w:p>
      <w:pPr>
        <w:pStyle w:val="NoSpacing"/>
        <w:spacing w:lineRule="auto" w:line="360"/>
        <w:jc w:val="center"/>
        <w:rPr>
          <w:rFonts w:ascii="Times New Roman" w:hAnsi="Times New Roman" w:cs="Times New Roman"/>
          <w:b/>
          <w:b/>
          <w:bCs/>
          <w:sz w:val="28"/>
          <w:szCs w:val="28"/>
          <w:lang w:eastAsia="ru-RU"/>
        </w:rPr>
      </w:pPr>
      <w:r>
        <w:rPr>
          <w:rFonts w:cs="Times New Roman" w:ascii="Times New Roman" w:hAnsi="Times New Roman"/>
          <w:b/>
          <w:bCs/>
          <w:sz w:val="28"/>
          <w:szCs w:val="28"/>
          <w:lang w:eastAsia="ru-RU"/>
        </w:rPr>
        <w:t>ДИПЛОМНА РОБОТА</w:t>
      </w:r>
    </w:p>
    <w:p>
      <w:pPr>
        <w:pStyle w:val="NoSpacing"/>
        <w:spacing w:lineRule="auto" w:line="360"/>
        <w:jc w:val="center"/>
        <w:rPr>
          <w:rFonts w:ascii="Times New Roman" w:hAnsi="Times New Roman" w:cs="Times New Roman"/>
          <w:sz w:val="28"/>
          <w:szCs w:val="28"/>
        </w:rPr>
      </w:pPr>
      <w:r>
        <w:rPr>
          <w:rFonts w:cs="Times New Roman" w:ascii="Times New Roman" w:hAnsi="Times New Roman"/>
          <w:sz w:val="28"/>
          <w:szCs w:val="28"/>
          <w:lang w:eastAsia="ru-RU"/>
        </w:rPr>
        <w:t xml:space="preserve">на здобуття ступеня вищої освіти </w:t>
      </w:r>
      <w:r>
        <w:rPr>
          <w:rFonts w:cs="Times New Roman" w:ascii="Times New Roman" w:hAnsi="Times New Roman"/>
          <w:sz w:val="28"/>
          <w:szCs w:val="28"/>
          <w:lang w:eastAsia="uk-UA"/>
        </w:rPr>
        <w:t>«</w:t>
      </w:r>
      <w:r>
        <w:rPr>
          <w:rFonts w:cs="Times New Roman" w:ascii="Times New Roman" w:hAnsi="Times New Roman"/>
          <w:sz w:val="28"/>
          <w:szCs w:val="28"/>
          <w:lang w:eastAsia="ru-RU"/>
        </w:rPr>
        <w:t>магістр</w:t>
      </w:r>
      <w:r>
        <w:rPr>
          <w:rFonts w:cs="Times New Roman" w:ascii="Times New Roman" w:hAnsi="Times New Roman"/>
          <w:sz w:val="28"/>
          <w:szCs w:val="28"/>
        </w:rPr>
        <w:t>»</w:t>
      </w:r>
      <w:r>
        <w:rPr>
          <w:rFonts w:ascii="Times New Roman" w:hAnsi="Times New Roman"/>
          <w:sz w:val="28"/>
          <w:szCs w:val="28"/>
          <w:lang w:val="ru-RU" w:eastAsia="ru-RU"/>
        </w:rPr>
        <w:t xml:space="preserve">                                            </w:t>
      </w:r>
    </w:p>
    <w:p>
      <w:pPr>
        <w:pStyle w:val="Style19"/>
        <w:spacing w:lineRule="auto" w:line="360" w:before="0" w:after="0"/>
        <w:jc w:val="center"/>
        <w:rPr>
          <w:rFonts w:cs="Times New Roman"/>
          <w:b/>
          <w:b/>
          <w:color w:val="000000"/>
          <w:sz w:val="28"/>
          <w:szCs w:val="28"/>
          <w:shd w:fill="FFFFFF" w:val="clear"/>
          <w:lang w:val="uk-UA"/>
        </w:rPr>
      </w:pPr>
      <w:r>
        <w:rPr>
          <w:rFonts w:cs="Times New Roman"/>
          <w:b/>
          <w:bCs/>
          <w:sz w:val="28"/>
          <w:szCs w:val="28"/>
          <w:lang w:eastAsia="uk-UA"/>
        </w:rPr>
        <w:t xml:space="preserve">на тему: </w:t>
      </w:r>
      <w:r>
        <w:rPr>
          <w:rFonts w:cs="Times New Roman"/>
          <w:b/>
          <w:color w:val="000000"/>
          <w:sz w:val="28"/>
          <w:szCs w:val="28"/>
          <w:shd w:fill="FFFFFF" w:val="clear"/>
          <w:lang w:val="uk-UA"/>
        </w:rPr>
        <w:t>«</w:t>
      </w:r>
      <w:r>
        <w:rPr>
          <w:rFonts w:cs="Times New Roman"/>
          <w:b/>
          <w:sz w:val="28"/>
          <w:szCs w:val="28"/>
          <w:lang w:val="uk-UA" w:eastAsia="ru-RU"/>
        </w:rPr>
        <w:t>Вплив факторів екологічної, соціальної та корпоративної відповідальності на прибутковість акцій: міжнародний досвід</w:t>
      </w:r>
      <w:r>
        <w:rPr>
          <w:rFonts w:cs="Times New Roman"/>
          <w:b/>
          <w:color w:val="000000"/>
          <w:sz w:val="28"/>
          <w:szCs w:val="28"/>
          <w:shd w:fill="FFFFFF" w:val="clear"/>
          <w:lang w:val="uk-UA"/>
        </w:rPr>
        <w:t xml:space="preserve">»  </w:t>
      </w:r>
    </w:p>
    <w:p>
      <w:pPr>
        <w:pStyle w:val="Normal"/>
        <w:spacing w:lineRule="auto" w:line="360" w:before="0" w:after="0"/>
        <w:jc w:val="center"/>
        <w:rPr>
          <w:rFonts w:ascii="Times New Roman" w:hAnsi="Times New Roman" w:cs="Times New Roman"/>
          <w:sz w:val="32"/>
          <w:szCs w:val="28"/>
          <w:lang w:val="uk-UA" w:eastAsia="ru-RU"/>
        </w:rPr>
      </w:pPr>
      <w:r>
        <w:rPr>
          <w:rFonts w:cs="Times New Roman" w:ascii="Times New Roman" w:hAnsi="Times New Roman"/>
          <w:color w:val="000000"/>
          <w:sz w:val="24"/>
          <w:shd w:fill="FFFFFF" w:val="clear"/>
          <w:lang w:val="uk-UA"/>
        </w:rPr>
        <w:t>«</w:t>
      </w:r>
      <w:r>
        <w:rPr>
          <w:rFonts w:cs="Times New Roman" w:ascii="Times New Roman" w:hAnsi="Times New Roman"/>
          <w:sz w:val="24"/>
          <w:lang w:val="uk-UA"/>
        </w:rPr>
        <w:t>The impact of environmental, social and governance factors on stock returns: international practice</w:t>
      </w:r>
      <w:r>
        <w:rPr>
          <w:rFonts w:cs="Times New Roman" w:ascii="Times New Roman" w:hAnsi="Times New Roman"/>
          <w:color w:val="000000"/>
          <w:sz w:val="24"/>
          <w:shd w:fill="FFFFFF" w:val="clear"/>
          <w:lang w:val="uk-UA"/>
        </w:rPr>
        <w:t>»</w:t>
      </w:r>
    </w:p>
    <w:p>
      <w:pPr>
        <w:pStyle w:val="Normal"/>
        <w:spacing w:lineRule="auto" w:line="240" w:before="0" w:after="0"/>
        <w:rPr>
          <w:rFonts w:ascii="Times New Roman" w:hAnsi="Times New Roman"/>
          <w:sz w:val="28"/>
          <w:szCs w:val="28"/>
          <w:lang w:val="uk-UA" w:eastAsia="ru-RU"/>
        </w:rPr>
      </w:pPr>
      <w:r>
        <w:rPr>
          <w:rFonts w:ascii="Times New Roman" w:hAnsi="Times New Roman"/>
          <w:sz w:val="28"/>
          <w:szCs w:val="28"/>
          <w:lang w:val="uk-UA" w:eastAsia="ru-RU"/>
        </w:rPr>
      </w:r>
    </w:p>
    <w:p>
      <w:pPr>
        <w:pStyle w:val="Normal"/>
        <w:spacing w:lineRule="auto" w:line="240" w:before="0" w:after="0"/>
        <w:rPr>
          <w:rFonts w:ascii="Times New Roman" w:hAnsi="Times New Roman"/>
          <w:sz w:val="28"/>
          <w:szCs w:val="28"/>
          <w:lang w:val="uk-UA" w:eastAsia="ru-RU"/>
        </w:rPr>
      </w:pPr>
      <w:r>
        <w:rPr>
          <w:rFonts w:ascii="Times New Roman" w:hAnsi="Times New Roman"/>
          <w:sz w:val="28"/>
          <w:szCs w:val="28"/>
          <w:lang w:val="uk-UA" w:eastAsia="ru-RU"/>
        </w:rPr>
      </w:r>
    </w:p>
    <w:p>
      <w:pPr>
        <w:pStyle w:val="Normal"/>
        <w:spacing w:lineRule="auto" w:line="240" w:before="0" w:after="0"/>
        <w:rPr>
          <w:rFonts w:ascii="Times New Roman" w:hAnsi="Times New Roman"/>
          <w:sz w:val="28"/>
          <w:szCs w:val="28"/>
          <w:lang w:val="uk-UA" w:eastAsia="ru-RU"/>
        </w:rPr>
      </w:pPr>
      <w:r>
        <w:rPr>
          <w:rFonts w:ascii="Times New Roman" w:hAnsi="Times New Roman"/>
          <w:sz w:val="28"/>
          <w:szCs w:val="28"/>
          <w:lang w:val="uk-UA" w:eastAsia="ru-RU"/>
        </w:rPr>
      </w:r>
    </w:p>
    <w:p>
      <w:pPr>
        <w:pStyle w:val="Normal"/>
        <w:spacing w:lineRule="auto" w:line="240" w:before="0" w:after="0"/>
        <w:ind w:left="2832" w:hanging="0"/>
        <w:rPr>
          <w:rFonts w:ascii="Times New Roman" w:hAnsi="Times New Roman"/>
          <w:sz w:val="28"/>
          <w:szCs w:val="28"/>
          <w:lang w:val="uk-UA" w:eastAsia="ru-RU"/>
        </w:rPr>
      </w:pPr>
      <w:r>
        <w:rPr>
          <w:rFonts w:ascii="Times New Roman" w:hAnsi="Times New Roman"/>
          <w:sz w:val="28"/>
          <w:szCs w:val="28"/>
          <w:lang w:val="uk-UA" w:eastAsia="ru-RU"/>
        </w:rPr>
      </w:r>
    </w:p>
    <w:p>
      <w:pPr>
        <w:pStyle w:val="Normal"/>
        <w:spacing w:lineRule="auto" w:line="240" w:before="0" w:after="0"/>
        <w:ind w:left="2832" w:hanging="0"/>
        <w:rPr>
          <w:rFonts w:ascii="Times New Roman" w:hAnsi="Times New Roman"/>
          <w:sz w:val="28"/>
          <w:szCs w:val="28"/>
          <w:lang w:val="uk-UA" w:eastAsia="ru-RU"/>
        </w:rPr>
      </w:pPr>
      <w:r>
        <w:rPr>
          <w:rFonts w:ascii="Times New Roman" w:hAnsi="Times New Roman"/>
          <w:sz w:val="28"/>
          <w:szCs w:val="28"/>
          <w:lang w:val="uk-UA" w:eastAsia="ru-RU"/>
        </w:rPr>
        <w:t xml:space="preserve">  </w:t>
      </w:r>
      <w:r>
        <w:rPr>
          <w:rFonts w:ascii="Times New Roman" w:hAnsi="Times New Roman"/>
          <w:sz w:val="28"/>
          <w:szCs w:val="28"/>
          <w:lang w:val="uk-UA" w:eastAsia="ru-RU"/>
        </w:rPr>
        <w:t>Виконала: студентка денної форми навчання</w:t>
      </w:r>
    </w:p>
    <w:p>
      <w:pPr>
        <w:pStyle w:val="Normal"/>
        <w:spacing w:lineRule="auto" w:line="240" w:before="0" w:after="0"/>
        <w:ind w:hanging="120"/>
        <w:rPr>
          <w:rFonts w:ascii="Times New Roman" w:hAnsi="Times New Roman"/>
          <w:sz w:val="28"/>
          <w:szCs w:val="28"/>
          <w:lang w:val="uk-UA" w:eastAsia="ru-RU"/>
        </w:rPr>
      </w:pPr>
      <w:r>
        <w:rPr>
          <w:rFonts w:ascii="Times New Roman" w:hAnsi="Times New Roman"/>
          <w:sz w:val="28"/>
          <w:szCs w:val="28"/>
          <w:lang w:val="uk-UA" w:eastAsia="ru-RU"/>
        </w:rPr>
        <w:t xml:space="preserve">                                            </w:t>
      </w:r>
      <w:r>
        <w:rPr>
          <w:rFonts w:ascii="Times New Roman" w:hAnsi="Times New Roman"/>
          <w:sz w:val="28"/>
          <w:szCs w:val="28"/>
          <w:lang w:val="uk-UA" w:eastAsia="ru-RU"/>
        </w:rPr>
        <w:t>спеціальності 292 «Міжнародні економічні відносини»</w:t>
      </w:r>
    </w:p>
    <w:p>
      <w:pPr>
        <w:pStyle w:val="Normal"/>
        <w:spacing w:lineRule="auto" w:line="240" w:before="0" w:after="0"/>
        <w:ind w:hanging="120"/>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Pr>
          <w:rFonts w:ascii="Times New Roman" w:hAnsi="Times New Roman"/>
          <w:sz w:val="28"/>
          <w:szCs w:val="28"/>
          <w:lang w:val="uk-UA" w:eastAsia="ru-RU"/>
        </w:rPr>
        <w:t>Шишкіна Віра Ігорівна</w:t>
      </w:r>
    </w:p>
    <w:p>
      <w:pPr>
        <w:pStyle w:val="Normal"/>
        <w:spacing w:lineRule="auto" w:line="240" w:before="0" w:after="0"/>
        <w:ind w:hanging="120"/>
        <w:jc w:val="both"/>
        <w:rPr>
          <w:rFonts w:ascii="Times New Roman" w:hAnsi="Times New Roman"/>
          <w:sz w:val="28"/>
          <w:szCs w:val="28"/>
          <w:lang w:val="uk-UA" w:eastAsia="ru-RU"/>
        </w:rPr>
      </w:pPr>
      <w:r>
        <w:rPr>
          <w:rFonts w:ascii="Times New Roman" w:hAnsi="Times New Roman"/>
          <w:sz w:val="28"/>
          <w:szCs w:val="28"/>
          <w:lang w:val="uk-UA" w:eastAsia="ru-RU"/>
        </w:rPr>
      </w:r>
    </w:p>
    <w:p>
      <w:pPr>
        <w:pStyle w:val="Normal"/>
        <w:spacing w:lineRule="auto" w:line="240" w:before="0" w:after="0"/>
        <w:ind w:left="-142" w:hanging="0"/>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Науковий керівник: к.е.н., доц. </w:t>
      </w:r>
      <w:r>
        <w:rPr>
          <w:rFonts w:ascii="Times New Roman" w:hAnsi="Times New Roman"/>
          <w:color w:val="000000"/>
          <w:sz w:val="28"/>
          <w:szCs w:val="28"/>
          <w:shd w:fill="FFFFFF" w:val="clear"/>
          <w:lang w:val="uk-UA"/>
        </w:rPr>
        <w:t>Родіонова Т.А.</w:t>
      </w:r>
      <w:r>
        <w:rPr>
          <w:rFonts w:ascii="Times New Roman" w:hAnsi="Times New Roman"/>
          <w:sz w:val="28"/>
          <w:szCs w:val="28"/>
          <w:lang w:val="uk-UA" w:eastAsia="ru-RU"/>
        </w:rPr>
        <w:t xml:space="preserve"> _______</w:t>
      </w:r>
    </w:p>
    <w:p>
      <w:pPr>
        <w:pStyle w:val="Normal"/>
        <w:spacing w:lineRule="auto" w:line="240" w:before="0" w:after="0"/>
        <w:ind w:firstLine="240"/>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Pr>
          <w:rFonts w:ascii="Times New Roman" w:hAnsi="Times New Roman"/>
          <w:sz w:val="28"/>
          <w:szCs w:val="28"/>
          <w:lang w:val="uk-UA" w:eastAsia="ru-RU"/>
        </w:rPr>
        <w:t>Рецензент: д.е.н., проф. Горняк О. В.</w:t>
      </w:r>
    </w:p>
    <w:p>
      <w:pPr>
        <w:pStyle w:val="Normal"/>
        <w:spacing w:lineRule="auto" w:line="240" w:before="0" w:after="0"/>
        <w:ind w:firstLine="240"/>
        <w:jc w:val="both"/>
        <w:rPr>
          <w:rFonts w:ascii="Times New Roman" w:hAnsi="Times New Roman"/>
          <w:sz w:val="20"/>
          <w:szCs w:val="20"/>
          <w:lang w:val="uk-UA" w:eastAsia="ru-RU"/>
        </w:rPr>
      </w:pPr>
      <w:r>
        <w:rPr>
          <w:rFonts w:ascii="Times New Roman" w:hAnsi="Times New Roman"/>
          <w:sz w:val="28"/>
          <w:szCs w:val="28"/>
          <w:lang w:val="uk-UA" w:eastAsia="ru-RU"/>
        </w:rPr>
        <w:t>.</w:t>
      </w:r>
      <w:r>
        <w:rPr>
          <w:rFonts w:ascii="Times New Roman" w:hAnsi="Times New Roman"/>
          <w:sz w:val="20"/>
          <w:szCs w:val="20"/>
          <w:lang w:val="uk-UA" w:eastAsia="ru-RU"/>
        </w:rPr>
        <w:t xml:space="preserve">                           </w:t>
      </w:r>
    </w:p>
    <w:p>
      <w:pPr>
        <w:pStyle w:val="Normal"/>
        <w:spacing w:lineRule="auto" w:line="240" w:before="0" w:after="0"/>
        <w:ind w:firstLine="709"/>
        <w:jc w:val="both"/>
        <w:rPr>
          <w:rFonts w:ascii="Times New Roman" w:hAnsi="Times New Roman"/>
          <w:sz w:val="20"/>
          <w:szCs w:val="20"/>
          <w:lang w:val="uk-UA" w:eastAsia="ru-RU"/>
        </w:rPr>
      </w:pPr>
      <w:r>
        <w:rPr>
          <w:rFonts w:ascii="Times New Roman" w:hAnsi="Times New Roman"/>
          <w:sz w:val="20"/>
          <w:szCs w:val="20"/>
          <w:lang w:val="uk-UA" w:eastAsia="ru-RU"/>
        </w:rPr>
        <w:t xml:space="preserve">                                                                                                   </w:t>
      </w:r>
      <w:r>
        <w:rPr>
          <w:rFonts w:ascii="Times New Roman" w:hAnsi="Times New Roman"/>
          <w:sz w:val="28"/>
          <w:szCs w:val="28"/>
          <w:lang w:val="uk-UA" w:eastAsia="ru-RU"/>
        </w:rPr>
        <w:t xml:space="preserve">                                      </w:t>
      </w:r>
    </w:p>
    <w:p>
      <w:pPr>
        <w:pStyle w:val="Normal"/>
        <w:spacing w:lineRule="auto" w:line="240" w:before="0" w:after="0"/>
        <w:ind w:firstLine="709"/>
        <w:jc w:val="both"/>
        <w:rPr>
          <w:rFonts w:ascii="Times New Roman" w:hAnsi="Times New Roman"/>
          <w:sz w:val="28"/>
          <w:szCs w:val="28"/>
          <w:lang w:val="uk-UA" w:eastAsia="ru-RU"/>
        </w:rPr>
      </w:pPr>
      <w:r>
        <w:rPr>
          <w:rFonts w:ascii="Times New Roman" w:hAnsi="Times New Roman"/>
          <w:sz w:val="28"/>
          <w:szCs w:val="28"/>
          <w:lang w:val="uk-UA" w:eastAsia="ru-RU"/>
        </w:rPr>
      </w:r>
    </w:p>
    <w:p>
      <w:pPr>
        <w:pStyle w:val="Normal"/>
        <w:spacing w:lineRule="auto" w:line="240" w:before="0" w:after="0"/>
        <w:ind w:firstLine="709"/>
        <w:jc w:val="both"/>
        <w:rPr>
          <w:rFonts w:ascii="Times New Roman" w:hAnsi="Times New Roman"/>
          <w:sz w:val="28"/>
          <w:szCs w:val="28"/>
          <w:lang w:val="uk-UA" w:eastAsia="ru-RU"/>
        </w:rPr>
      </w:pPr>
      <w:r>
        <w:rPr>
          <w:rFonts w:ascii="Times New Roman" w:hAnsi="Times New Roman"/>
          <w:sz w:val="28"/>
          <w:szCs w:val="28"/>
          <w:lang w:val="uk-UA" w:eastAsia="ru-RU"/>
        </w:rPr>
      </w:r>
    </w:p>
    <w:p>
      <w:pPr>
        <w:pStyle w:val="Normal"/>
        <w:widowControl w:val="false"/>
        <w:spacing w:lineRule="auto" w:line="360" w:before="0" w:after="0"/>
        <w:jc w:val="both"/>
        <w:rPr>
          <w:rFonts w:ascii="Times New Roman" w:hAnsi="Times New Roman"/>
          <w:color w:val="000000"/>
          <w:sz w:val="28"/>
          <w:szCs w:val="28"/>
          <w:lang w:val="uk-UA"/>
        </w:rPr>
      </w:pPr>
      <w:r>
        <w:rPr>
          <w:rFonts w:ascii="Times New Roman" w:hAnsi="Times New Roman"/>
          <w:color w:val="000000"/>
          <w:sz w:val="28"/>
          <w:szCs w:val="28"/>
          <w:lang w:val="uk-UA"/>
        </w:rPr>
        <w:t>Рекомендовано до захисту:                  Захищено на засіданні ЕК № 4</w:t>
      </w:r>
    </w:p>
    <w:p>
      <w:pPr>
        <w:pStyle w:val="Normal"/>
        <w:widowControl w:val="false"/>
        <w:spacing w:lineRule="auto" w:line="360" w:before="0" w:after="0"/>
        <w:jc w:val="both"/>
        <w:rPr>
          <w:rFonts w:ascii="Times New Roman" w:hAnsi="Times New Roman"/>
          <w:color w:val="000000"/>
          <w:sz w:val="28"/>
          <w:szCs w:val="28"/>
          <w:lang w:val="uk-UA"/>
        </w:rPr>
      </w:pPr>
      <w:r>
        <w:rPr>
          <w:rFonts w:ascii="Times New Roman" w:hAnsi="Times New Roman"/>
          <w:color w:val="000000"/>
          <w:sz w:val="28"/>
          <w:szCs w:val="28"/>
          <w:lang w:val="uk-UA"/>
        </w:rPr>
        <w:t>Протокол засідання кафедри                протокол №___від _________ 2021р.</w:t>
      </w:r>
    </w:p>
    <w:p>
      <w:pPr>
        <w:pStyle w:val="Normal"/>
        <w:widowControl w:val="false"/>
        <w:spacing w:lineRule="auto" w:line="360" w:before="0" w:after="0"/>
        <w:jc w:val="both"/>
        <w:rPr>
          <w:rFonts w:ascii="Times New Roman" w:hAnsi="Times New Roman"/>
          <w:color w:val="000000"/>
          <w:sz w:val="28"/>
          <w:szCs w:val="28"/>
          <w:lang w:val="uk-UA"/>
        </w:rPr>
      </w:pPr>
      <w:r>
        <w:rPr>
          <w:rFonts w:ascii="Times New Roman" w:hAnsi="Times New Roman"/>
          <w:color w:val="000000"/>
          <w:sz w:val="28"/>
          <w:szCs w:val="28"/>
          <w:lang w:val="uk-UA"/>
        </w:rPr>
        <w:t>№</w:t>
      </w:r>
      <w:r>
        <w:rPr>
          <w:rFonts w:ascii="Times New Roman" w:hAnsi="Times New Roman"/>
          <w:color w:val="000000"/>
          <w:sz w:val="28"/>
          <w:szCs w:val="28"/>
          <w:lang w:val="uk-UA"/>
        </w:rPr>
        <w:t xml:space="preserve">___від _______ 2021р.                     Оцінка____________/______/______                         </w:t>
      </w:r>
    </w:p>
    <w:p>
      <w:pPr>
        <w:pStyle w:val="Normal"/>
        <w:widowControl w:val="false"/>
        <w:spacing w:lineRule="auto" w:line="360" w:before="0" w:after="0"/>
        <w:jc w:val="both"/>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widowControl w:val="false"/>
        <w:spacing w:lineRule="auto" w:line="360" w:before="0" w:after="0"/>
        <w:jc w:val="both"/>
        <w:rPr>
          <w:rFonts w:ascii="Times New Roman" w:hAnsi="Times New Roman"/>
          <w:color w:val="000000"/>
          <w:sz w:val="28"/>
          <w:szCs w:val="28"/>
          <w:lang w:val="uk-UA"/>
        </w:rPr>
      </w:pPr>
      <w:r>
        <w:rPr>
          <w:rFonts w:ascii="Times New Roman" w:hAnsi="Times New Roman"/>
          <w:color w:val="000000"/>
          <w:sz w:val="28"/>
          <w:szCs w:val="28"/>
          <w:lang w:val="uk-UA"/>
        </w:rPr>
        <w:t>Завідувач кафедри                                 Голова ЕК</w:t>
      </w:r>
    </w:p>
    <w:p>
      <w:pPr>
        <w:pStyle w:val="Normal"/>
        <w:widowControl w:val="false"/>
        <w:spacing w:lineRule="auto" w:line="360" w:before="0" w:after="0"/>
        <w:jc w:val="both"/>
        <w:rPr>
          <w:rFonts w:ascii="Times New Roman" w:hAnsi="Times New Roman"/>
          <w:color w:val="000000"/>
          <w:sz w:val="28"/>
          <w:szCs w:val="28"/>
          <w:lang w:val="uk-UA"/>
        </w:rPr>
      </w:pPr>
      <w:r>
        <w:rPr>
          <w:rFonts w:ascii="Times New Roman" w:hAnsi="Times New Roman"/>
          <w:color w:val="000000"/>
          <w:sz w:val="28"/>
          <w:szCs w:val="28"/>
          <w:lang w:val="uk-UA"/>
        </w:rPr>
      </w:r>
    </w:p>
    <w:p>
      <w:pPr>
        <w:pStyle w:val="Normal"/>
        <w:widowControl w:val="false"/>
        <w:spacing w:lineRule="auto" w:line="360" w:before="0" w:after="0"/>
        <w:jc w:val="both"/>
        <w:rPr>
          <w:rFonts w:ascii="Times New Roman" w:hAnsi="Times New Roman"/>
          <w:color w:val="000000"/>
          <w:sz w:val="28"/>
          <w:szCs w:val="28"/>
          <w:lang w:val="uk-UA"/>
        </w:rPr>
      </w:pPr>
      <w:r>
        <w:rPr>
          <w:rFonts w:ascii="Times New Roman" w:hAnsi="Times New Roman"/>
          <w:color w:val="000000"/>
          <w:sz w:val="28"/>
          <w:szCs w:val="28"/>
          <w:lang w:val="uk-UA"/>
        </w:rPr>
        <w:t>_________  Якубовський С.О.              __________ Якубовський С.О.</w:t>
      </w:r>
    </w:p>
    <w:p>
      <w:pPr>
        <w:pStyle w:val="Normal"/>
        <w:spacing w:lineRule="auto" w:line="240" w:before="0" w:after="0"/>
        <w:ind w:firstLine="709"/>
        <w:jc w:val="center"/>
        <w:rPr>
          <w:rFonts w:ascii="Times New Roman" w:hAnsi="Times New Roman"/>
          <w:sz w:val="28"/>
          <w:szCs w:val="28"/>
          <w:lang w:eastAsia="ru-RU"/>
        </w:rPr>
      </w:pPr>
      <w:r>
        <w:rPr>
          <w:rFonts w:ascii="Times New Roman" w:hAnsi="Times New Roman"/>
          <w:sz w:val="28"/>
          <w:szCs w:val="28"/>
          <w:lang w:eastAsia="ru-RU"/>
        </w:rPr>
      </w:r>
    </w:p>
    <w:p>
      <w:pPr>
        <w:pStyle w:val="Normal"/>
        <w:spacing w:lineRule="auto" w:line="240" w:before="0" w:after="0"/>
        <w:ind w:firstLine="709"/>
        <w:jc w:val="center"/>
        <w:rPr>
          <w:rFonts w:ascii="Times New Roman" w:hAnsi="Times New Roman"/>
          <w:sz w:val="28"/>
          <w:szCs w:val="28"/>
          <w:lang w:val="uk-UA" w:eastAsia="ru-RU"/>
        </w:rPr>
      </w:pPr>
      <w:r>
        <w:rPr>
          <w:rFonts w:ascii="Times New Roman" w:hAnsi="Times New Roman"/>
          <w:sz w:val="28"/>
          <w:szCs w:val="28"/>
          <w:lang w:val="uk-UA" w:eastAsia="ru-RU"/>
        </w:rPr>
      </w:r>
    </w:p>
    <w:p>
      <w:pPr>
        <w:pStyle w:val="Normal"/>
        <w:spacing w:lineRule="auto" w:line="240" w:before="0" w:after="0"/>
        <w:ind w:firstLine="709"/>
        <w:jc w:val="center"/>
        <w:rPr>
          <w:rFonts w:ascii="Times New Roman" w:hAnsi="Times New Roman"/>
          <w:sz w:val="28"/>
          <w:szCs w:val="28"/>
          <w:lang w:val="uk-UA" w:eastAsia="ru-RU"/>
        </w:rPr>
      </w:pPr>
      <w:r>
        <w:rPr>
          <w:rFonts w:ascii="Times New Roman" w:hAnsi="Times New Roman"/>
          <w:sz w:val="28"/>
          <w:szCs w:val="28"/>
          <w:lang w:val="uk-UA" w:eastAsia="ru-RU"/>
        </w:rPr>
      </w:r>
    </w:p>
    <w:p>
      <w:pPr>
        <w:pStyle w:val="13"/>
        <w:shd w:fill="FFFFFF" w:val="clear"/>
        <w:tabs>
          <w:tab w:val="clear" w:pos="708"/>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spacing w:lineRule="auto" w:line="360"/>
        <w:jc w:val="center"/>
        <w:rPr>
          <w:sz w:val="28"/>
          <w:szCs w:val="28"/>
          <w:lang w:val="uk-UA" w:eastAsia="ru-RU"/>
        </w:rPr>
      </w:pPr>
      <w:r>
        <w:rPr>
          <w:sz w:val="28"/>
          <w:szCs w:val="28"/>
          <w:lang w:eastAsia="ru-RU"/>
        </w:rPr>
        <w:t>Одеса – 202</w:t>
      </w:r>
      <w:r>
        <w:rPr>
          <w:sz w:val="28"/>
          <w:szCs w:val="28"/>
          <w:lang w:val="uk-UA" w:eastAsia="ru-RU"/>
        </w:rPr>
        <w:t>1</w:t>
      </w:r>
    </w:p>
    <w:p>
      <w:pPr>
        <w:pStyle w:val="Normal"/>
        <w:spacing w:lineRule="auto" w:line="360" w:before="0" w:after="0"/>
        <w:ind w:firstLine="709"/>
        <w:jc w:val="center"/>
        <w:rPr>
          <w:rFonts w:ascii="Times New Roman" w:hAnsi="Times New Roman" w:cs="Times New Roman"/>
          <w:sz w:val="28"/>
          <w:szCs w:val="28"/>
          <w:lang w:val="uk-UA"/>
        </w:rPr>
      </w:pPr>
      <w:r>
        <w:rPr>
          <w:rFonts w:eastAsia="Times New Roman" w:cs="Times New Roman" w:ascii="Times New Roman" w:hAnsi="Times New Roman"/>
          <w:b/>
          <w:sz w:val="28"/>
          <w:szCs w:val="28"/>
          <w:lang w:val="uk-UA" w:eastAsia="ru-RU"/>
        </w:rPr>
        <w:t>ЗМІСТ</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tbl>
      <w:tblPr>
        <w:tblW w:w="9854"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9321"/>
        <w:gridCol w:w="532"/>
      </w:tblGrid>
      <w:tr>
        <w:trPr/>
        <w:tc>
          <w:tcPr>
            <w:tcW w:w="9321" w:type="dxa"/>
            <w:tcBorders/>
          </w:tcPr>
          <w:p>
            <w:pPr>
              <w:pStyle w:val="Normal"/>
              <w:widowControl w:val="false"/>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ВСТУП……………………………………………………………………..……..</w:t>
            </w:r>
          </w:p>
        </w:tc>
        <w:tc>
          <w:tcPr>
            <w:tcW w:w="532" w:type="dxa"/>
            <w:tcBorders/>
            <w:vAlign w:val="bottom"/>
          </w:tcPr>
          <w:p>
            <w:pPr>
              <w:pStyle w:val="Normal"/>
              <w:widowControl w:val="false"/>
              <w:spacing w:lineRule="auto" w:line="360" w:before="0" w:after="0"/>
              <w:jc w:val="center"/>
              <w:rPr>
                <w:rFonts w:ascii="Times New Roman" w:hAnsi="Times New Roman" w:cs="Times New Roman"/>
                <w:sz w:val="28"/>
                <w:szCs w:val="28"/>
                <w:lang w:val="uk-UA"/>
              </w:rPr>
            </w:pPr>
            <w:r>
              <w:rPr>
                <w:rFonts w:cs="Times New Roman" w:ascii="Times New Roman" w:hAnsi="Times New Roman"/>
                <w:sz w:val="28"/>
                <w:szCs w:val="28"/>
                <w:lang w:val="uk-UA"/>
              </w:rPr>
              <w:t>3</w:t>
            </w:r>
          </w:p>
        </w:tc>
      </w:tr>
      <w:tr>
        <w:trPr/>
        <w:tc>
          <w:tcPr>
            <w:tcW w:w="9321" w:type="dxa"/>
            <w:tcBorders/>
          </w:tcPr>
          <w:p>
            <w:pPr>
              <w:pStyle w:val="Normal"/>
              <w:widowControl w:val="false"/>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РОЗДІЛ 1. </w:t>
            </w:r>
            <w:r>
              <w:rPr>
                <w:rFonts w:eastAsia="Times New Roman" w:cs="Times New Roman" w:ascii="Times New Roman" w:hAnsi="Times New Roman"/>
                <w:sz w:val="28"/>
                <w:szCs w:val="28"/>
                <w:lang w:val="uk-UA" w:eastAsia="ru-RU"/>
              </w:rPr>
              <w:t>ТЕОРЕТИЧНІ ОСНОВИ АНАЛІЗУ ЕКОЛОГІЧНОЇ, СОЦІАЛЬНОЇ ТА КОРПОРАТИВНОЇ ВІДПОВІДАЛЬНОСТІ (ESG)</w:t>
            </w:r>
            <w:r>
              <w:rPr>
                <w:rFonts w:cs="Times New Roman" w:ascii="Times New Roman" w:hAnsi="Times New Roman"/>
                <w:sz w:val="28"/>
                <w:szCs w:val="28"/>
                <w:lang w:val="uk-UA"/>
              </w:rPr>
              <w:t>………</w:t>
            </w:r>
          </w:p>
        </w:tc>
        <w:tc>
          <w:tcPr>
            <w:tcW w:w="532" w:type="dxa"/>
            <w:tcBorders/>
            <w:vAlign w:val="bottom"/>
          </w:tcPr>
          <w:p>
            <w:pPr>
              <w:pStyle w:val="Normal"/>
              <w:widowControl w:val="false"/>
              <w:spacing w:lineRule="auto" w:line="360" w:before="0" w:after="0"/>
              <w:jc w:val="center"/>
              <w:rPr>
                <w:rFonts w:ascii="Times New Roman" w:hAnsi="Times New Roman" w:cs="Times New Roman"/>
                <w:sz w:val="28"/>
                <w:szCs w:val="28"/>
                <w:lang w:val="uk-UA"/>
              </w:rPr>
            </w:pPr>
            <w:r>
              <w:rPr>
                <w:rFonts w:cs="Times New Roman" w:ascii="Times New Roman" w:hAnsi="Times New Roman"/>
                <w:sz w:val="28"/>
                <w:szCs w:val="28"/>
                <w:lang w:val="uk-UA"/>
              </w:rPr>
              <w:t>6</w:t>
            </w:r>
          </w:p>
        </w:tc>
      </w:tr>
      <w:tr>
        <w:trPr/>
        <w:tc>
          <w:tcPr>
            <w:tcW w:w="9321" w:type="dxa"/>
            <w:tcBorders/>
          </w:tcPr>
          <w:p>
            <w:pPr>
              <w:pStyle w:val="Normal"/>
              <w:widowControl w:val="false"/>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1.1. Розбіжності в системах оцінювання </w:t>
            </w:r>
            <w:r>
              <w:rPr>
                <w:rFonts w:eastAsia="Times New Roman" w:cs="Times New Roman" w:ascii="Times New Roman" w:hAnsi="Times New Roman"/>
                <w:sz w:val="28"/>
                <w:szCs w:val="28"/>
                <w:lang w:val="uk-UA" w:eastAsia="ru-RU"/>
              </w:rPr>
              <w:t>ESG</w:t>
            </w:r>
            <w:r>
              <w:rPr>
                <w:rFonts w:cs="Times New Roman" w:ascii="Times New Roman" w:hAnsi="Times New Roman"/>
                <w:sz w:val="28"/>
                <w:szCs w:val="28"/>
                <w:lang w:val="uk-UA"/>
              </w:rPr>
              <w:t>………………………………….</w:t>
            </w:r>
          </w:p>
        </w:tc>
        <w:tc>
          <w:tcPr>
            <w:tcW w:w="532" w:type="dxa"/>
            <w:tcBorders/>
            <w:vAlign w:val="bottom"/>
          </w:tcPr>
          <w:p>
            <w:pPr>
              <w:pStyle w:val="Normal"/>
              <w:widowControl w:val="false"/>
              <w:spacing w:lineRule="auto" w:line="360" w:before="0" w:after="0"/>
              <w:jc w:val="center"/>
              <w:rPr>
                <w:rFonts w:ascii="Times New Roman" w:hAnsi="Times New Roman" w:cs="Times New Roman"/>
                <w:sz w:val="28"/>
                <w:szCs w:val="28"/>
                <w:lang w:val="uk-UA"/>
              </w:rPr>
            </w:pPr>
            <w:r>
              <w:rPr>
                <w:rFonts w:cs="Times New Roman" w:ascii="Times New Roman" w:hAnsi="Times New Roman"/>
                <w:sz w:val="28"/>
                <w:szCs w:val="28"/>
                <w:lang w:val="uk-UA"/>
              </w:rPr>
              <w:t>6</w:t>
            </w:r>
          </w:p>
        </w:tc>
      </w:tr>
      <w:tr>
        <w:trPr/>
        <w:tc>
          <w:tcPr>
            <w:tcW w:w="9321" w:type="dxa"/>
            <w:tcBorders/>
          </w:tcPr>
          <w:p>
            <w:pPr>
              <w:pStyle w:val="Normal"/>
              <w:widowControl w:val="false"/>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1.2. Взаємозалежність </w:t>
            </w:r>
            <w:r>
              <w:rPr>
                <w:rFonts w:eastAsia="Times New Roman" w:cs="Times New Roman" w:ascii="Times New Roman" w:hAnsi="Times New Roman"/>
                <w:sz w:val="28"/>
                <w:szCs w:val="28"/>
                <w:lang w:val="uk-UA" w:eastAsia="ru-RU"/>
              </w:rPr>
              <w:t>ESG</w:t>
            </w:r>
            <w:r>
              <w:rPr>
                <w:rFonts w:cs="Times New Roman" w:ascii="Times New Roman" w:hAnsi="Times New Roman"/>
                <w:sz w:val="28"/>
                <w:szCs w:val="28"/>
                <w:lang w:val="uk-UA"/>
              </w:rPr>
              <w:t xml:space="preserve"> та прибутковості акцій</w:t>
            </w:r>
            <w:r>
              <w:rPr>
                <w:rFonts w:cs="Times New Roman" w:ascii="Times New Roman" w:hAnsi="Times New Roman"/>
                <w:spacing w:val="-1"/>
                <w:sz w:val="28"/>
                <w:szCs w:val="28"/>
                <w:shd w:fill="FFFFFF" w:val="clear"/>
                <w:lang w:val="uk-UA"/>
              </w:rPr>
              <w:t>……………………...……</w:t>
            </w:r>
          </w:p>
        </w:tc>
        <w:tc>
          <w:tcPr>
            <w:tcW w:w="532" w:type="dxa"/>
            <w:tcBorders/>
            <w:vAlign w:val="bottom"/>
          </w:tcPr>
          <w:p>
            <w:pPr>
              <w:pStyle w:val="Normal"/>
              <w:widowControl w:val="false"/>
              <w:spacing w:lineRule="auto" w:line="360" w:before="0" w:after="0"/>
              <w:jc w:val="center"/>
              <w:rPr>
                <w:rFonts w:ascii="Times New Roman" w:hAnsi="Times New Roman" w:cs="Times New Roman"/>
                <w:sz w:val="28"/>
                <w:szCs w:val="28"/>
                <w:lang w:val="uk-UA"/>
              </w:rPr>
            </w:pPr>
            <w:r>
              <w:rPr>
                <w:rFonts w:cs="Times New Roman" w:ascii="Times New Roman" w:hAnsi="Times New Roman"/>
                <w:sz w:val="28"/>
                <w:szCs w:val="28"/>
                <w:lang w:val="uk-UA"/>
              </w:rPr>
              <w:t>14</w:t>
            </w:r>
          </w:p>
        </w:tc>
      </w:tr>
      <w:tr>
        <w:trPr/>
        <w:tc>
          <w:tcPr>
            <w:tcW w:w="9321" w:type="dxa"/>
            <w:tcBorders/>
          </w:tcPr>
          <w:p>
            <w:pPr>
              <w:pStyle w:val="Normal"/>
              <w:widowControl w:val="false"/>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РОЗДІЛ 2. </w:t>
            </w:r>
            <w:r>
              <w:rPr>
                <w:rFonts w:eastAsia="Times New Roman" w:cs="Times New Roman" w:ascii="Times New Roman" w:hAnsi="Times New Roman"/>
                <w:sz w:val="28"/>
                <w:szCs w:val="28"/>
                <w:lang w:val="uk-UA" w:eastAsia="ru-RU"/>
              </w:rPr>
              <w:t xml:space="preserve">ДОСЛІДЖЕННЯ ВПЛИВУ ESG НА ПРИБУТКОВІСТЬ АКЦІЙ СВІТОВИХ КОРПОРАЦІЙ </w:t>
            </w:r>
            <w:r>
              <w:rPr>
                <w:rFonts w:cs="Times New Roman" w:ascii="Times New Roman" w:hAnsi="Times New Roman"/>
                <w:sz w:val="28"/>
                <w:szCs w:val="28"/>
                <w:lang w:val="uk-UA"/>
              </w:rPr>
              <w:t>…………………………………………………….</w:t>
            </w:r>
          </w:p>
        </w:tc>
        <w:tc>
          <w:tcPr>
            <w:tcW w:w="532" w:type="dxa"/>
            <w:tcBorders/>
            <w:vAlign w:val="bottom"/>
          </w:tcPr>
          <w:p>
            <w:pPr>
              <w:pStyle w:val="Normal"/>
              <w:widowControl w:val="false"/>
              <w:spacing w:lineRule="auto" w:line="360" w:before="0" w:after="0"/>
              <w:jc w:val="center"/>
              <w:rPr>
                <w:rFonts w:ascii="Times New Roman" w:hAnsi="Times New Roman" w:cs="Times New Roman"/>
                <w:sz w:val="28"/>
                <w:szCs w:val="28"/>
                <w:lang w:val="uk-UA"/>
              </w:rPr>
            </w:pPr>
            <w:r>
              <w:rPr>
                <w:rFonts w:cs="Times New Roman" w:ascii="Times New Roman" w:hAnsi="Times New Roman"/>
                <w:sz w:val="28"/>
                <w:szCs w:val="28"/>
                <w:lang w:val="uk-UA"/>
              </w:rPr>
              <w:t>20</w:t>
            </w:r>
          </w:p>
        </w:tc>
      </w:tr>
      <w:tr>
        <w:trPr/>
        <w:tc>
          <w:tcPr>
            <w:tcW w:w="9321" w:type="dxa"/>
            <w:tcBorders/>
          </w:tcPr>
          <w:p>
            <w:pPr>
              <w:pStyle w:val="Normal"/>
              <w:widowControl w:val="false"/>
              <w:spacing w:lineRule="auto" w:line="360" w:before="0" w:after="0"/>
              <w:jc w:val="both"/>
              <w:rPr>
                <w:rFonts w:ascii="Times New Roman" w:hAnsi="Times New Roman" w:cs="Times New Roman"/>
                <w:sz w:val="28"/>
                <w:szCs w:val="28"/>
              </w:rPr>
            </w:pPr>
            <w:r>
              <w:rPr>
                <w:rFonts w:cs="Times New Roman" w:ascii="Times New Roman" w:hAnsi="Times New Roman"/>
                <w:sz w:val="28"/>
                <w:szCs w:val="28"/>
                <w:lang w:val="uk-UA"/>
              </w:rPr>
              <w:t xml:space="preserve">2.1. </w:t>
            </w:r>
            <w:r>
              <w:rPr>
                <w:rFonts w:eastAsia="Times New Roman" w:cs="Times New Roman" w:ascii="Times New Roman" w:hAnsi="Times New Roman"/>
                <w:sz w:val="28"/>
                <w:szCs w:val="28"/>
                <w:lang w:val="uk-UA" w:eastAsia="ru-RU"/>
              </w:rPr>
              <w:t xml:space="preserve">Аналіз впливу </w:t>
            </w:r>
            <w:r>
              <w:rPr>
                <w:rFonts w:eastAsia="Times New Roman" w:cs="Times New Roman" w:ascii="Times New Roman" w:hAnsi="Times New Roman"/>
                <w:sz w:val="28"/>
                <w:szCs w:val="28"/>
                <w:lang w:val="en-US" w:eastAsia="ru-RU"/>
              </w:rPr>
              <w:t>ESG</w:t>
            </w: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sz w:val="28"/>
                <w:szCs w:val="28"/>
                <w:lang w:val="uk-UA" w:eastAsia="ru-RU"/>
              </w:rPr>
              <w:t>на прибутковість акцій на світовому рівні………</w:t>
            </w:r>
            <w:r>
              <w:rPr>
                <w:rFonts w:eastAsia="Times New Roman" w:cs="Times New Roman" w:ascii="Times New Roman" w:hAnsi="Times New Roman"/>
                <w:sz w:val="28"/>
                <w:szCs w:val="28"/>
                <w:lang w:eastAsia="ru-RU"/>
              </w:rPr>
              <w:t>….</w:t>
            </w:r>
          </w:p>
        </w:tc>
        <w:tc>
          <w:tcPr>
            <w:tcW w:w="532" w:type="dxa"/>
            <w:tcBorders/>
            <w:vAlign w:val="bottom"/>
          </w:tcPr>
          <w:p>
            <w:pPr>
              <w:pStyle w:val="Normal"/>
              <w:widowControl w:val="false"/>
              <w:spacing w:lineRule="auto" w:line="360" w:before="0" w:after="0"/>
              <w:jc w:val="center"/>
              <w:rPr>
                <w:rFonts w:ascii="Times New Roman" w:hAnsi="Times New Roman" w:cs="Times New Roman"/>
                <w:sz w:val="28"/>
                <w:szCs w:val="28"/>
                <w:lang w:val="uk-UA"/>
              </w:rPr>
            </w:pPr>
            <w:r>
              <w:rPr>
                <w:rFonts w:cs="Times New Roman" w:ascii="Times New Roman" w:hAnsi="Times New Roman"/>
                <w:sz w:val="28"/>
                <w:szCs w:val="28"/>
                <w:lang w:val="uk-UA"/>
              </w:rPr>
              <w:t>20</w:t>
            </w:r>
          </w:p>
        </w:tc>
      </w:tr>
      <w:tr>
        <w:trPr/>
        <w:tc>
          <w:tcPr>
            <w:tcW w:w="9321" w:type="dxa"/>
            <w:tcBorders/>
          </w:tcPr>
          <w:p>
            <w:pPr>
              <w:pStyle w:val="Normal"/>
              <w:widowControl w:val="false"/>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2.2. </w:t>
            </w:r>
            <w:r>
              <w:rPr>
                <w:rFonts w:eastAsia="Times New Roman" w:cs="Times New Roman" w:ascii="Times New Roman" w:hAnsi="Times New Roman"/>
                <w:sz w:val="28"/>
                <w:szCs w:val="28"/>
                <w:lang w:val="uk-UA" w:eastAsia="ru-RU"/>
              </w:rPr>
              <w:t xml:space="preserve">Порівняльний аналіз впливу </w:t>
            </w:r>
            <w:r>
              <w:rPr>
                <w:rFonts w:eastAsia="Times New Roman" w:cs="Times New Roman" w:ascii="Times New Roman" w:hAnsi="Times New Roman"/>
                <w:sz w:val="28"/>
                <w:szCs w:val="28"/>
                <w:lang w:val="en-US" w:eastAsia="ru-RU"/>
              </w:rPr>
              <w:t>ESG</w:t>
            </w:r>
            <w:r>
              <w:rPr>
                <w:rFonts w:eastAsia="Times New Roman" w:cs="Times New Roman" w:ascii="Times New Roman" w:hAnsi="Times New Roman"/>
                <w:sz w:val="28"/>
                <w:szCs w:val="28"/>
                <w:lang w:val="uk-UA" w:eastAsia="ru-RU"/>
              </w:rPr>
              <w:t xml:space="preserve"> на прибутковість акцій в різних регіонах світу</w:t>
            </w:r>
            <w:r>
              <w:rPr>
                <w:rFonts w:cs="Times New Roman" w:ascii="Times New Roman" w:hAnsi="Times New Roman"/>
                <w:sz w:val="28"/>
                <w:szCs w:val="28"/>
              </w:rPr>
              <w:t>……………………………………………………………………</w:t>
            </w:r>
            <w:r>
              <w:rPr>
                <w:rFonts w:cs="Times New Roman" w:ascii="Times New Roman" w:hAnsi="Times New Roman"/>
                <w:sz w:val="28"/>
                <w:szCs w:val="28"/>
                <w:lang w:val="uk-UA"/>
              </w:rPr>
              <w:t>..</w:t>
            </w:r>
          </w:p>
        </w:tc>
        <w:tc>
          <w:tcPr>
            <w:tcW w:w="532" w:type="dxa"/>
            <w:tcBorders/>
            <w:vAlign w:val="bottom"/>
          </w:tcPr>
          <w:p>
            <w:pPr>
              <w:pStyle w:val="Normal"/>
              <w:widowControl w:val="false"/>
              <w:spacing w:lineRule="auto" w:line="360" w:before="0" w:after="0"/>
              <w:jc w:val="center"/>
              <w:rPr>
                <w:rFonts w:ascii="Times New Roman" w:hAnsi="Times New Roman" w:cs="Times New Roman"/>
                <w:sz w:val="28"/>
                <w:szCs w:val="28"/>
                <w:lang w:val="uk-UA"/>
              </w:rPr>
            </w:pPr>
            <w:r>
              <w:rPr>
                <w:rFonts w:cs="Times New Roman" w:ascii="Times New Roman" w:hAnsi="Times New Roman"/>
                <w:sz w:val="28"/>
                <w:szCs w:val="28"/>
                <w:lang w:val="uk-UA"/>
              </w:rPr>
              <w:t>28</w:t>
            </w:r>
          </w:p>
        </w:tc>
      </w:tr>
      <w:tr>
        <w:trPr/>
        <w:tc>
          <w:tcPr>
            <w:tcW w:w="9321" w:type="dxa"/>
            <w:tcBorders/>
          </w:tcPr>
          <w:p>
            <w:pPr>
              <w:pStyle w:val="Normal"/>
              <w:widowControl w:val="false"/>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РОЗДІЛ 3.</w:t>
            </w:r>
            <w:r>
              <w:rPr>
                <w:rFonts w:eastAsia="Times New Roman" w:cs="Times New Roman" w:ascii="Times New Roman" w:hAnsi="Times New Roman"/>
                <w:sz w:val="28"/>
                <w:szCs w:val="28"/>
                <w:lang w:val="uk-UA" w:eastAsia="ru-RU"/>
              </w:rPr>
              <w:t xml:space="preserve"> АНАЛІЗ РІВНЯ ESG В УКРАЇНСЬКИХ КОМПАНІЯХ</w:t>
            </w:r>
            <w:r>
              <w:rPr>
                <w:rFonts w:cs="Times New Roman" w:ascii="Times New Roman" w:hAnsi="Times New Roman"/>
                <w:sz w:val="28"/>
                <w:szCs w:val="28"/>
                <w:lang w:val="uk-UA"/>
              </w:rPr>
              <w:t>................</w:t>
            </w:r>
          </w:p>
        </w:tc>
        <w:tc>
          <w:tcPr>
            <w:tcW w:w="532" w:type="dxa"/>
            <w:tcBorders/>
            <w:vAlign w:val="bottom"/>
          </w:tcPr>
          <w:p>
            <w:pPr>
              <w:pStyle w:val="Normal"/>
              <w:widowControl w:val="false"/>
              <w:spacing w:lineRule="auto" w:line="360" w:before="0" w:after="0"/>
              <w:jc w:val="center"/>
              <w:rPr>
                <w:rFonts w:ascii="Times New Roman" w:hAnsi="Times New Roman" w:cs="Times New Roman"/>
                <w:sz w:val="28"/>
                <w:szCs w:val="28"/>
                <w:lang w:val="uk-UA"/>
              </w:rPr>
            </w:pPr>
            <w:r>
              <w:rPr>
                <w:rFonts w:cs="Times New Roman" w:ascii="Times New Roman" w:hAnsi="Times New Roman"/>
                <w:sz w:val="28"/>
                <w:szCs w:val="28"/>
                <w:lang w:val="uk-UA"/>
              </w:rPr>
              <w:t>41</w:t>
            </w:r>
          </w:p>
        </w:tc>
      </w:tr>
      <w:tr>
        <w:trPr/>
        <w:tc>
          <w:tcPr>
            <w:tcW w:w="9321" w:type="dxa"/>
            <w:tcBorders/>
          </w:tcPr>
          <w:p>
            <w:pPr>
              <w:pStyle w:val="Normal"/>
              <w:widowControl w:val="false"/>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ВИСНОВКИ……………………………………………………………………...</w:t>
            </w:r>
          </w:p>
        </w:tc>
        <w:tc>
          <w:tcPr>
            <w:tcW w:w="532" w:type="dxa"/>
            <w:tcBorders/>
            <w:vAlign w:val="bottom"/>
          </w:tcPr>
          <w:p>
            <w:pPr>
              <w:pStyle w:val="Normal"/>
              <w:widowControl w:val="false"/>
              <w:spacing w:lineRule="auto" w:line="360" w:before="0" w:after="0"/>
              <w:jc w:val="center"/>
              <w:rPr>
                <w:rFonts w:ascii="Times New Roman" w:hAnsi="Times New Roman" w:cs="Times New Roman"/>
                <w:sz w:val="28"/>
                <w:szCs w:val="28"/>
                <w:lang w:val="uk-UA"/>
              </w:rPr>
            </w:pPr>
            <w:r>
              <w:rPr>
                <w:rFonts w:cs="Times New Roman" w:ascii="Times New Roman" w:hAnsi="Times New Roman"/>
                <w:sz w:val="28"/>
                <w:szCs w:val="28"/>
                <w:lang w:val="uk-UA"/>
              </w:rPr>
              <w:t>46</w:t>
            </w:r>
          </w:p>
        </w:tc>
      </w:tr>
      <w:tr>
        <w:trPr/>
        <w:tc>
          <w:tcPr>
            <w:tcW w:w="9321" w:type="dxa"/>
            <w:tcBorders/>
          </w:tcPr>
          <w:p>
            <w:pPr>
              <w:pStyle w:val="Normal"/>
              <w:widowControl w:val="false"/>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СПИСОК ВИКОРИСТАНИХ ДЖЕРЕЛ………………………………………..</w:t>
            </w:r>
          </w:p>
        </w:tc>
        <w:tc>
          <w:tcPr>
            <w:tcW w:w="532" w:type="dxa"/>
            <w:tcBorders/>
            <w:vAlign w:val="bottom"/>
          </w:tcPr>
          <w:p>
            <w:pPr>
              <w:pStyle w:val="Normal"/>
              <w:widowControl w:val="false"/>
              <w:spacing w:lineRule="auto" w:line="360" w:before="0" w:after="0"/>
              <w:jc w:val="center"/>
              <w:rPr>
                <w:rFonts w:ascii="Times New Roman" w:hAnsi="Times New Roman" w:cs="Times New Roman"/>
                <w:sz w:val="28"/>
                <w:szCs w:val="28"/>
                <w:lang w:val="uk-UA"/>
              </w:rPr>
            </w:pPr>
            <w:r>
              <w:rPr>
                <w:rFonts w:cs="Times New Roman" w:ascii="Times New Roman" w:hAnsi="Times New Roman"/>
                <w:sz w:val="28"/>
                <w:szCs w:val="28"/>
                <w:lang w:val="uk-UA"/>
              </w:rPr>
              <w:t>49</w:t>
            </w:r>
          </w:p>
        </w:tc>
      </w:tr>
      <w:tr>
        <w:trPr/>
        <w:tc>
          <w:tcPr>
            <w:tcW w:w="9321" w:type="dxa"/>
            <w:tcBorders/>
          </w:tcPr>
          <w:p>
            <w:pPr>
              <w:pStyle w:val="Normal"/>
              <w:widowControl w:val="false"/>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ДОДАТКИ………………………………………………………………………..</w:t>
            </w:r>
          </w:p>
        </w:tc>
        <w:tc>
          <w:tcPr>
            <w:tcW w:w="532" w:type="dxa"/>
            <w:tcBorders/>
            <w:vAlign w:val="bottom"/>
          </w:tcPr>
          <w:p>
            <w:pPr>
              <w:pStyle w:val="Normal"/>
              <w:widowControl w:val="false"/>
              <w:spacing w:lineRule="auto" w:line="360" w:before="0" w:after="0"/>
              <w:jc w:val="center"/>
              <w:rPr>
                <w:rFonts w:ascii="Times New Roman" w:hAnsi="Times New Roman" w:cs="Times New Roman"/>
                <w:sz w:val="28"/>
                <w:szCs w:val="28"/>
                <w:lang w:val="uk-UA"/>
              </w:rPr>
            </w:pPr>
            <w:r>
              <w:rPr>
                <w:rFonts w:cs="Times New Roman" w:ascii="Times New Roman" w:hAnsi="Times New Roman"/>
                <w:sz w:val="28"/>
                <w:szCs w:val="28"/>
                <w:lang w:val="uk-UA"/>
              </w:rPr>
              <w:t>56</w:t>
            </w:r>
          </w:p>
        </w:tc>
      </w:tr>
    </w:tbl>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1" w:hanging="0"/>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1" w:hanging="0"/>
        <w:rPr>
          <w:rFonts w:ascii="Times New Roman" w:hAnsi="Times New Roman" w:cs="Times New Roman"/>
          <w:sz w:val="28"/>
          <w:szCs w:val="28"/>
          <w:lang w:val="uk-UA"/>
        </w:rPr>
      </w:pPr>
      <w:r>
        <w:rPr>
          <w:rFonts w:cs="Times New Roman" w:ascii="Times New Roman" w:hAnsi="Times New Roman"/>
          <w:sz w:val="28"/>
          <w:szCs w:val="28"/>
          <w:lang w:val="uk-UA"/>
        </w:rPr>
      </w:r>
      <w:r>
        <w:br w:type="page"/>
      </w:r>
    </w:p>
    <w:p>
      <w:pPr>
        <w:pStyle w:val="Normal"/>
        <w:spacing w:lineRule="auto" w:line="360" w:before="0" w:after="0"/>
        <w:ind w:right="-1" w:hanging="0"/>
        <w:jc w:val="center"/>
        <w:rPr>
          <w:rFonts w:ascii="Times New Roman" w:hAnsi="Times New Roman" w:cs="Times New Roman"/>
          <w:b/>
          <w:b/>
          <w:caps/>
          <w:sz w:val="28"/>
          <w:szCs w:val="28"/>
          <w:lang w:val="uk-UA"/>
        </w:rPr>
      </w:pPr>
      <w:r>
        <w:rPr>
          <w:rFonts w:cs="Times New Roman" w:ascii="Times New Roman" w:hAnsi="Times New Roman"/>
          <w:b/>
          <w:caps/>
          <w:sz w:val="28"/>
          <w:szCs w:val="28"/>
          <w:lang w:val="uk-UA"/>
        </w:rPr>
        <w:t>ВСТУП</w:t>
      </w:r>
    </w:p>
    <w:p>
      <w:pPr>
        <w:pStyle w:val="Normal"/>
        <w:spacing w:lineRule="auto" w:line="360" w:before="0" w:after="0"/>
        <w:ind w:firstLine="851"/>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567"/>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В останні десятиліття у світі спостерігається експонентний ріст числа компаній, що вимірюють і оприлюднюють екологічні (наприклад, викиди вуглецю, споживання води, утворення відходів тощо), соціальні (наприклад, пов'язані з співробітниками, продуктами, клієнтами тощо) і управлінські (наприклад, боротьба з корупцією, різноманітність рад директорів тощо) дані, які в сукупності формують </w:t>
      </w:r>
      <w:r>
        <w:rPr>
          <w:rFonts w:cs="Times New Roman" w:ascii="Times New Roman" w:hAnsi="Times New Roman"/>
          <w:bCs/>
          <w:sz w:val="28"/>
          <w:szCs w:val="28"/>
          <w:lang w:val="uk-UA"/>
        </w:rPr>
        <w:t>екологічну, соціальну та корпоративну відповідальність, або ESG</w:t>
      </w:r>
      <w:r>
        <w:rPr>
          <w:rFonts w:cs="Times New Roman" w:ascii="Times New Roman" w:hAnsi="Times New Roman"/>
          <w:sz w:val="28"/>
          <w:szCs w:val="28"/>
          <w:lang w:val="uk-UA"/>
        </w:rPr>
        <w:t xml:space="preserve">. </w:t>
      </w:r>
    </w:p>
    <w:p>
      <w:pPr>
        <w:pStyle w:val="Normal"/>
        <w:spacing w:lineRule="auto" w:line="360" w:before="0" w:after="0"/>
        <w:ind w:firstLine="567"/>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Прийняття корпораціями практики і політики, які покликані зробити позитивний вплив на світ </w:t>
      </w:r>
      <w:r>
        <w:rPr>
          <w:rFonts w:eastAsia="Symbol" w:cs="Symbol" w:ascii="Symbol" w:hAnsi="Symbol"/>
          <w:sz w:val="28"/>
          <w:szCs w:val="28"/>
          <w:lang w:val="uk-UA"/>
        </w:rPr>
        <w:t></w:t>
      </w:r>
      <w:r>
        <w:rPr>
          <w:rFonts w:cs="Times New Roman" w:ascii="Times New Roman" w:hAnsi="Times New Roman"/>
          <w:sz w:val="28"/>
          <w:szCs w:val="28"/>
          <w:lang w:val="uk-UA"/>
        </w:rPr>
        <w:t xml:space="preserve"> спільний генезис двох здавалося б тотожних явищ: корпоративної соціальної відповідальності (КСВ) та екологічних, соціальних і управлінських стандартів (ESG). Якщо КСВ забезпечує, щоб дії компанії надавали позитивний вплив на навколишнє середовище, споживачів, співробітників, спільноти та громадську сферу, то ESG виводить КСВ зі сфери чистої філантропії до конкретного набору цифр. Абревіатура ESG відноситься до трьох показників, які використовуються соціально свідомими інвесторами для визначення та кількісної оцінки показників стійкості компанії та впливу на суспільство з використанням тих показників, які важливі для інвесторів. Такі свідомі інвестори вважають важливим враховувати свої цінності з оглядом на глобальні проблеми при виборі інвестицій, а не тільки спиратися на потенційну прибутковість та/або ризик, пов'язані з інвестиційною можливістю.</w:t>
      </w:r>
    </w:p>
    <w:p>
      <w:pPr>
        <w:pStyle w:val="Normal"/>
        <w:spacing w:lineRule="auto" w:line="360" w:before="0" w:after="0"/>
        <w:ind w:firstLine="567"/>
        <w:contextualSpacing/>
        <w:jc w:val="both"/>
        <w:rPr>
          <w:rFonts w:ascii="Times New Roman" w:hAnsi="Times New Roman" w:cs="Times New Roman"/>
          <w:bCs/>
          <w:sz w:val="28"/>
          <w:szCs w:val="28"/>
          <w:lang w:val="uk-UA"/>
        </w:rPr>
      </w:pPr>
      <w:r>
        <w:rPr>
          <w:rFonts w:cs="Times New Roman" w:ascii="Times New Roman" w:hAnsi="Times New Roman"/>
          <w:b/>
          <w:sz w:val="28"/>
          <w:szCs w:val="28"/>
          <w:lang w:val="uk-UA"/>
        </w:rPr>
        <w:t>Мета роботи:</w:t>
      </w:r>
      <w:r>
        <w:rPr>
          <w:rFonts w:cs="Times New Roman" w:ascii="Times New Roman" w:hAnsi="Times New Roman"/>
          <w:sz w:val="28"/>
          <w:szCs w:val="28"/>
          <w:lang w:val="uk-UA"/>
        </w:rPr>
        <w:t xml:space="preserve"> </w:t>
      </w:r>
      <w:r>
        <w:rPr>
          <w:rFonts w:cs="Times New Roman" w:ascii="Times New Roman" w:hAnsi="Times New Roman"/>
          <w:bCs/>
          <w:sz w:val="28"/>
          <w:szCs w:val="28"/>
          <w:lang w:val="uk-UA"/>
        </w:rPr>
        <w:t>визначити вплив факторів екологічної, соціальної та корпоративної відповідальності на прибутковість акцій.</w:t>
      </w:r>
    </w:p>
    <w:p>
      <w:pPr>
        <w:pStyle w:val="Normal"/>
        <w:spacing w:lineRule="auto" w:line="360" w:before="0" w:after="0"/>
        <w:ind w:firstLine="567"/>
        <w:contextualSpacing/>
        <w:jc w:val="both"/>
        <w:rPr>
          <w:rFonts w:ascii="Times New Roman" w:hAnsi="Times New Roman" w:cs="Times New Roman"/>
          <w:bCs/>
          <w:sz w:val="28"/>
          <w:szCs w:val="28"/>
          <w:lang w:val="uk-UA"/>
        </w:rPr>
      </w:pPr>
      <w:r>
        <w:rPr>
          <w:rFonts w:cs="Times New Roman" w:ascii="Times New Roman" w:hAnsi="Times New Roman"/>
          <w:sz w:val="28"/>
          <w:szCs w:val="28"/>
          <w:lang w:val="uk-UA"/>
        </w:rPr>
        <w:t xml:space="preserve">Для досягнення поставленої мети в роботі вирішені наступні </w:t>
      </w:r>
      <w:r>
        <w:rPr>
          <w:rFonts w:cs="Times New Roman" w:ascii="Times New Roman" w:hAnsi="Times New Roman"/>
          <w:b/>
          <w:sz w:val="28"/>
          <w:szCs w:val="28"/>
          <w:lang w:val="uk-UA"/>
        </w:rPr>
        <w:t>завдання</w:t>
      </w:r>
      <w:r>
        <w:rPr>
          <w:rFonts w:cs="Times New Roman" w:ascii="Times New Roman" w:hAnsi="Times New Roman"/>
          <w:sz w:val="28"/>
          <w:szCs w:val="28"/>
          <w:lang w:val="uk-UA"/>
        </w:rPr>
        <w:t>:</w:t>
      </w:r>
    </w:p>
    <w:p>
      <w:pPr>
        <w:pStyle w:val="ListParagraph"/>
        <w:numPr>
          <w:ilvl w:val="0"/>
          <w:numId w:val="4"/>
        </w:numPr>
        <w:spacing w:lineRule="auto" w:line="360" w:before="0" w:after="0"/>
        <w:contextualSpacing/>
        <w:jc w:val="both"/>
        <w:rPr>
          <w:rFonts w:ascii="Times New Roman" w:hAnsi="Times New Roman" w:cs="Times New Roman"/>
          <w:bCs/>
          <w:sz w:val="28"/>
          <w:szCs w:val="28"/>
          <w:lang w:val="uk-UA"/>
        </w:rPr>
      </w:pPr>
      <w:r>
        <w:rPr>
          <w:rFonts w:eastAsia="Times New Roman" w:cs="Times New Roman" w:ascii="Times New Roman" w:hAnsi="Times New Roman"/>
          <w:sz w:val="28"/>
          <w:szCs w:val="28"/>
          <w:lang w:val="uk-UA" w:eastAsia="ru-RU"/>
        </w:rPr>
        <w:t>Розглянути теоретичні основи аналізу екологічної, соціальної та корпоративної відповідальності (ESG);</w:t>
      </w:r>
    </w:p>
    <w:p>
      <w:pPr>
        <w:pStyle w:val="ListParagraph"/>
        <w:numPr>
          <w:ilvl w:val="0"/>
          <w:numId w:val="4"/>
        </w:numPr>
        <w:spacing w:lineRule="auto" w:line="360" w:before="0" w:after="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Виявити розбіжності в системах оцінювання ESG;</w:t>
      </w:r>
    </w:p>
    <w:p>
      <w:pPr>
        <w:pStyle w:val="ListParagraph"/>
        <w:numPr>
          <w:ilvl w:val="0"/>
          <w:numId w:val="4"/>
        </w:numPr>
        <w:spacing w:lineRule="auto" w:line="360" w:before="0" w:after="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Прослідити взаємозалежність ESG та прибутковості акцій;</w:t>
      </w:r>
    </w:p>
    <w:p>
      <w:pPr>
        <w:pStyle w:val="ListParagraph"/>
        <w:numPr>
          <w:ilvl w:val="0"/>
          <w:numId w:val="4"/>
        </w:numPr>
        <w:spacing w:lineRule="auto" w:line="360" w:before="0" w:after="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Дослідити вплив ESG на прибутковість акцій світових корпорацій;</w:t>
      </w:r>
    </w:p>
    <w:p>
      <w:pPr>
        <w:pStyle w:val="ListParagraph"/>
        <w:numPr>
          <w:ilvl w:val="0"/>
          <w:numId w:val="4"/>
        </w:numPr>
        <w:spacing w:lineRule="auto" w:line="360" w:before="0" w:after="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Проаналізувати вплив ESG на прибутковість акцій на світовому рівні;</w:t>
      </w:r>
    </w:p>
    <w:p>
      <w:pPr>
        <w:pStyle w:val="ListParagraph"/>
        <w:numPr>
          <w:ilvl w:val="0"/>
          <w:numId w:val="4"/>
        </w:numPr>
        <w:spacing w:lineRule="auto" w:line="360" w:before="0" w:after="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Провести порівняльний аналіз впливу ESG на прибутковість акцій в різних регіонах світу;</w:t>
      </w:r>
    </w:p>
    <w:p>
      <w:pPr>
        <w:pStyle w:val="ListParagraph"/>
        <w:numPr>
          <w:ilvl w:val="0"/>
          <w:numId w:val="4"/>
        </w:numPr>
        <w:spacing w:lineRule="auto" w:line="360" w:before="0" w:after="0"/>
        <w:contextualSpacing/>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Дослідити рівень ESG в українських компаніях.</w:t>
      </w:r>
    </w:p>
    <w:p>
      <w:pPr>
        <w:pStyle w:val="Normal"/>
        <w:spacing w:lineRule="auto" w:line="360" w:before="0" w:after="0"/>
        <w:ind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b/>
          <w:color w:val="000000" w:themeColor="text1"/>
          <w:sz w:val="28"/>
          <w:szCs w:val="28"/>
          <w:lang w:val="uk-UA"/>
        </w:rPr>
        <w:t>Об'єкт дослідження</w:t>
      </w:r>
      <w:r>
        <w:rPr>
          <w:rFonts w:cs="Times New Roman" w:ascii="Times New Roman" w:hAnsi="Times New Roman"/>
          <w:color w:val="000000" w:themeColor="text1"/>
          <w:sz w:val="28"/>
          <w:szCs w:val="28"/>
          <w:lang w:val="uk-UA"/>
        </w:rPr>
        <w:t xml:space="preserve">: </w:t>
      </w:r>
      <w:r>
        <w:rPr>
          <w:rFonts w:cs="Times New Roman" w:ascii="Times New Roman" w:hAnsi="Times New Roman"/>
          <w:bCs/>
          <w:sz w:val="28"/>
          <w:szCs w:val="28"/>
          <w:lang w:val="uk-UA"/>
        </w:rPr>
        <w:t>екологічна, соціальна та корпоративна відповідальності</w:t>
      </w:r>
      <w:r>
        <w:rPr>
          <w:rFonts w:cs="Times New Roman" w:ascii="Times New Roman" w:hAnsi="Times New Roman"/>
          <w:color w:val="000000" w:themeColor="text1"/>
          <w:sz w:val="28"/>
          <w:szCs w:val="28"/>
          <w:lang w:val="uk-UA"/>
        </w:rPr>
        <w:t xml:space="preserve"> світових корпорацій.</w:t>
      </w:r>
    </w:p>
    <w:p>
      <w:pPr>
        <w:pStyle w:val="Normal"/>
        <w:spacing w:lineRule="auto" w:line="360" w:before="0" w:after="0"/>
        <w:ind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b/>
          <w:color w:val="000000" w:themeColor="text1"/>
          <w:sz w:val="28"/>
          <w:szCs w:val="28"/>
          <w:lang w:val="uk-UA"/>
        </w:rPr>
        <w:t>Предмет дослідження</w:t>
      </w:r>
      <w:r>
        <w:rPr>
          <w:rFonts w:cs="Times New Roman" w:ascii="Times New Roman" w:hAnsi="Times New Roman"/>
          <w:color w:val="000000" w:themeColor="text1"/>
          <w:sz w:val="28"/>
          <w:szCs w:val="28"/>
          <w:lang w:val="uk-UA"/>
        </w:rPr>
        <w:t xml:space="preserve">: вплив </w:t>
      </w:r>
      <w:r>
        <w:rPr>
          <w:rFonts w:cs="Times New Roman" w:ascii="Times New Roman" w:hAnsi="Times New Roman"/>
          <w:bCs/>
          <w:sz w:val="28"/>
          <w:szCs w:val="28"/>
          <w:lang w:val="uk-UA"/>
        </w:rPr>
        <w:t>екологічної, соціальної та корпоративної відповідальності на прибутковість акцій</w:t>
      </w:r>
      <w:r>
        <w:rPr>
          <w:rFonts w:cs="Times New Roman" w:ascii="Times New Roman" w:hAnsi="Times New Roman"/>
          <w:color w:val="000000" w:themeColor="text1"/>
          <w:sz w:val="28"/>
          <w:szCs w:val="28"/>
          <w:lang w:val="uk-UA"/>
        </w:rPr>
        <w:t>.</w:t>
      </w:r>
    </w:p>
    <w:p>
      <w:pPr>
        <w:pStyle w:val="Normal"/>
        <w:spacing w:lineRule="auto" w:line="360" w:before="0" w:after="0"/>
        <w:ind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Магістерська робота складається зі вступу, трьох розділів, висновків, списку використаної літератури та додатків.</w:t>
      </w:r>
    </w:p>
    <w:p>
      <w:pPr>
        <w:pStyle w:val="Normal"/>
        <w:spacing w:lineRule="auto" w:line="360" w:before="0" w:after="0"/>
        <w:ind w:firstLine="709"/>
        <w:contextualSpacing/>
        <w:jc w:val="both"/>
        <w:rPr>
          <w:rFonts w:ascii="Times New Roman" w:hAnsi="Times New Roman" w:cs="Times New Roman"/>
          <w:sz w:val="28"/>
          <w:szCs w:val="28"/>
          <w:lang w:val="uk-UA"/>
        </w:rPr>
      </w:pPr>
      <w:r>
        <w:rPr>
          <w:rFonts w:cs="Times New Roman" w:ascii="Times New Roman" w:hAnsi="Times New Roman"/>
          <w:color w:val="000000" w:themeColor="text1"/>
          <w:sz w:val="28"/>
          <w:szCs w:val="28"/>
          <w:lang w:val="uk-UA"/>
        </w:rPr>
        <w:t xml:space="preserve">У першому розділі розглянуті </w:t>
      </w:r>
      <w:r>
        <w:rPr>
          <w:rFonts w:cs="Times New Roman" w:ascii="Times New Roman" w:hAnsi="Times New Roman"/>
          <w:sz w:val="28"/>
          <w:szCs w:val="28"/>
          <w:lang w:val="uk-UA"/>
        </w:rPr>
        <w:t xml:space="preserve">теоретичні </w:t>
      </w:r>
      <w:r>
        <w:rPr>
          <w:rFonts w:eastAsia="Times New Roman" w:cs="Times New Roman" w:ascii="Times New Roman" w:hAnsi="Times New Roman"/>
          <w:sz w:val="28"/>
          <w:szCs w:val="28"/>
          <w:lang w:val="uk-UA" w:eastAsia="ru-RU"/>
        </w:rPr>
        <w:t>основи аналізу екологічної, соціальної та корпоративної відповідальності, а саме розбіжності в системах оцінювання ESG та взаємозалежність ESG і прибутковості акцій</w:t>
      </w:r>
      <w:r>
        <w:rPr>
          <w:rFonts w:cs="Times New Roman" w:ascii="Times New Roman" w:hAnsi="Times New Roman"/>
          <w:sz w:val="28"/>
          <w:szCs w:val="28"/>
          <w:lang w:val="uk-UA"/>
        </w:rPr>
        <w:t xml:space="preserve">. </w:t>
      </w:r>
      <w:r>
        <w:rPr>
          <w:rFonts w:cs="Times New Roman" w:ascii="Times New Roman" w:hAnsi="Times New Roman"/>
          <w:color w:val="000000" w:themeColor="text1"/>
          <w:sz w:val="28"/>
          <w:szCs w:val="28"/>
          <w:lang w:val="uk-UA"/>
        </w:rPr>
        <w:t xml:space="preserve">Другий розділ присвячений </w:t>
      </w:r>
      <w:r>
        <w:rPr>
          <w:rFonts w:eastAsia="Times New Roman" w:cs="Times New Roman" w:ascii="Times New Roman" w:hAnsi="Times New Roman"/>
          <w:sz w:val="28"/>
          <w:szCs w:val="28"/>
          <w:lang w:val="uk-UA" w:eastAsia="ru-RU"/>
        </w:rPr>
        <w:t>впливу ESG на прибутковість акцій світових корпорацій</w:t>
      </w:r>
      <w:r>
        <w:rPr>
          <w:rFonts w:cs="Times New Roman" w:ascii="Times New Roman" w:hAnsi="Times New Roman"/>
          <w:sz w:val="28"/>
          <w:szCs w:val="28"/>
          <w:lang w:val="uk-UA"/>
        </w:rPr>
        <w:t xml:space="preserve">: проведений аналіз впливу </w:t>
      </w:r>
      <w:r>
        <w:rPr>
          <w:rFonts w:eastAsia="Times New Roman" w:cs="Times New Roman" w:ascii="Times New Roman" w:hAnsi="Times New Roman"/>
          <w:sz w:val="28"/>
          <w:szCs w:val="28"/>
          <w:lang w:val="uk-UA" w:eastAsia="ru-RU"/>
        </w:rPr>
        <w:t>ESG</w:t>
      </w:r>
      <w:r>
        <w:rPr>
          <w:rFonts w:cs="Times New Roman" w:ascii="Times New Roman" w:hAnsi="Times New Roman"/>
          <w:sz w:val="28"/>
          <w:szCs w:val="28"/>
          <w:lang w:val="uk-UA"/>
        </w:rPr>
        <w:t xml:space="preserve"> на прибутковість акцій на світовому рівні та порівняльний аналіз впливу </w:t>
      </w:r>
      <w:r>
        <w:rPr>
          <w:rFonts w:eastAsia="Times New Roman" w:cs="Times New Roman" w:ascii="Times New Roman" w:hAnsi="Times New Roman"/>
          <w:sz w:val="28"/>
          <w:szCs w:val="28"/>
          <w:lang w:val="uk-UA" w:eastAsia="ru-RU"/>
        </w:rPr>
        <w:t>ESG</w:t>
      </w:r>
      <w:r>
        <w:rPr>
          <w:rFonts w:cs="Times New Roman" w:ascii="Times New Roman" w:hAnsi="Times New Roman"/>
          <w:sz w:val="28"/>
          <w:szCs w:val="28"/>
          <w:lang w:val="uk-UA"/>
        </w:rPr>
        <w:t xml:space="preserve"> на прибутковість акцій в різних регіонах світу. </w:t>
      </w:r>
      <w:r>
        <w:rPr>
          <w:rFonts w:cs="Times New Roman" w:ascii="Times New Roman" w:hAnsi="Times New Roman"/>
          <w:color w:val="000000" w:themeColor="text1"/>
          <w:sz w:val="28"/>
          <w:szCs w:val="28"/>
          <w:lang w:val="uk-UA"/>
        </w:rPr>
        <w:t xml:space="preserve">У третьому розділі досліджується рівень </w:t>
      </w:r>
      <w:r>
        <w:rPr>
          <w:rFonts w:eastAsia="Times New Roman" w:cs="Times New Roman" w:ascii="Times New Roman" w:hAnsi="Times New Roman"/>
          <w:sz w:val="28"/>
          <w:szCs w:val="28"/>
          <w:lang w:val="uk-UA" w:eastAsia="ru-RU"/>
        </w:rPr>
        <w:t>ESG в українських компаніях</w:t>
      </w:r>
      <w:r>
        <w:rPr>
          <w:rFonts w:cs="Times New Roman" w:ascii="Times New Roman" w:hAnsi="Times New Roman"/>
          <w:sz w:val="28"/>
          <w:szCs w:val="28"/>
          <w:lang w:val="uk-UA"/>
        </w:rPr>
        <w:t>.</w:t>
      </w:r>
    </w:p>
    <w:p>
      <w:pPr>
        <w:pStyle w:val="Normal"/>
        <w:spacing w:lineRule="auto" w:line="360" w:before="0" w:after="0"/>
        <w:ind w:right="-1" w:firstLine="709"/>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Теоретичною і методологічною основою дослідження є</w:t>
      </w:r>
      <w:r>
        <w:rPr>
          <w:rFonts w:cs="Times New Roman" w:ascii="Times New Roman" w:hAnsi="Times New Roman"/>
          <w:sz w:val="28"/>
          <w:szCs w:val="28"/>
          <w:lang w:val="uk-UA"/>
        </w:rPr>
        <w:t xml:space="preserve"> положення, сформульовані у працях зарубіжних та українських вчених, присвячених дослідженню </w:t>
      </w:r>
      <w:r>
        <w:rPr>
          <w:rFonts w:eastAsia="Times New Roman" w:cs="Times New Roman" w:ascii="Times New Roman" w:hAnsi="Times New Roman"/>
          <w:sz w:val="28"/>
          <w:szCs w:val="28"/>
          <w:lang w:val="uk-UA" w:eastAsia="ru-RU"/>
        </w:rPr>
        <w:t>екологічної, соціальної та корпоративної відповідальності та її взаємозв’язку з прибутковістю акцій</w:t>
      </w:r>
      <w:r>
        <w:rPr>
          <w:rFonts w:cs="Times New Roman" w:ascii="Times New Roman" w:hAnsi="Times New Roman"/>
          <w:sz w:val="28"/>
          <w:szCs w:val="28"/>
          <w:lang w:val="uk-UA"/>
        </w:rPr>
        <w:t xml:space="preserve">, періодичні видання, статистичні дані з офіційних сайтів провідних світових компаній, міжнародних фінансових компаній та експертних організацій, а також </w:t>
      </w:r>
      <w:r>
        <w:rPr>
          <w:rFonts w:cs="Times New Roman" w:ascii="Times New Roman" w:hAnsi="Times New Roman"/>
          <w:color w:val="000000" w:themeColor="text1"/>
          <w:sz w:val="28"/>
          <w:szCs w:val="28"/>
          <w:lang w:val="uk-UA"/>
        </w:rPr>
        <w:t>законодавчої бази України.</w:t>
      </w:r>
    </w:p>
    <w:p>
      <w:pPr>
        <w:pStyle w:val="Normal"/>
        <w:spacing w:lineRule="auto" w:line="360" w:before="0" w:after="0"/>
        <w:ind w:right="-1" w:firstLine="709"/>
        <w:jc w:val="both"/>
        <w:rPr>
          <w:rFonts w:ascii="Times New Roman" w:hAnsi="Times New Roman" w:cs="Times New Roman"/>
          <w:color w:val="000000" w:themeColor="text1"/>
          <w:sz w:val="28"/>
          <w:szCs w:val="28"/>
          <w:lang w:val="uk-UA"/>
        </w:rPr>
      </w:pPr>
      <w:r>
        <w:rPr>
          <w:rFonts w:eastAsia="inherit" w:cs="Times New Roman" w:ascii="Times New Roman" w:hAnsi="Times New Roman"/>
          <w:color w:val="000000" w:themeColor="text1"/>
          <w:sz w:val="28"/>
          <w:szCs w:val="28"/>
          <w:lang w:val="uk-UA"/>
        </w:rPr>
        <w:t xml:space="preserve">У роботі застосовано широкий інструментарій загальних методів наукового дослідження: </w:t>
      </w:r>
      <w:r>
        <w:rPr>
          <w:rFonts w:cs="Times New Roman" w:ascii="Times New Roman" w:hAnsi="Times New Roman"/>
          <w:color w:val="000000" w:themeColor="text1"/>
          <w:sz w:val="28"/>
          <w:szCs w:val="28"/>
          <w:lang w:val="uk-UA"/>
        </w:rPr>
        <w:t xml:space="preserve">порівняльні, статистичні та графічні методи, а також математико-статистичний метод вивчення взаємозв’язку, а саме регресійний аналіз.  </w:t>
      </w:r>
    </w:p>
    <w:p>
      <w:pPr>
        <w:pStyle w:val="Normal"/>
        <w:spacing w:lineRule="auto" w:line="360"/>
        <w:ind w:right="-1" w:firstLine="709"/>
        <w:jc w:val="both"/>
        <w:rPr>
          <w:rStyle w:val="Strong"/>
          <w:rFonts w:ascii="Times New Roman" w:hAnsi="Times New Roman" w:cs="Times New Roman"/>
          <w:b w:val="false"/>
          <w:b w:val="false"/>
          <w:color w:val="000000" w:themeColor="text1"/>
          <w:sz w:val="28"/>
          <w:szCs w:val="28"/>
          <w:lang w:val="uk-UA"/>
        </w:rPr>
      </w:pPr>
      <w:r>
        <w:rPr>
          <w:rFonts w:cs="Times New Roman" w:ascii="Times New Roman" w:hAnsi="Times New Roman"/>
          <w:color w:val="000000" w:themeColor="text1"/>
          <w:sz w:val="28"/>
          <w:szCs w:val="28"/>
          <w:lang w:val="uk-UA"/>
        </w:rPr>
        <w:t>Дипломна робота є самостійно виконаним науковим дослідженням, усі викладені наукові результати у роботі, що виносяться на захист – отримані авторкою особисто.</w:t>
      </w:r>
      <w:r>
        <w:rPr>
          <w:rFonts w:cs="Times New Roman" w:ascii="Times New Roman" w:hAnsi="Times New Roman"/>
          <w:color w:val="000000" w:themeColor="text1"/>
          <w:sz w:val="28"/>
          <w:szCs w:val="28"/>
        </w:rPr>
        <w:t xml:space="preserve"> </w:t>
      </w:r>
      <w:r>
        <w:rPr>
          <w:rFonts w:cs="Times New Roman" w:ascii="Times New Roman" w:hAnsi="Times New Roman"/>
          <w:color w:val="000000" w:themeColor="text1"/>
          <w:sz w:val="28"/>
          <w:szCs w:val="28"/>
          <w:lang w:val="uk-UA"/>
        </w:rPr>
        <w:t xml:space="preserve">Дипломна робота пройшла апробацію на наукових конференціях, а саме: на міжнародній науково-практичній конференції «Соціально-компетентне управління корпораціями в умовах поведінкової економіки» </w:t>
      </w:r>
      <w:r>
        <w:rPr>
          <w:rFonts w:eastAsia="Symbol" w:cs="Symbol" w:ascii="Symbol" w:hAnsi="Symbol"/>
          <w:color w:val="000000" w:themeColor="text1"/>
          <w:sz w:val="28"/>
          <w:szCs w:val="28"/>
          <w:lang w:val="uk-UA"/>
        </w:rPr>
        <w:t></w:t>
      </w:r>
      <w:r>
        <w:rPr>
          <w:rFonts w:cs="Times New Roman" w:ascii="Times New Roman" w:hAnsi="Times New Roman"/>
          <w:color w:val="000000" w:themeColor="text1"/>
          <w:sz w:val="28"/>
          <w:szCs w:val="28"/>
          <w:lang w:val="uk-UA"/>
        </w:rPr>
        <w:t xml:space="preserve"> 18 лютого 2021 року, </w:t>
      </w:r>
      <w:r>
        <w:rPr>
          <w:rFonts w:cs="Times New Roman" w:ascii="Times New Roman" w:hAnsi="Times New Roman"/>
          <w:bCs/>
          <w:color w:val="000000" w:themeColor="text1"/>
          <w:sz w:val="28"/>
          <w:szCs w:val="28"/>
        </w:rPr>
        <w:t>VI</w:t>
      </w:r>
      <w:r>
        <w:rPr>
          <w:rFonts w:cs="Times New Roman" w:ascii="Times New Roman" w:hAnsi="Times New Roman"/>
          <w:bCs/>
          <w:color w:val="000000" w:themeColor="text1"/>
          <w:sz w:val="28"/>
          <w:szCs w:val="28"/>
          <w:lang w:val="uk-UA"/>
        </w:rPr>
        <w:t xml:space="preserve"> Всеукраїнській мультидисциплінарній науково-практичній Інтернет-конференції «Наукові підсумки року: досягнення, проекти, перспективи</w:t>
      </w:r>
      <w:r>
        <w:rPr>
          <w:rFonts w:cs="Times New Roman" w:ascii="Times New Roman" w:hAnsi="Times New Roman"/>
          <w:color w:val="000000" w:themeColor="text1"/>
          <w:sz w:val="28"/>
          <w:szCs w:val="28"/>
          <w:lang w:val="uk-UA"/>
        </w:rPr>
        <w:t xml:space="preserve">» </w:t>
      </w:r>
      <w:r>
        <w:rPr>
          <w:rFonts w:eastAsia="Symbol" w:cs="Symbol" w:ascii="Symbol" w:hAnsi="Symbol"/>
          <w:color w:val="000000" w:themeColor="text1"/>
          <w:sz w:val="28"/>
          <w:szCs w:val="28"/>
          <w:lang w:val="uk-UA"/>
        </w:rPr>
        <w:t></w:t>
      </w:r>
      <w:r>
        <w:rPr>
          <w:rFonts w:cs="Times New Roman" w:ascii="Times New Roman" w:hAnsi="Times New Roman"/>
          <w:color w:val="000000" w:themeColor="text1"/>
          <w:sz w:val="28"/>
          <w:szCs w:val="28"/>
          <w:lang w:val="uk-UA"/>
        </w:rPr>
        <w:t xml:space="preserve"> 28 грудня 2021 року (у друці).</w:t>
      </w:r>
      <w:r>
        <w:rPr>
          <w:rFonts w:cs="Times New Roman" w:ascii="Times New Roman" w:hAnsi="Times New Roman"/>
          <w:bCs/>
          <w:color w:val="000000" w:themeColor="text1"/>
          <w:sz w:val="28"/>
          <w:szCs w:val="28"/>
          <w:lang w:val="uk-UA"/>
        </w:rPr>
        <w:t xml:space="preserve"> </w:t>
      </w:r>
      <w:r>
        <w:rPr>
          <w:rFonts w:cs="Times New Roman" w:ascii="Times New Roman" w:hAnsi="Times New Roman"/>
          <w:color w:val="000000" w:themeColor="text1"/>
          <w:sz w:val="28"/>
          <w:szCs w:val="28"/>
          <w:lang w:val="uk-UA"/>
        </w:rPr>
        <w:t>За темою дипломної роботи була опублікована стаття у науково-практичному журналі «</w:t>
      </w:r>
      <w:r>
        <w:rPr>
          <w:rFonts w:cs="Times New Roman" w:ascii="Times New Roman" w:hAnsi="Times New Roman"/>
          <w:sz w:val="28"/>
          <w:szCs w:val="28"/>
          <w:lang w:val="uk-UA"/>
        </w:rPr>
        <w:t>Інфраструктура ринку</w:t>
      </w:r>
      <w:r>
        <w:rPr>
          <w:rFonts w:cs="Times New Roman" w:ascii="Times New Roman" w:hAnsi="Times New Roman"/>
          <w:color w:val="000000" w:themeColor="text1"/>
          <w:sz w:val="28"/>
          <w:szCs w:val="28"/>
          <w:lang w:val="uk-UA"/>
        </w:rPr>
        <w:t>»</w:t>
      </w:r>
      <w:r>
        <w:rPr>
          <w:rStyle w:val="Strong"/>
          <w:rFonts w:cs="Times New Roman" w:ascii="Times New Roman" w:hAnsi="Times New Roman"/>
          <w:sz w:val="28"/>
          <w:szCs w:val="28"/>
          <w:lang w:val="uk-UA"/>
        </w:rPr>
        <w:t xml:space="preserve"> </w:t>
      </w:r>
      <w:r>
        <w:rPr>
          <w:rFonts w:eastAsia="Symbol" w:cs="Symbol" w:ascii="Symbol" w:hAnsi="Symbol"/>
          <w:color w:val="000000" w:themeColor="text1"/>
          <w:sz w:val="28"/>
          <w:szCs w:val="28"/>
          <w:lang w:val="uk-UA"/>
        </w:rPr>
        <w:t></w:t>
      </w:r>
      <w:r>
        <w:rPr>
          <w:rFonts w:cs="Times New Roman" w:ascii="Times New Roman" w:hAnsi="Times New Roman"/>
          <w:color w:val="000000" w:themeColor="text1"/>
          <w:sz w:val="28"/>
          <w:szCs w:val="28"/>
          <w:lang w:val="uk-UA"/>
        </w:rPr>
        <w:t xml:space="preserve">  січень </w:t>
      </w:r>
      <w:r>
        <w:rPr>
          <w:rStyle w:val="Strong"/>
          <w:rFonts w:cs="Times New Roman" w:ascii="Times New Roman" w:hAnsi="Times New Roman"/>
          <w:b w:val="false"/>
          <w:sz w:val="28"/>
          <w:szCs w:val="28"/>
          <w:lang w:val="uk-UA"/>
        </w:rPr>
        <w:t>2021 року. Також за роботу за темою дипломної роботи авторка була нагороджена дипломом ІІІ ступеня Відповідно до Наказу МОН України №865 від 28.07.2021 року «Про підсумки Всеукраїнського конкурсу студентських наукових робіт з галузей знань і спеціальностей у 2020/2021 навчальному році».</w:t>
      </w:r>
    </w:p>
    <w:p>
      <w:pPr>
        <w:pStyle w:val="Normal"/>
        <w:spacing w:lineRule="auto" w:line="360" w:before="0" w:after="0"/>
        <w:ind w:right="-1" w:firstLine="567"/>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1" w:firstLine="567"/>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1" w:firstLine="567"/>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1" w:firstLine="567"/>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1" w:firstLine="567"/>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1" w:firstLine="567"/>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1" w:firstLine="567"/>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1" w:firstLine="567"/>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1" w:firstLine="567"/>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1" w:firstLine="567"/>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1" w:firstLine="567"/>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1" w:firstLine="567"/>
        <w:jc w:val="both"/>
        <w:rPr>
          <w:rFonts w:ascii="Times New Roman" w:hAnsi="Times New Roman" w:cs="Times New Roman"/>
          <w:sz w:val="28"/>
          <w:szCs w:val="28"/>
          <w:lang w:val="uk-UA"/>
        </w:rPr>
      </w:pPr>
      <w:r>
        <w:rPr>
          <w:rFonts w:cs="Times New Roman" w:ascii="Times New Roman" w:hAnsi="Times New Roman"/>
          <w:sz w:val="28"/>
          <w:szCs w:val="28"/>
          <w:lang w:val="uk-UA"/>
        </w:rPr>
      </w:r>
      <w:r>
        <w:br w:type="page"/>
      </w:r>
    </w:p>
    <w:p>
      <w:pPr>
        <w:pStyle w:val="Normal"/>
        <w:spacing w:lineRule="auto" w:line="360" w:before="0" w:after="0"/>
        <w:jc w:val="center"/>
        <w:rPr>
          <w:rFonts w:ascii="Times New Roman" w:hAnsi="Times New Roman" w:eastAsia="Times New Roman" w:cs="Times New Roman"/>
          <w:b/>
          <w:b/>
          <w:sz w:val="28"/>
          <w:szCs w:val="28"/>
          <w:lang w:val="uk-UA"/>
        </w:rPr>
      </w:pPr>
      <w:r>
        <w:rPr/>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ВИСНОВКИ</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ab/>
        <w:t>Останнім часом питанню впливу екологічної, соціальної та корпоративної відповідальності (</w:t>
      </w:r>
      <w:r>
        <w:rPr>
          <w:rFonts w:cs="Times New Roman" w:ascii="Times New Roman" w:hAnsi="Times New Roman"/>
          <w:sz w:val="28"/>
          <w:szCs w:val="28"/>
          <w:lang w:val="en-US"/>
        </w:rPr>
        <w:t>ESG</w:t>
      </w:r>
      <w:r>
        <w:rPr>
          <w:rFonts w:cs="Times New Roman" w:ascii="Times New Roman" w:hAnsi="Times New Roman"/>
          <w:sz w:val="28"/>
          <w:szCs w:val="28"/>
          <w:lang w:val="uk-UA"/>
        </w:rPr>
        <w:t xml:space="preserve">) на фінансову результативність діяльності компаній та проблемі розбіжностей в рейтингах екологічної, соціальної та корпоративної відповідальності приділяється значна увага у фінансовій сфері, а також в колах практиків і політиків. Більшість економістів, які досліджують вплив </w:t>
      </w:r>
      <w:r>
        <w:rPr>
          <w:rFonts w:cs="Times New Roman" w:ascii="Times New Roman" w:hAnsi="Times New Roman"/>
          <w:sz w:val="28"/>
          <w:szCs w:val="28"/>
          <w:lang w:val="en-US"/>
        </w:rPr>
        <w:t>ESG</w:t>
      </w:r>
      <w:r>
        <w:rPr>
          <w:rFonts w:cs="Times New Roman" w:ascii="Times New Roman" w:hAnsi="Times New Roman"/>
          <w:sz w:val="28"/>
          <w:szCs w:val="28"/>
          <w:lang w:val="uk-UA"/>
        </w:rPr>
        <w:t xml:space="preserve"> на діяльність світових компаній, роблячи акцент на прибутковості акцій, доходять до консолідованого висновку: чим краще розвинена у компанії екологічна, соціальна та корпоративна відповідальність (чим вище її рейтинг), чим прозоріші звіти по ній, чим краще вона відповідає сфері діяльності компанії, тим більший позитивний влив вона буде чинити на прибутковість акцій цієї компанії. </w:t>
      </w:r>
    </w:p>
    <w:p>
      <w:pPr>
        <w:pStyle w:val="Style19"/>
        <w:spacing w:lineRule="auto" w:line="360" w:before="0" w:after="0"/>
        <w:ind w:firstLine="708"/>
        <w:jc w:val="both"/>
        <w:rPr>
          <w:rFonts w:cs="Times New Roman"/>
          <w:color w:val="000000"/>
          <w:sz w:val="28"/>
          <w:szCs w:val="28"/>
          <w:lang w:val="uk-UA"/>
        </w:rPr>
      </w:pPr>
      <w:r>
        <w:rPr>
          <w:rFonts w:cs="Times New Roman"/>
          <w:color w:val="000000"/>
          <w:sz w:val="28"/>
          <w:szCs w:val="28"/>
          <w:lang w:val="uk-UA"/>
        </w:rPr>
        <w:t xml:space="preserve">Згідно з попередніми дослідженнями, присвяченими впливу ESG на фінансову ефективність компанії, у дипломній роботі було проведене дослідження впливу на прибутковість акцій на світовому рівні та для кожного з шести регіонів світу (Азія, Європа, Африка, Північна Америка, Латинська Америка та Океанія) окремо. </w:t>
      </w:r>
      <w:r>
        <w:rPr>
          <w:rFonts w:cs="Times New Roman"/>
          <w:sz w:val="28"/>
          <w:szCs w:val="28"/>
          <w:lang w:val="uk-UA"/>
        </w:rPr>
        <w:t xml:space="preserve">Отже, гіпотеза, яка була досліджена </w:t>
      </w:r>
      <w:r>
        <w:rPr>
          <w:rFonts w:eastAsia="Symbol" w:cs="Symbol" w:ascii="Symbol" w:hAnsi="Symbol"/>
          <w:sz w:val="28"/>
          <w:szCs w:val="28"/>
          <w:lang w:val="uk-UA"/>
        </w:rPr>
        <w:t></w:t>
      </w:r>
      <w:r>
        <w:rPr>
          <w:rFonts w:cs="Times New Roman"/>
          <w:sz w:val="28"/>
          <w:szCs w:val="28"/>
          <w:lang w:val="uk-UA"/>
        </w:rPr>
        <w:t xml:space="preserve"> це гіпотеза впливу екологічної, соціальної та корпоративної відповідальності на прибутковість акцій світових корпорацій. У якості показника ESG компаній виступав індекс Refinitiv ESG як незалежна змінна, яка впливає на залежну змінну </w:t>
      </w:r>
      <w:r>
        <w:rPr>
          <w:rFonts w:eastAsia="Symbol" w:cs="Symbol" w:ascii="Symbol" w:hAnsi="Symbol"/>
          <w:sz w:val="28"/>
          <w:szCs w:val="28"/>
          <w:lang w:val="uk-UA"/>
        </w:rPr>
        <w:t></w:t>
      </w:r>
      <w:r>
        <w:rPr>
          <w:rFonts w:cs="Times New Roman"/>
          <w:sz w:val="28"/>
          <w:szCs w:val="28"/>
          <w:lang w:val="uk-UA"/>
        </w:rPr>
        <w:t xml:space="preserve"> прибутковість акцій, виражену через показник прибутковості на акцію (EPS). В моделі також були включені дві контрольні незалежні змінні: коефіцієнт рентабельності активів (ROA) та співвідношення боргу до власного капіталу (D/E). </w:t>
      </w:r>
      <w:r>
        <w:rPr>
          <w:sz w:val="28"/>
          <w:szCs w:val="28"/>
          <w:lang w:val="uk-UA"/>
        </w:rPr>
        <w:t xml:space="preserve">Економічне значення отриманої моделі довело, що саме минулорічна рейтингова оцінка </w:t>
      </w:r>
      <w:r>
        <w:rPr>
          <w:rFonts w:cs="Times New Roman"/>
          <w:sz w:val="28"/>
          <w:szCs w:val="28"/>
          <w:lang w:val="uk-UA"/>
        </w:rPr>
        <w:t>екологічної, соціальної та корпоративної відповідальності</w:t>
      </w:r>
      <w:r>
        <w:rPr>
          <w:sz w:val="28"/>
          <w:szCs w:val="28"/>
          <w:lang w:val="uk-UA"/>
        </w:rPr>
        <w:t xml:space="preserve"> позитивно впливає на прибутковість акцій провідних світових компаній. До того ж збільшення рентабельності активів призводить до підвищення прибутковості акцій.</w:t>
      </w:r>
    </w:p>
    <w:p>
      <w:pPr>
        <w:pStyle w:val="Normal"/>
        <w:tabs>
          <w:tab w:val="clear" w:pos="708"/>
          <w:tab w:val="left" w:pos="3000" w:leader="none"/>
        </w:tabs>
        <w:spacing w:lineRule="auto" w:line="360" w:before="0" w:after="0"/>
        <w:ind w:firstLine="851"/>
        <w:jc w:val="both"/>
        <w:rPr>
          <w:rFonts w:ascii="Times New Roman" w:hAnsi="Times New Roman" w:cs="Times New Roman"/>
          <w:sz w:val="28"/>
          <w:szCs w:val="28"/>
          <w:lang w:val="uk-UA"/>
        </w:rPr>
      </w:pPr>
      <w:r>
        <w:rPr>
          <w:rFonts w:cs="Times New Roman" w:ascii="Times New Roman" w:hAnsi="Times New Roman"/>
          <w:sz w:val="28"/>
          <w:szCs w:val="28"/>
          <w:lang w:val="uk-UA"/>
        </w:rPr>
        <w:t>З огляду на те, що фактори ESG відрізняються в різних географічних регіонах, для інвесторів, які бажають привести свої інвестиції у відповідність зі своїми цінностями, важливо враховувати, що рухає цими відмінностями. Щоб краще зрозуміти цю галузь інвестування, інвесторам важливо звертати увагу, як показники ESG змінюються залежно від регіону, від ринку до ринку, обумовлені різними секторами, галузями та економічними факторами. Виявивши позитивну залежність між екологічної, соціальної та корпоративної відповідальністю</w:t>
      </w:r>
      <w:r>
        <w:rPr>
          <w:rFonts w:ascii="Times New Roman" w:hAnsi="Times New Roman"/>
          <w:sz w:val="28"/>
          <w:szCs w:val="28"/>
          <w:lang w:val="uk-UA"/>
        </w:rPr>
        <w:t xml:space="preserve"> та прибутковістю акцій </w:t>
      </w:r>
      <w:r>
        <w:rPr>
          <w:rFonts w:cs="Times New Roman" w:ascii="Times New Roman" w:hAnsi="Times New Roman"/>
          <w:sz w:val="28"/>
          <w:szCs w:val="28"/>
          <w:lang w:val="uk-UA"/>
        </w:rPr>
        <w:t xml:space="preserve">на світовому рівні, цей вплив був проаналізований для кожного регіону світу окремо. </w:t>
      </w:r>
    </w:p>
    <w:p>
      <w:pPr>
        <w:pStyle w:val="Normal"/>
        <w:tabs>
          <w:tab w:val="clear" w:pos="708"/>
          <w:tab w:val="left" w:pos="3000" w:leader="none"/>
        </w:tabs>
        <w:spacing w:lineRule="auto" w:line="360" w:before="0" w:after="0"/>
        <w:ind w:firstLine="851"/>
        <w:jc w:val="both"/>
        <w:rPr>
          <w:rFonts w:ascii="Times New Roman" w:hAnsi="Times New Roman"/>
          <w:sz w:val="28"/>
          <w:szCs w:val="28"/>
          <w:lang w:val="uk-UA"/>
        </w:rPr>
      </w:pPr>
      <w:r>
        <w:rPr>
          <w:rFonts w:ascii="Times New Roman" w:hAnsi="Times New Roman"/>
          <w:sz w:val="28"/>
          <w:szCs w:val="28"/>
          <w:lang w:val="uk-UA"/>
        </w:rPr>
        <w:t xml:space="preserve">Для провідних компаній Азії та Латинської Америки саме минулорічна рейтингова оцінка екологічної відповідальності не впливає на прибутковість акцій, але минулорічна рейтингова оцінка соціальної відповідальності впливає позитивно на прибутковість акцій, а </w:t>
      </w:r>
      <w:r>
        <w:rPr>
          <w:rFonts w:cs="Times New Roman" w:ascii="Times New Roman" w:hAnsi="Times New Roman"/>
          <w:sz w:val="28"/>
          <w:szCs w:val="28"/>
          <w:lang w:val="uk-UA"/>
        </w:rPr>
        <w:t>корпоративної відповідальності</w:t>
      </w:r>
      <w:r>
        <w:rPr>
          <w:rFonts w:ascii="Times New Roman" w:hAnsi="Times New Roman"/>
          <w:sz w:val="28"/>
          <w:szCs w:val="28"/>
          <w:lang w:val="uk-UA"/>
        </w:rPr>
        <w:t xml:space="preserve"> </w:t>
      </w:r>
      <w:r>
        <w:rPr>
          <w:rFonts w:eastAsia="Symbol" w:cs="Symbol" w:ascii="Symbol" w:hAnsi="Symbol"/>
          <w:sz w:val="28"/>
          <w:szCs w:val="28"/>
          <w:lang w:val="uk-UA"/>
        </w:rPr>
        <w:t></w:t>
      </w:r>
      <w:r>
        <w:rPr>
          <w:rFonts w:ascii="Times New Roman" w:hAnsi="Times New Roman"/>
          <w:sz w:val="28"/>
          <w:szCs w:val="28"/>
          <w:lang w:val="uk-UA"/>
        </w:rPr>
        <w:t xml:space="preserve"> негативно. Для провідних компаній Європи саме минулорічна рейтингова оцінка екологічної відповідальності позитивно впливає на прибутковість акцій, але оцінка соціальної та корпоративної відповідальності </w:t>
      </w:r>
      <w:r>
        <w:rPr>
          <w:rFonts w:eastAsia="Symbol" w:cs="Symbol" w:ascii="Symbol" w:hAnsi="Symbol"/>
          <w:sz w:val="28"/>
          <w:szCs w:val="28"/>
          <w:lang w:val="uk-UA"/>
        </w:rPr>
        <w:t></w:t>
      </w:r>
      <w:r>
        <w:rPr>
          <w:rFonts w:ascii="Times New Roman" w:hAnsi="Times New Roman"/>
          <w:sz w:val="28"/>
          <w:szCs w:val="28"/>
          <w:lang w:val="uk-UA"/>
        </w:rPr>
        <w:t xml:space="preserve"> не впливає. Для провідних компаній Африки та Північної Америки саме минулорічна рейтингова оцінка екологічної, соціальної та корпоративної відповідальності на прибутковість акцій не впливає. Для провідних компаній Океанії саме минулорічна рейтингова оцінка екологічної відповідальності негативно впливає на прибутковість акцій, але оцінка соціальної та корпоративної відповідальності </w:t>
      </w:r>
      <w:r>
        <w:rPr>
          <w:rFonts w:eastAsia="Symbol" w:cs="Symbol" w:ascii="Symbol" w:hAnsi="Symbol"/>
          <w:sz w:val="28"/>
          <w:szCs w:val="28"/>
          <w:lang w:val="uk-UA"/>
        </w:rPr>
        <w:t></w:t>
      </w:r>
      <w:r>
        <w:rPr>
          <w:rFonts w:ascii="Times New Roman" w:hAnsi="Times New Roman"/>
          <w:sz w:val="28"/>
          <w:szCs w:val="28"/>
          <w:lang w:val="uk-UA"/>
        </w:rPr>
        <w:t xml:space="preserve"> не впливає. </w:t>
      </w:r>
    </w:p>
    <w:p>
      <w:pPr>
        <w:pStyle w:val="Normal"/>
        <w:tabs>
          <w:tab w:val="clear" w:pos="708"/>
          <w:tab w:val="left" w:pos="3000" w:leader="none"/>
        </w:tabs>
        <w:spacing w:lineRule="auto" w:line="360" w:before="0" w:after="0"/>
        <w:ind w:firstLine="851"/>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Отже, на основі результатів, отриманих після аналізу шести моделей залежності прибутковості акцій провідних світових корпорацій від їхньої екологічної, соціальної та корпоративної відповідальності, був зроблений консолідований висновок: заходи ESG провідних компаній світу впливають на їхню фінансову результативність у майбутньому, зокрема на такий показник як прибуток на акцію. </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ab/>
        <w:t xml:space="preserve">Для поширення </w:t>
      </w:r>
      <w:r>
        <w:rPr>
          <w:rFonts w:cs="Times New Roman" w:ascii="Times New Roman" w:hAnsi="Times New Roman"/>
          <w:spacing w:val="-1"/>
          <w:sz w:val="28"/>
          <w:szCs w:val="28"/>
          <w:shd w:fill="FFFFFF" w:val="clear"/>
          <w:lang w:val="en-US"/>
        </w:rPr>
        <w:t>ESG</w:t>
      </w:r>
      <w:r>
        <w:rPr>
          <w:rFonts w:cs="Times New Roman" w:ascii="Times New Roman" w:hAnsi="Times New Roman"/>
          <w:spacing w:val="-1"/>
          <w:sz w:val="28"/>
          <w:szCs w:val="28"/>
          <w:shd w:fill="FFFFFF" w:val="clear"/>
          <w:lang w:val="uk-UA"/>
        </w:rPr>
        <w:t>-практик в Україні н</w:t>
      </w:r>
      <w:r>
        <w:rPr>
          <w:rFonts w:cs="Times New Roman" w:ascii="Times New Roman" w:hAnsi="Times New Roman"/>
          <w:sz w:val="28"/>
          <w:szCs w:val="28"/>
          <w:lang w:val="uk-UA"/>
        </w:rPr>
        <w:t xml:space="preserve">а даний момент найбільш </w:t>
      </w:r>
      <w:r>
        <w:rPr>
          <w:rFonts w:cs="Times New Roman" w:ascii="Times New Roman" w:hAnsi="Times New Roman"/>
          <w:spacing w:val="-1"/>
          <w:sz w:val="28"/>
          <w:szCs w:val="28"/>
          <w:shd w:fill="FFFFFF" w:val="clear"/>
          <w:lang w:val="uk-UA"/>
        </w:rPr>
        <w:t xml:space="preserve">дієвим та актуальним способом є інкорпорація принципів ведення сталого бізнесу в українське законодавство. Крім формування або підвищення іміджу компанії до переваг оприлюднення </w:t>
      </w:r>
      <w:r>
        <w:rPr>
          <w:rFonts w:cs="Times New Roman" w:ascii="Times New Roman" w:hAnsi="Times New Roman"/>
          <w:spacing w:val="-1"/>
          <w:sz w:val="28"/>
          <w:szCs w:val="28"/>
          <w:shd w:fill="FFFFFF" w:val="clear"/>
          <w:lang w:val="en-US"/>
        </w:rPr>
        <w:t>ESG</w:t>
      </w:r>
      <w:r>
        <w:rPr>
          <w:rFonts w:cs="Times New Roman" w:ascii="Times New Roman" w:hAnsi="Times New Roman"/>
          <w:spacing w:val="-1"/>
          <w:sz w:val="28"/>
          <w:szCs w:val="28"/>
          <w:shd w:fill="FFFFFF" w:val="clear"/>
          <w:lang w:val="uk-UA"/>
        </w:rPr>
        <w:t xml:space="preserve">-звітів з можна віднести наступні позитивні наслідки: зростання або отримання нових конкурентних переваг перед компаніями галузі в межах держави або поза нею; покращення відносин зі стейкхолдерами, зокрема зміцнення відносин з акціонерами, партнерами, підвищення лояльності персоналу, підвищення довіри як з боку місцевих громад, громадських організацій, органів державної влади, так і з боку суспільства в цілому. Основним консолідованим наслідком буде створення сприятливого середовища для ведення бізнесу не тільки в межах України, а й для залучення іноземних інвесторів, або виходу на іноземні ринки. А у довгостроковій перспективі </w:t>
      </w:r>
      <w:r>
        <w:rPr>
          <w:rFonts w:eastAsia="Symbol" w:cs="Symbol" w:ascii="Symbol" w:hAnsi="Symbol"/>
          <w:spacing w:val="-1"/>
          <w:sz w:val="28"/>
          <w:szCs w:val="28"/>
          <w:shd w:fill="FFFFFF" w:val="clear"/>
          <w:lang w:val="uk-UA"/>
        </w:rPr>
        <w:t></w:t>
      </w:r>
      <w:r>
        <w:rPr>
          <w:rFonts w:cs="Times New Roman" w:ascii="Times New Roman" w:hAnsi="Times New Roman"/>
          <w:spacing w:val="-1"/>
          <w:sz w:val="28"/>
          <w:szCs w:val="28"/>
          <w:shd w:fill="FFFFFF" w:val="clear"/>
          <w:lang w:val="uk-UA"/>
        </w:rPr>
        <w:t xml:space="preserve"> покращення фінансових показників ефективності діяльності, як це було виявлено за допомогою моделювання екологічної, соціальної та корпоративної відповідальності. </w:t>
      </w:r>
      <w:r>
        <w:rPr>
          <w:rFonts w:cs="Times New Roman" w:ascii="Times New Roman" w:hAnsi="Times New Roman"/>
          <w:sz w:val="28"/>
          <w:szCs w:val="28"/>
          <w:lang w:val="uk-UA"/>
        </w:rPr>
        <w:t xml:space="preserve"> </w:t>
      </w:r>
    </w:p>
    <w:p>
      <w:pPr>
        <w:pStyle w:val="Style19"/>
        <w:spacing w:lineRule="auto" w:line="360" w:before="0" w:after="0"/>
        <w:ind w:firstLine="708"/>
        <w:jc w:val="both"/>
        <w:rPr>
          <w:rFonts w:cs="Times New Roman"/>
          <w:color w:val="000000"/>
          <w:sz w:val="28"/>
          <w:szCs w:val="28"/>
          <w:lang w:val="uk-UA"/>
        </w:rPr>
      </w:pPr>
      <w:r>
        <w:rPr>
          <w:rFonts w:cs="Times New Roman"/>
          <w:color w:val="000000"/>
          <w:sz w:val="28"/>
          <w:szCs w:val="28"/>
          <w:lang w:val="uk-UA"/>
        </w:rPr>
        <w:t>Хоча в роботі об’єктом дослідження виступала екологічна, соціальна та корпоративна відповідальність тільки великих світових компаній, дані висновки мають бути застосовані і до малого та середнього бізнесу, оскільки екологічна, соціальна та корпоративна відповідальність є одним з найважливіших і дійсно значущих умов спільного майбутнього процвітання.</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СПИСОК ВИКОРИСТАНИХ ДЖЕРЕЛ</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color w:val="000000"/>
          <w:sz w:val="28"/>
          <w:szCs w:val="28"/>
          <w:shd w:fill="FFFFFF" w:val="clear"/>
          <w:lang w:val="en-US"/>
        </w:rPr>
        <w:t>Amel</w:t>
      </w:r>
      <w:r>
        <w:rPr>
          <w:rFonts w:cs="Times New Roman" w:ascii="Times New Roman" w:hAnsi="Times New Roman"/>
          <w:color w:val="000000"/>
          <w:sz w:val="28"/>
          <w:szCs w:val="28"/>
          <w:shd w:fill="FFFFFF" w:val="clear"/>
          <w:lang w:val="uk-UA"/>
        </w:rPr>
        <w:t>-</w:t>
      </w:r>
      <w:r>
        <w:rPr>
          <w:rFonts w:cs="Times New Roman" w:ascii="Times New Roman" w:hAnsi="Times New Roman"/>
          <w:color w:val="000000"/>
          <w:sz w:val="28"/>
          <w:szCs w:val="28"/>
          <w:shd w:fill="FFFFFF" w:val="clear"/>
          <w:lang w:val="en-US"/>
        </w:rPr>
        <w:t>Zadeh</w:t>
      </w:r>
      <w:r>
        <w:rPr>
          <w:rFonts w:cs="Times New Roman" w:ascii="Times New Roman" w:hAnsi="Times New Roman"/>
          <w:color w:val="000000"/>
          <w:sz w:val="28"/>
          <w:szCs w:val="28"/>
          <w:shd w:fill="FFFFFF" w:val="clear"/>
          <w:lang w:val="uk-UA"/>
        </w:rPr>
        <w:t xml:space="preserve"> </w:t>
      </w:r>
      <w:r>
        <w:rPr>
          <w:rFonts w:cs="Times New Roman" w:ascii="Times New Roman" w:hAnsi="Times New Roman"/>
          <w:color w:val="000000"/>
          <w:sz w:val="28"/>
          <w:szCs w:val="28"/>
          <w:shd w:fill="FFFFFF" w:val="clear"/>
          <w:lang w:val="en-US"/>
        </w:rPr>
        <w:t>A</w:t>
      </w:r>
      <w:r>
        <w:rPr>
          <w:rFonts w:cs="Times New Roman" w:ascii="Times New Roman" w:hAnsi="Times New Roman"/>
          <w:color w:val="000000"/>
          <w:sz w:val="28"/>
          <w:szCs w:val="28"/>
          <w:shd w:fill="FFFFFF" w:val="clear"/>
          <w:lang w:val="uk-UA"/>
        </w:rPr>
        <w:t xml:space="preserve">., </w:t>
      </w:r>
      <w:r>
        <w:rPr>
          <w:rFonts w:cs="Times New Roman" w:ascii="Times New Roman" w:hAnsi="Times New Roman"/>
          <w:color w:val="000000"/>
          <w:sz w:val="28"/>
          <w:szCs w:val="28"/>
          <w:shd w:fill="FFFFFF" w:val="clear"/>
          <w:lang w:val="en-US"/>
        </w:rPr>
        <w:t>Serafeim</w:t>
      </w:r>
      <w:r>
        <w:rPr>
          <w:rFonts w:cs="Times New Roman" w:ascii="Times New Roman" w:hAnsi="Times New Roman"/>
          <w:color w:val="000000"/>
          <w:sz w:val="28"/>
          <w:szCs w:val="28"/>
          <w:shd w:fill="FFFFFF" w:val="clear"/>
          <w:lang w:val="uk-UA"/>
        </w:rPr>
        <w:t xml:space="preserve"> </w:t>
      </w:r>
      <w:r>
        <w:rPr>
          <w:rFonts w:cs="Times New Roman" w:ascii="Times New Roman" w:hAnsi="Times New Roman"/>
          <w:color w:val="000000"/>
          <w:sz w:val="28"/>
          <w:szCs w:val="28"/>
          <w:shd w:fill="FFFFFF" w:val="clear"/>
          <w:lang w:val="en-US"/>
        </w:rPr>
        <w:t>G. Why</w:t>
      </w:r>
      <w:r>
        <w:rPr>
          <w:rFonts w:cs="Times New Roman" w:ascii="Times New Roman" w:hAnsi="Times New Roman"/>
          <w:color w:val="000000"/>
          <w:sz w:val="28"/>
          <w:szCs w:val="28"/>
          <w:shd w:fill="FFFFFF" w:val="clear"/>
          <w:lang w:val="uk-UA"/>
        </w:rPr>
        <w:t xml:space="preserve"> </w:t>
      </w:r>
      <w:r>
        <w:rPr>
          <w:rFonts w:cs="Times New Roman" w:ascii="Times New Roman" w:hAnsi="Times New Roman"/>
          <w:color w:val="000000"/>
          <w:sz w:val="28"/>
          <w:szCs w:val="28"/>
          <w:shd w:fill="FFFFFF" w:val="clear"/>
          <w:lang w:val="en-US"/>
        </w:rPr>
        <w:t>and</w:t>
      </w:r>
      <w:r>
        <w:rPr>
          <w:rFonts w:cs="Times New Roman" w:ascii="Times New Roman" w:hAnsi="Times New Roman"/>
          <w:color w:val="000000"/>
          <w:sz w:val="28"/>
          <w:szCs w:val="28"/>
          <w:shd w:fill="FFFFFF" w:val="clear"/>
          <w:lang w:val="uk-UA"/>
        </w:rPr>
        <w:t xml:space="preserve"> </w:t>
      </w:r>
      <w:r>
        <w:rPr>
          <w:rFonts w:cs="Times New Roman" w:ascii="Times New Roman" w:hAnsi="Times New Roman"/>
          <w:color w:val="000000"/>
          <w:sz w:val="28"/>
          <w:szCs w:val="28"/>
          <w:shd w:fill="FFFFFF" w:val="clear"/>
          <w:lang w:val="en-US"/>
        </w:rPr>
        <w:t>How</w:t>
      </w:r>
      <w:r>
        <w:rPr>
          <w:rFonts w:cs="Times New Roman" w:ascii="Times New Roman" w:hAnsi="Times New Roman"/>
          <w:color w:val="000000"/>
          <w:sz w:val="28"/>
          <w:szCs w:val="28"/>
          <w:shd w:fill="FFFFFF" w:val="clear"/>
          <w:lang w:val="uk-UA"/>
        </w:rPr>
        <w:t xml:space="preserve"> </w:t>
      </w:r>
      <w:r>
        <w:rPr>
          <w:rFonts w:cs="Times New Roman" w:ascii="Times New Roman" w:hAnsi="Times New Roman"/>
          <w:color w:val="000000"/>
          <w:sz w:val="28"/>
          <w:szCs w:val="28"/>
          <w:shd w:fill="FFFFFF" w:val="clear"/>
          <w:lang w:val="en-US"/>
        </w:rPr>
        <w:t>Investors</w:t>
      </w:r>
      <w:r>
        <w:rPr>
          <w:rFonts w:cs="Times New Roman" w:ascii="Times New Roman" w:hAnsi="Times New Roman"/>
          <w:color w:val="000000"/>
          <w:sz w:val="28"/>
          <w:szCs w:val="28"/>
          <w:shd w:fill="FFFFFF" w:val="clear"/>
          <w:lang w:val="uk-UA"/>
        </w:rPr>
        <w:t xml:space="preserve"> </w:t>
      </w:r>
      <w:r>
        <w:rPr>
          <w:rFonts w:cs="Times New Roman" w:ascii="Times New Roman" w:hAnsi="Times New Roman"/>
          <w:color w:val="000000"/>
          <w:sz w:val="28"/>
          <w:szCs w:val="28"/>
          <w:shd w:fill="FFFFFF" w:val="clear"/>
          <w:lang w:val="en-US"/>
        </w:rPr>
        <w:t>Use</w:t>
      </w:r>
      <w:r>
        <w:rPr>
          <w:rFonts w:cs="Times New Roman" w:ascii="Times New Roman" w:hAnsi="Times New Roman"/>
          <w:color w:val="000000"/>
          <w:sz w:val="28"/>
          <w:szCs w:val="28"/>
          <w:shd w:fill="FFFFFF" w:val="clear"/>
          <w:lang w:val="uk-UA"/>
        </w:rPr>
        <w:t xml:space="preserve"> </w:t>
      </w:r>
      <w:r>
        <w:rPr>
          <w:rFonts w:cs="Times New Roman" w:ascii="Times New Roman" w:hAnsi="Times New Roman"/>
          <w:color w:val="000000"/>
          <w:sz w:val="28"/>
          <w:szCs w:val="28"/>
          <w:shd w:fill="FFFFFF" w:val="clear"/>
          <w:lang w:val="en-US"/>
        </w:rPr>
        <w:t>ESG</w:t>
      </w:r>
      <w:r>
        <w:rPr>
          <w:rFonts w:cs="Times New Roman" w:ascii="Times New Roman" w:hAnsi="Times New Roman"/>
          <w:color w:val="000000"/>
          <w:sz w:val="28"/>
          <w:szCs w:val="28"/>
          <w:shd w:fill="FFFFFF" w:val="clear"/>
          <w:lang w:val="uk-UA"/>
        </w:rPr>
        <w:t xml:space="preserve"> </w:t>
      </w:r>
      <w:r>
        <w:rPr>
          <w:rFonts w:cs="Times New Roman" w:ascii="Times New Roman" w:hAnsi="Times New Roman"/>
          <w:color w:val="000000"/>
          <w:sz w:val="28"/>
          <w:szCs w:val="28"/>
          <w:shd w:fill="FFFFFF" w:val="clear"/>
          <w:lang w:val="en-US"/>
        </w:rPr>
        <w:t>Information</w:t>
      </w:r>
      <w:r>
        <w:rPr>
          <w:rFonts w:cs="Times New Roman" w:ascii="Times New Roman" w:hAnsi="Times New Roman"/>
          <w:color w:val="000000"/>
          <w:sz w:val="28"/>
          <w:szCs w:val="28"/>
          <w:shd w:fill="FFFFFF" w:val="clear"/>
          <w:lang w:val="uk-UA"/>
        </w:rPr>
        <w:t xml:space="preserve">: </w:t>
      </w:r>
      <w:r>
        <w:rPr>
          <w:rFonts w:cs="Times New Roman" w:ascii="Times New Roman" w:hAnsi="Times New Roman"/>
          <w:color w:val="000000"/>
          <w:sz w:val="28"/>
          <w:szCs w:val="28"/>
          <w:shd w:fill="FFFFFF" w:val="clear"/>
          <w:lang w:val="en-US"/>
        </w:rPr>
        <w:t>Evidence</w:t>
      </w:r>
      <w:r>
        <w:rPr>
          <w:rFonts w:cs="Times New Roman" w:ascii="Times New Roman" w:hAnsi="Times New Roman"/>
          <w:color w:val="000000"/>
          <w:sz w:val="28"/>
          <w:szCs w:val="28"/>
          <w:shd w:fill="FFFFFF" w:val="clear"/>
          <w:lang w:val="uk-UA"/>
        </w:rPr>
        <w:t xml:space="preserve"> </w:t>
      </w:r>
      <w:r>
        <w:rPr>
          <w:rFonts w:cs="Times New Roman" w:ascii="Times New Roman" w:hAnsi="Times New Roman"/>
          <w:color w:val="000000"/>
          <w:sz w:val="28"/>
          <w:szCs w:val="28"/>
          <w:shd w:fill="FFFFFF" w:val="clear"/>
          <w:lang w:val="en-US"/>
        </w:rPr>
        <w:t>from</w:t>
      </w:r>
      <w:r>
        <w:rPr>
          <w:rFonts w:cs="Times New Roman" w:ascii="Times New Roman" w:hAnsi="Times New Roman"/>
          <w:color w:val="000000"/>
          <w:sz w:val="28"/>
          <w:szCs w:val="28"/>
          <w:shd w:fill="FFFFFF" w:val="clear"/>
          <w:lang w:val="uk-UA"/>
        </w:rPr>
        <w:t xml:space="preserve"> </w:t>
      </w:r>
      <w:r>
        <w:rPr>
          <w:rFonts w:cs="Times New Roman" w:ascii="Times New Roman" w:hAnsi="Times New Roman"/>
          <w:color w:val="000000"/>
          <w:sz w:val="28"/>
          <w:szCs w:val="28"/>
          <w:shd w:fill="FFFFFF" w:val="clear"/>
          <w:lang w:val="en-US"/>
        </w:rPr>
        <w:t>a</w:t>
      </w:r>
      <w:r>
        <w:rPr>
          <w:rFonts w:cs="Times New Roman" w:ascii="Times New Roman" w:hAnsi="Times New Roman"/>
          <w:color w:val="000000"/>
          <w:sz w:val="28"/>
          <w:szCs w:val="28"/>
          <w:shd w:fill="FFFFFF" w:val="clear"/>
          <w:lang w:val="uk-UA"/>
        </w:rPr>
        <w:t xml:space="preserve"> </w:t>
      </w:r>
      <w:r>
        <w:rPr>
          <w:rFonts w:cs="Times New Roman" w:ascii="Times New Roman" w:hAnsi="Times New Roman"/>
          <w:color w:val="000000"/>
          <w:sz w:val="28"/>
          <w:szCs w:val="28"/>
          <w:shd w:fill="FFFFFF" w:val="clear"/>
          <w:lang w:val="en-US"/>
        </w:rPr>
        <w:t>Global</w:t>
      </w:r>
      <w:r>
        <w:rPr>
          <w:rFonts w:cs="Times New Roman" w:ascii="Times New Roman" w:hAnsi="Times New Roman"/>
          <w:color w:val="000000"/>
          <w:sz w:val="28"/>
          <w:szCs w:val="28"/>
          <w:shd w:fill="FFFFFF" w:val="clear"/>
          <w:lang w:val="uk-UA"/>
        </w:rPr>
        <w:t xml:space="preserve"> </w:t>
      </w:r>
      <w:r>
        <w:rPr>
          <w:rFonts w:cs="Times New Roman" w:ascii="Times New Roman" w:hAnsi="Times New Roman"/>
          <w:color w:val="000000"/>
          <w:sz w:val="28"/>
          <w:szCs w:val="28"/>
          <w:shd w:fill="FFFFFF" w:val="clear"/>
          <w:lang w:val="en-US"/>
        </w:rPr>
        <w:t>Survey</w:t>
      </w:r>
      <w:r>
        <w:rPr>
          <w:rFonts w:cs="Times New Roman" w:ascii="Times New Roman" w:hAnsi="Times New Roman"/>
          <w:color w:val="000000"/>
          <w:sz w:val="28"/>
          <w:szCs w:val="28"/>
          <w:shd w:fill="FFFFFF" w:val="clear"/>
          <w:lang w:val="uk-UA"/>
        </w:rPr>
        <w:t xml:space="preserve"> [Електронний ресурс] / </w:t>
      </w:r>
      <w:r>
        <w:rPr>
          <w:rFonts w:cs="Times New Roman" w:ascii="Times New Roman" w:hAnsi="Times New Roman"/>
          <w:color w:val="000000"/>
          <w:sz w:val="28"/>
          <w:szCs w:val="28"/>
          <w:shd w:fill="FFFFFF" w:val="clear"/>
          <w:lang w:val="en-US"/>
        </w:rPr>
        <w:t>A</w:t>
      </w:r>
      <w:r>
        <w:rPr>
          <w:rFonts w:cs="Times New Roman" w:ascii="Times New Roman" w:hAnsi="Times New Roman"/>
          <w:color w:val="000000"/>
          <w:sz w:val="28"/>
          <w:szCs w:val="28"/>
          <w:shd w:fill="FFFFFF" w:val="clear"/>
          <w:lang w:val="uk-UA"/>
        </w:rPr>
        <w:t xml:space="preserve">. </w:t>
      </w:r>
      <w:r>
        <w:rPr>
          <w:rFonts w:cs="Times New Roman" w:ascii="Times New Roman" w:hAnsi="Times New Roman"/>
          <w:color w:val="000000"/>
          <w:sz w:val="28"/>
          <w:szCs w:val="28"/>
          <w:shd w:fill="FFFFFF" w:val="clear"/>
          <w:lang w:val="en-US"/>
        </w:rPr>
        <w:t>Amel</w:t>
      </w:r>
      <w:r>
        <w:rPr>
          <w:rFonts w:cs="Times New Roman" w:ascii="Times New Roman" w:hAnsi="Times New Roman"/>
          <w:color w:val="000000"/>
          <w:sz w:val="28"/>
          <w:szCs w:val="28"/>
          <w:shd w:fill="FFFFFF" w:val="clear"/>
          <w:lang w:val="uk-UA"/>
        </w:rPr>
        <w:t>-</w:t>
      </w:r>
      <w:r>
        <w:rPr>
          <w:rFonts w:cs="Times New Roman" w:ascii="Times New Roman" w:hAnsi="Times New Roman"/>
          <w:color w:val="000000"/>
          <w:sz w:val="28"/>
          <w:szCs w:val="28"/>
          <w:shd w:fill="FFFFFF" w:val="clear"/>
          <w:lang w:val="en-US"/>
        </w:rPr>
        <w:t>Zadeh</w:t>
      </w:r>
      <w:r>
        <w:rPr>
          <w:rFonts w:cs="Times New Roman" w:ascii="Times New Roman" w:hAnsi="Times New Roman"/>
          <w:color w:val="000000"/>
          <w:sz w:val="28"/>
          <w:szCs w:val="28"/>
          <w:shd w:fill="FFFFFF" w:val="clear"/>
          <w:lang w:val="uk-UA"/>
        </w:rPr>
        <w:t xml:space="preserve">, </w:t>
      </w:r>
      <w:r>
        <w:rPr>
          <w:rFonts w:cs="Times New Roman" w:ascii="Times New Roman" w:hAnsi="Times New Roman"/>
          <w:color w:val="000000"/>
          <w:sz w:val="28"/>
          <w:szCs w:val="28"/>
          <w:shd w:fill="FFFFFF" w:val="clear"/>
          <w:lang w:val="en-US"/>
        </w:rPr>
        <w:t>G</w:t>
      </w:r>
      <w:r>
        <w:rPr>
          <w:rFonts w:cs="Times New Roman" w:ascii="Times New Roman" w:hAnsi="Times New Roman"/>
          <w:color w:val="000000"/>
          <w:sz w:val="28"/>
          <w:szCs w:val="28"/>
          <w:shd w:fill="FFFFFF" w:val="clear"/>
          <w:lang w:val="uk-UA"/>
        </w:rPr>
        <w:t xml:space="preserve">. </w:t>
      </w:r>
      <w:r>
        <w:rPr>
          <w:rFonts w:cs="Times New Roman" w:ascii="Times New Roman" w:hAnsi="Times New Roman"/>
          <w:color w:val="000000"/>
          <w:sz w:val="28"/>
          <w:szCs w:val="28"/>
          <w:shd w:fill="FFFFFF" w:val="clear"/>
          <w:lang w:val="en-US"/>
        </w:rPr>
        <w:t>Serafeim</w:t>
      </w:r>
      <w:r>
        <w:rPr>
          <w:rFonts w:cs="Times New Roman" w:ascii="Times New Roman" w:hAnsi="Times New Roman"/>
          <w:color w:val="000000"/>
          <w:sz w:val="28"/>
          <w:szCs w:val="28"/>
          <w:shd w:fill="FFFFFF" w:val="clear"/>
          <w:lang w:val="uk-UA"/>
        </w:rPr>
        <w:t xml:space="preserve"> // </w:t>
      </w:r>
      <w:r>
        <w:rPr>
          <w:rFonts w:cs="Times New Roman" w:ascii="Times New Roman" w:hAnsi="Times New Roman"/>
          <w:color w:val="000000"/>
          <w:sz w:val="28"/>
          <w:szCs w:val="28"/>
          <w:shd w:fill="FFFFFF" w:val="clear"/>
          <w:lang w:val="en-US"/>
        </w:rPr>
        <w:t>Financial</w:t>
      </w:r>
      <w:r>
        <w:rPr>
          <w:rFonts w:cs="Times New Roman" w:ascii="Times New Roman" w:hAnsi="Times New Roman"/>
          <w:color w:val="000000"/>
          <w:sz w:val="28"/>
          <w:szCs w:val="28"/>
          <w:shd w:fill="FFFFFF" w:val="clear"/>
          <w:lang w:val="uk-UA"/>
        </w:rPr>
        <w:t xml:space="preserve"> </w:t>
      </w:r>
      <w:r>
        <w:rPr>
          <w:rFonts w:cs="Times New Roman" w:ascii="Times New Roman" w:hAnsi="Times New Roman"/>
          <w:color w:val="000000"/>
          <w:sz w:val="28"/>
          <w:szCs w:val="28"/>
          <w:shd w:fill="FFFFFF" w:val="clear"/>
          <w:lang w:val="en-US"/>
        </w:rPr>
        <w:t>Analysts</w:t>
      </w:r>
      <w:r>
        <w:rPr>
          <w:rFonts w:cs="Times New Roman" w:ascii="Times New Roman" w:hAnsi="Times New Roman"/>
          <w:color w:val="000000"/>
          <w:sz w:val="28"/>
          <w:szCs w:val="28"/>
          <w:shd w:fill="FFFFFF" w:val="clear"/>
          <w:lang w:val="uk-UA"/>
        </w:rPr>
        <w:t xml:space="preserve"> </w:t>
      </w:r>
      <w:r>
        <w:rPr>
          <w:rFonts w:cs="Times New Roman" w:ascii="Times New Roman" w:hAnsi="Times New Roman"/>
          <w:color w:val="000000"/>
          <w:sz w:val="28"/>
          <w:szCs w:val="28"/>
          <w:shd w:fill="FFFFFF" w:val="clear"/>
          <w:lang w:val="en-US"/>
        </w:rPr>
        <w:t>Journal</w:t>
      </w:r>
      <w:r>
        <w:rPr>
          <w:rFonts w:cs="Times New Roman" w:ascii="Times New Roman" w:hAnsi="Times New Roman"/>
          <w:color w:val="000000"/>
          <w:sz w:val="28"/>
          <w:szCs w:val="28"/>
          <w:shd w:fill="FFFFFF" w:val="clear"/>
          <w:lang w:val="uk-UA"/>
        </w:rPr>
        <w:t xml:space="preserve">. – 2018. </w:t>
      </w:r>
      <w:r>
        <w:rPr>
          <w:rFonts w:cs="Times New Roman" w:ascii="Times New Roman" w:hAnsi="Times New Roman"/>
          <w:bCs/>
          <w:spacing w:val="-1"/>
          <w:sz w:val="28"/>
          <w:szCs w:val="28"/>
          <w:shd w:fill="FFFFFF" w:val="clear"/>
          <w:lang w:val="uk-UA"/>
        </w:rPr>
        <w:t>–</w:t>
      </w:r>
      <w:r>
        <w:rPr>
          <w:rFonts w:cs="Times New Roman" w:ascii="Times New Roman" w:hAnsi="Times New Roman"/>
          <w:sz w:val="28"/>
          <w:szCs w:val="28"/>
          <w:lang w:val="uk-UA"/>
        </w:rPr>
        <w:t xml:space="preserve"> №74(3). </w:t>
      </w:r>
      <w:r>
        <w:rPr>
          <w:rFonts w:cs="Times New Roman" w:ascii="Times New Roman" w:hAnsi="Times New Roman"/>
          <w:color w:val="000000"/>
          <w:sz w:val="28"/>
          <w:szCs w:val="28"/>
          <w:shd w:fill="FFFFFF" w:val="clear"/>
          <w:lang w:val="uk-UA"/>
        </w:rPr>
        <w:t xml:space="preserve">– Режим доступу: </w:t>
      </w:r>
      <w:hyperlink r:id="rId2">
        <w:r>
          <w:rPr>
            <w:rFonts w:cs="Times New Roman" w:ascii="Times New Roman" w:hAnsi="Times New Roman"/>
            <w:sz w:val="28"/>
            <w:szCs w:val="28"/>
            <w:shd w:fill="FFFFFF" w:val="clear"/>
            <w:lang w:val="en-US"/>
          </w:rPr>
          <w:t>https</w:t>
        </w:r>
        <w:r>
          <w:rPr>
            <w:rFonts w:cs="Times New Roman" w:ascii="Times New Roman" w:hAnsi="Times New Roman"/>
            <w:sz w:val="28"/>
            <w:szCs w:val="28"/>
            <w:shd w:fill="FFFFFF" w:val="clear"/>
            <w:lang w:val="uk-UA"/>
          </w:rPr>
          <w:t>://</w:t>
        </w:r>
        <w:r>
          <w:rPr>
            <w:rFonts w:cs="Times New Roman" w:ascii="Times New Roman" w:hAnsi="Times New Roman"/>
            <w:sz w:val="28"/>
            <w:szCs w:val="28"/>
            <w:shd w:fill="FFFFFF" w:val="clear"/>
            <w:lang w:val="en-US"/>
          </w:rPr>
          <w:t>ssrn</w:t>
        </w:r>
        <w:r>
          <w:rPr>
            <w:rFonts w:cs="Times New Roman" w:ascii="Times New Roman" w:hAnsi="Times New Roman"/>
            <w:sz w:val="28"/>
            <w:szCs w:val="28"/>
            <w:shd w:fill="FFFFFF" w:val="clear"/>
            <w:lang w:val="uk-UA"/>
          </w:rPr>
          <w:t>.</w:t>
        </w:r>
        <w:r>
          <w:rPr>
            <w:rFonts w:cs="Times New Roman" w:ascii="Times New Roman" w:hAnsi="Times New Roman"/>
            <w:sz w:val="28"/>
            <w:szCs w:val="28"/>
            <w:shd w:fill="FFFFFF" w:val="clear"/>
            <w:lang w:val="en-US"/>
          </w:rPr>
          <w:t>com</w:t>
        </w:r>
        <w:r>
          <w:rPr>
            <w:rFonts w:cs="Times New Roman" w:ascii="Times New Roman" w:hAnsi="Times New Roman"/>
            <w:sz w:val="28"/>
            <w:szCs w:val="28"/>
            <w:shd w:fill="FFFFFF" w:val="clear"/>
            <w:lang w:val="uk-UA"/>
          </w:rPr>
          <w:t>/</w:t>
        </w:r>
        <w:r>
          <w:rPr>
            <w:rFonts w:cs="Times New Roman" w:ascii="Times New Roman" w:hAnsi="Times New Roman"/>
            <w:sz w:val="28"/>
            <w:szCs w:val="28"/>
            <w:shd w:fill="FFFFFF" w:val="clear"/>
            <w:lang w:val="en-US"/>
          </w:rPr>
          <w:t>abstract</w:t>
        </w:r>
        <w:r>
          <w:rPr>
            <w:rFonts w:cs="Times New Roman" w:ascii="Times New Roman" w:hAnsi="Times New Roman"/>
            <w:sz w:val="28"/>
            <w:szCs w:val="28"/>
            <w:shd w:fill="FFFFFF" w:val="clear"/>
            <w:lang w:val="uk-UA"/>
          </w:rPr>
          <w:t>=2925310</w:t>
        </w:r>
      </w:hyperlink>
      <w:r>
        <w:rPr>
          <w:rFonts w:cs="Times New Roman" w:ascii="Times New Roman" w:hAnsi="Times New Roman"/>
          <w:color w:val="000000"/>
          <w:sz w:val="28"/>
          <w:szCs w:val="28"/>
          <w:shd w:fill="FFFFFF" w:val="clear"/>
          <w:lang w:val="uk-UA"/>
        </w:rPr>
        <w:t>.</w:t>
      </w:r>
      <w:r>
        <w:rPr>
          <w:rFonts w:cs="Times New Roman" w:ascii="Times New Roman" w:hAnsi="Times New Roman"/>
          <w:color w:val="000000"/>
          <w:sz w:val="28"/>
          <w:szCs w:val="28"/>
          <w:shd w:fill="FFFFFF" w:val="clear"/>
          <w:lang w:val="en-US"/>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en-US"/>
        </w:rPr>
        <w:t>Grewal</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J</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Hauptman</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C</w:t>
      </w:r>
      <w:r>
        <w:rPr>
          <w:rFonts w:cs="Times New Roman" w:ascii="Times New Roman" w:hAnsi="Times New Roman"/>
          <w:sz w:val="28"/>
          <w:szCs w:val="28"/>
          <w:lang w:val="uk-UA"/>
        </w:rPr>
        <w:t xml:space="preserve">.,  </w:t>
      </w:r>
      <w:r>
        <w:rPr>
          <w:rFonts w:cs="Times New Roman" w:ascii="Times New Roman" w:hAnsi="Times New Roman"/>
          <w:color w:val="000000"/>
          <w:sz w:val="28"/>
          <w:szCs w:val="28"/>
          <w:shd w:fill="FFFFFF" w:val="clear"/>
          <w:lang w:val="en-US"/>
        </w:rPr>
        <w:t>Serafeim</w:t>
      </w:r>
      <w:r>
        <w:rPr>
          <w:rFonts w:cs="Times New Roman" w:ascii="Times New Roman" w:hAnsi="Times New Roman"/>
          <w:color w:val="000000"/>
          <w:sz w:val="28"/>
          <w:szCs w:val="28"/>
          <w:shd w:fill="FFFFFF" w:val="clear"/>
          <w:lang w:val="uk-UA"/>
        </w:rPr>
        <w:t xml:space="preserve"> </w:t>
      </w:r>
      <w:r>
        <w:rPr>
          <w:rFonts w:cs="Times New Roman" w:ascii="Times New Roman" w:hAnsi="Times New Roman"/>
          <w:color w:val="000000"/>
          <w:sz w:val="28"/>
          <w:szCs w:val="28"/>
          <w:shd w:fill="FFFFFF" w:val="clear"/>
          <w:lang w:val="en-US"/>
        </w:rPr>
        <w:t>G</w:t>
      </w:r>
      <w:r>
        <w:rPr>
          <w:rFonts w:cs="Times New Roman" w:ascii="Times New Roman" w:hAnsi="Times New Roman"/>
          <w:color w:val="000000"/>
          <w:sz w:val="28"/>
          <w:szCs w:val="28"/>
          <w:shd w:fill="FFFFFF" w:val="clear"/>
          <w:lang w:val="uk-UA"/>
        </w:rPr>
        <w:t xml:space="preserve">. </w:t>
      </w:r>
      <w:r>
        <w:rPr>
          <w:rFonts w:cs="Times New Roman" w:ascii="Times New Roman" w:hAnsi="Times New Roman"/>
          <w:sz w:val="28"/>
          <w:szCs w:val="28"/>
          <w:lang w:val="en-US"/>
        </w:rPr>
        <w:t>Stock</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price</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synchronicity</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and</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material</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sustainability</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information</w:t>
      </w:r>
      <w:r>
        <w:rPr>
          <w:rFonts w:cs="Times New Roman" w:ascii="Times New Roman" w:hAnsi="Times New Roman"/>
          <w:sz w:val="28"/>
          <w:szCs w:val="28"/>
          <w:lang w:val="uk-UA"/>
        </w:rPr>
        <w:t xml:space="preserve"> [Електронний ресурс] / </w:t>
      </w:r>
      <w:r>
        <w:rPr>
          <w:rFonts w:cs="Times New Roman" w:ascii="Times New Roman" w:hAnsi="Times New Roman"/>
          <w:sz w:val="28"/>
          <w:szCs w:val="28"/>
          <w:lang w:val="en-US"/>
        </w:rPr>
        <w:t>J</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Grewal</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C</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Hauptman</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G</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Serafeim</w:t>
      </w:r>
      <w:r>
        <w:rPr>
          <w:rFonts w:cs="Times New Roman" w:ascii="Times New Roman" w:hAnsi="Times New Roman"/>
          <w:sz w:val="28"/>
          <w:szCs w:val="28"/>
          <w:lang w:val="uk-UA"/>
        </w:rPr>
        <w:t xml:space="preserve"> // </w:t>
      </w:r>
      <w:r>
        <w:rPr>
          <w:rFonts w:cs="Times New Roman" w:ascii="Times New Roman" w:hAnsi="Times New Roman"/>
          <w:sz w:val="28"/>
          <w:szCs w:val="28"/>
          <w:lang w:val="en-US"/>
        </w:rPr>
        <w:t>Harvard</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Business</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School</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Working</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Paper</w:t>
      </w:r>
      <w:r>
        <w:rPr>
          <w:rFonts w:cs="Times New Roman" w:ascii="Times New Roman" w:hAnsi="Times New Roman"/>
          <w:sz w:val="28"/>
          <w:szCs w:val="28"/>
          <w:lang w:val="uk-UA"/>
        </w:rPr>
        <w:t xml:space="preserve">. – 2017. – №17-098. </w:t>
      </w:r>
      <w:r>
        <w:rPr>
          <w:rFonts w:eastAsia="Symbol" w:cs="Symbol" w:ascii="Symbol" w:hAnsi="Symbol"/>
          <w:sz w:val="28"/>
          <w:szCs w:val="28"/>
          <w:lang w:val="en-US"/>
        </w:rPr>
        <w:t></w:t>
      </w:r>
      <w:r>
        <w:rPr>
          <w:rFonts w:cs="Times New Roman" w:ascii="Times New Roman" w:hAnsi="Times New Roman"/>
          <w:sz w:val="28"/>
          <w:szCs w:val="28"/>
          <w:lang w:val="uk-UA"/>
        </w:rPr>
        <w:t xml:space="preserve"> Режим доступу: </w:t>
      </w:r>
      <w:hyperlink r:id="rId3">
        <w:r>
          <w:rPr>
            <w:rFonts w:cs="Times New Roman" w:ascii="Times New Roman" w:hAnsi="Times New Roman"/>
            <w:sz w:val="28"/>
            <w:szCs w:val="28"/>
            <w:lang w:val="en-US"/>
          </w:rPr>
          <w:t>https</w:t>
        </w:r>
        <w:r>
          <w:rPr>
            <w:rFonts w:cs="Times New Roman" w:ascii="Times New Roman" w:hAnsi="Times New Roman"/>
            <w:sz w:val="28"/>
            <w:szCs w:val="28"/>
            <w:lang w:val="uk-UA"/>
          </w:rPr>
          <w:t>://</w:t>
        </w:r>
        <w:r>
          <w:rPr>
            <w:rFonts w:cs="Times New Roman" w:ascii="Times New Roman" w:hAnsi="Times New Roman"/>
            <w:sz w:val="28"/>
            <w:szCs w:val="28"/>
            <w:lang w:val="en-US"/>
          </w:rPr>
          <w:t>dash</w:t>
        </w:r>
        <w:r>
          <w:rPr>
            <w:rFonts w:cs="Times New Roman" w:ascii="Times New Roman" w:hAnsi="Times New Roman"/>
            <w:sz w:val="28"/>
            <w:szCs w:val="28"/>
            <w:lang w:val="uk-UA"/>
          </w:rPr>
          <w:t>.</w:t>
        </w:r>
        <w:r>
          <w:rPr>
            <w:rFonts w:cs="Times New Roman" w:ascii="Times New Roman" w:hAnsi="Times New Roman"/>
            <w:sz w:val="28"/>
            <w:szCs w:val="28"/>
            <w:lang w:val="en-US"/>
          </w:rPr>
          <w:t>harvard</w:t>
        </w:r>
        <w:r>
          <w:rPr>
            <w:rFonts w:cs="Times New Roman" w:ascii="Times New Roman" w:hAnsi="Times New Roman"/>
            <w:sz w:val="28"/>
            <w:szCs w:val="28"/>
            <w:lang w:val="uk-UA"/>
          </w:rPr>
          <w:t>.</w:t>
        </w:r>
        <w:r>
          <w:rPr>
            <w:rFonts w:cs="Times New Roman" w:ascii="Times New Roman" w:hAnsi="Times New Roman"/>
            <w:sz w:val="28"/>
            <w:szCs w:val="28"/>
            <w:lang w:val="en-US"/>
          </w:rPr>
          <w:t>edu</w:t>
        </w:r>
        <w:r>
          <w:rPr>
            <w:rFonts w:cs="Times New Roman" w:ascii="Times New Roman" w:hAnsi="Times New Roman"/>
            <w:sz w:val="28"/>
            <w:szCs w:val="28"/>
            <w:lang w:val="uk-UA"/>
          </w:rPr>
          <w:t>/</w:t>
        </w:r>
        <w:r>
          <w:rPr>
            <w:rFonts w:cs="Times New Roman" w:ascii="Times New Roman" w:hAnsi="Times New Roman"/>
            <w:sz w:val="28"/>
            <w:szCs w:val="28"/>
            <w:lang w:val="en-US"/>
          </w:rPr>
          <w:t>handle</w:t>
        </w:r>
        <w:r>
          <w:rPr>
            <w:rFonts w:cs="Times New Roman" w:ascii="Times New Roman" w:hAnsi="Times New Roman"/>
            <w:sz w:val="28"/>
            <w:szCs w:val="28"/>
            <w:lang w:val="uk-UA"/>
          </w:rPr>
          <w:t>/1/33110114</w:t>
        </w:r>
      </w:hyperlink>
      <w:r>
        <w:rPr>
          <w:rFonts w:cs="Times New Roman" w:ascii="Times New Roman" w:hAnsi="Times New Roman"/>
          <w:sz w:val="28"/>
          <w:szCs w:val="28"/>
          <w:lang w:val="uk-UA"/>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en-US"/>
        </w:rPr>
        <w:t>A Blueprint for Integrating ESG into Equity Portfolios [</w:t>
      </w:r>
      <w:r>
        <w:rPr>
          <w:rFonts w:cs="Times New Roman" w:ascii="Times New Roman" w:hAnsi="Times New Roman"/>
          <w:sz w:val="28"/>
          <w:szCs w:val="28"/>
        </w:rPr>
        <w:t>Електронний</w:t>
      </w:r>
      <w:r>
        <w:rPr>
          <w:rFonts w:cs="Times New Roman" w:ascii="Times New Roman" w:hAnsi="Times New Roman"/>
          <w:sz w:val="28"/>
          <w:szCs w:val="28"/>
          <w:lang w:val="en-US"/>
        </w:rPr>
        <w:t xml:space="preserve"> </w:t>
      </w:r>
      <w:r>
        <w:rPr>
          <w:rFonts w:cs="Times New Roman" w:ascii="Times New Roman" w:hAnsi="Times New Roman"/>
          <w:sz w:val="28"/>
          <w:szCs w:val="28"/>
        </w:rPr>
        <w:t>ресурс</w:t>
      </w:r>
      <w:r>
        <w:rPr>
          <w:rFonts w:cs="Times New Roman" w:ascii="Times New Roman" w:hAnsi="Times New Roman"/>
          <w:sz w:val="28"/>
          <w:szCs w:val="28"/>
          <w:lang w:val="en-US"/>
        </w:rPr>
        <w:t xml:space="preserve">] / [J. Bender, T. Bridges, C. He </w:t>
      </w:r>
      <w:r>
        <w:rPr>
          <w:rFonts w:cs="Times New Roman" w:ascii="Times New Roman" w:hAnsi="Times New Roman"/>
          <w:sz w:val="28"/>
          <w:szCs w:val="28"/>
        </w:rPr>
        <w:t>та</w:t>
      </w:r>
      <w:r>
        <w:rPr>
          <w:rFonts w:cs="Times New Roman" w:ascii="Times New Roman" w:hAnsi="Times New Roman"/>
          <w:sz w:val="28"/>
          <w:szCs w:val="28"/>
          <w:lang w:val="en-US"/>
        </w:rPr>
        <w:t xml:space="preserve"> </w:t>
      </w:r>
      <w:r>
        <w:rPr>
          <w:rFonts w:cs="Times New Roman" w:ascii="Times New Roman" w:hAnsi="Times New Roman"/>
          <w:sz w:val="28"/>
          <w:szCs w:val="28"/>
        </w:rPr>
        <w:t>ін</w:t>
      </w:r>
      <w:r>
        <w:rPr>
          <w:rFonts w:cs="Times New Roman" w:ascii="Times New Roman" w:hAnsi="Times New Roman"/>
          <w:sz w:val="28"/>
          <w:szCs w:val="28"/>
          <w:lang w:val="en-US"/>
        </w:rPr>
        <w:t xml:space="preserve">.] // The Journal of Investment Management. – 2018. – </w:t>
      </w:r>
      <w:r>
        <w:rPr>
          <w:rFonts w:cs="Times New Roman" w:ascii="Times New Roman" w:hAnsi="Times New Roman"/>
          <w:sz w:val="28"/>
          <w:szCs w:val="28"/>
          <w:lang w:val="uk-UA"/>
        </w:rPr>
        <w:t>№</w:t>
      </w:r>
      <w:r>
        <w:rPr>
          <w:rFonts w:cs="Times New Roman" w:ascii="Times New Roman" w:hAnsi="Times New Roman"/>
          <w:sz w:val="28"/>
          <w:szCs w:val="28"/>
          <w:lang w:val="en-US"/>
        </w:rPr>
        <w:t xml:space="preserve">16(1). </w:t>
      </w:r>
      <w:r>
        <w:rPr>
          <w:rFonts w:eastAsia="Symbol" w:cs="Symbol" w:ascii="Symbol" w:hAnsi="Symbol"/>
          <w:sz w:val="28"/>
          <w:szCs w:val="28"/>
          <w:lang w:val="en-US"/>
        </w:rPr>
        <w:t></w:t>
      </w:r>
      <w:r>
        <w:rPr>
          <w:rFonts w:cs="Times New Roman" w:ascii="Times New Roman" w:hAnsi="Times New Roman"/>
          <w:sz w:val="28"/>
          <w:szCs w:val="28"/>
          <w:lang w:val="en-US"/>
        </w:rPr>
        <w:t xml:space="preserve"> </w:t>
      </w:r>
      <w:r>
        <w:rPr>
          <w:rFonts w:cs="Times New Roman" w:ascii="Times New Roman" w:hAnsi="Times New Roman"/>
          <w:sz w:val="28"/>
          <w:szCs w:val="28"/>
        </w:rPr>
        <w:t>Режим</w:t>
      </w:r>
      <w:r>
        <w:rPr>
          <w:rFonts w:cs="Times New Roman" w:ascii="Times New Roman" w:hAnsi="Times New Roman"/>
          <w:sz w:val="28"/>
          <w:szCs w:val="28"/>
          <w:lang w:val="en-US"/>
        </w:rPr>
        <w:t xml:space="preserve"> </w:t>
      </w:r>
      <w:r>
        <w:rPr>
          <w:rFonts w:cs="Times New Roman" w:ascii="Times New Roman" w:hAnsi="Times New Roman"/>
          <w:sz w:val="28"/>
          <w:szCs w:val="28"/>
        </w:rPr>
        <w:t>доступу</w:t>
      </w:r>
      <w:r>
        <w:rPr>
          <w:rFonts w:cs="Times New Roman" w:ascii="Times New Roman" w:hAnsi="Times New Roman"/>
          <w:sz w:val="28"/>
          <w:szCs w:val="28"/>
          <w:lang w:val="en-US"/>
        </w:rPr>
        <w:t xml:space="preserve">: </w:t>
      </w:r>
      <w:hyperlink r:id="rId4">
        <w:r>
          <w:rPr>
            <w:rFonts w:cs="Times New Roman" w:ascii="Times New Roman" w:hAnsi="Times New Roman"/>
            <w:sz w:val="28"/>
            <w:szCs w:val="28"/>
            <w:lang w:val="en-US"/>
          </w:rPr>
          <w:t>https://ssrn.com/abstract=3080381</w:t>
        </w:r>
      </w:hyperlink>
      <w:r>
        <w:rPr>
          <w:rFonts w:cs="Times New Roman" w:ascii="Times New Roman" w:hAnsi="Times New Roman"/>
          <w:sz w:val="28"/>
          <w:szCs w:val="28"/>
          <w:lang w:val="en-US"/>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en-US"/>
        </w:rPr>
        <w:t>Lopez</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de</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Silanes</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F</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McCahery</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J</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Pudschedl</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P</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ESG</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Performance</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and</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Disclosure</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A</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Cross</w:t>
      </w:r>
      <w:r>
        <w:rPr>
          <w:rFonts w:cs="Times New Roman" w:ascii="Times New Roman" w:hAnsi="Times New Roman"/>
          <w:sz w:val="28"/>
          <w:szCs w:val="28"/>
          <w:lang w:val="uk-UA"/>
        </w:rPr>
        <w:t>-</w:t>
      </w:r>
      <w:r>
        <w:rPr>
          <w:rFonts w:cs="Times New Roman" w:ascii="Times New Roman" w:hAnsi="Times New Roman"/>
          <w:sz w:val="28"/>
          <w:szCs w:val="28"/>
          <w:lang w:val="en-US"/>
        </w:rPr>
        <w:t>Country</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Analysis</w:t>
      </w:r>
      <w:r>
        <w:rPr>
          <w:rFonts w:cs="Times New Roman" w:ascii="Times New Roman" w:hAnsi="Times New Roman"/>
          <w:sz w:val="28"/>
          <w:szCs w:val="28"/>
          <w:lang w:val="uk-UA"/>
        </w:rPr>
        <w:t xml:space="preserve"> [Електронний ресурс] / </w:t>
      </w:r>
      <w:r>
        <w:rPr>
          <w:rFonts w:cs="Times New Roman" w:ascii="Times New Roman" w:hAnsi="Times New Roman"/>
          <w:sz w:val="28"/>
          <w:szCs w:val="28"/>
          <w:lang w:val="en-US"/>
        </w:rPr>
        <w:t>F</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Lopez</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de</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Silanes</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J</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McCahery</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P</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Pudschedl</w:t>
      </w:r>
      <w:r>
        <w:rPr>
          <w:rFonts w:cs="Times New Roman" w:ascii="Times New Roman" w:hAnsi="Times New Roman"/>
          <w:sz w:val="28"/>
          <w:szCs w:val="28"/>
          <w:lang w:val="uk-UA"/>
        </w:rPr>
        <w:t xml:space="preserve"> // </w:t>
      </w:r>
      <w:r>
        <w:rPr>
          <w:rFonts w:cs="Times New Roman" w:ascii="Times New Roman" w:hAnsi="Times New Roman"/>
          <w:sz w:val="28"/>
          <w:szCs w:val="28"/>
          <w:lang w:val="en-US"/>
        </w:rPr>
        <w:t>TILEC</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Discussion</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Paper</w:t>
      </w:r>
      <w:r>
        <w:rPr>
          <w:rFonts w:cs="Times New Roman" w:ascii="Times New Roman" w:hAnsi="Times New Roman"/>
          <w:sz w:val="28"/>
          <w:szCs w:val="28"/>
          <w:lang w:val="uk-UA"/>
        </w:rPr>
        <w:t xml:space="preserve">. – 2019. – №481. </w:t>
      </w:r>
      <w:r>
        <w:rPr>
          <w:rFonts w:eastAsia="Symbol" w:cs="Symbol" w:ascii="Symbol" w:hAnsi="Symbol"/>
          <w:sz w:val="28"/>
          <w:szCs w:val="28"/>
          <w:lang w:val="en-US"/>
        </w:rPr>
        <w:t></w:t>
      </w:r>
      <w:r>
        <w:rPr>
          <w:rFonts w:cs="Times New Roman" w:ascii="Times New Roman" w:hAnsi="Times New Roman"/>
          <w:sz w:val="28"/>
          <w:szCs w:val="28"/>
          <w:lang w:val="uk-UA"/>
        </w:rPr>
        <w:t xml:space="preserve"> Режим доступу: </w:t>
      </w:r>
      <w:hyperlink r:id="rId5">
        <w:r>
          <w:rPr>
            <w:rFonts w:cs="Times New Roman" w:ascii="Times New Roman" w:hAnsi="Times New Roman"/>
            <w:sz w:val="28"/>
            <w:szCs w:val="28"/>
            <w:lang w:val="en-US"/>
          </w:rPr>
          <w:t>https</w:t>
        </w:r>
        <w:r>
          <w:rPr>
            <w:rFonts w:cs="Times New Roman" w:ascii="Times New Roman" w:hAnsi="Times New Roman"/>
            <w:sz w:val="28"/>
            <w:szCs w:val="28"/>
            <w:lang w:val="uk-UA"/>
          </w:rPr>
          <w:t>://</w:t>
        </w:r>
        <w:r>
          <w:rPr>
            <w:rFonts w:cs="Times New Roman" w:ascii="Times New Roman" w:hAnsi="Times New Roman"/>
            <w:sz w:val="28"/>
            <w:szCs w:val="28"/>
            <w:lang w:val="en-US"/>
          </w:rPr>
          <w:t>ssrn</w:t>
        </w:r>
        <w:r>
          <w:rPr>
            <w:rFonts w:cs="Times New Roman" w:ascii="Times New Roman" w:hAnsi="Times New Roman"/>
            <w:sz w:val="28"/>
            <w:szCs w:val="28"/>
            <w:lang w:val="uk-UA"/>
          </w:rPr>
          <w:t>.</w:t>
        </w:r>
        <w:r>
          <w:rPr>
            <w:rFonts w:cs="Times New Roman" w:ascii="Times New Roman" w:hAnsi="Times New Roman"/>
            <w:sz w:val="28"/>
            <w:szCs w:val="28"/>
            <w:lang w:val="en-US"/>
          </w:rPr>
          <w:t>com</w:t>
        </w:r>
        <w:r>
          <w:rPr>
            <w:rFonts w:cs="Times New Roman" w:ascii="Times New Roman" w:hAnsi="Times New Roman"/>
            <w:sz w:val="28"/>
            <w:szCs w:val="28"/>
            <w:lang w:val="uk-UA"/>
          </w:rPr>
          <w:t>/</w:t>
        </w:r>
        <w:r>
          <w:rPr>
            <w:rFonts w:cs="Times New Roman" w:ascii="Times New Roman" w:hAnsi="Times New Roman"/>
            <w:sz w:val="28"/>
            <w:szCs w:val="28"/>
            <w:lang w:val="en-US"/>
          </w:rPr>
          <w:t>abstract</w:t>
        </w:r>
        <w:r>
          <w:rPr>
            <w:rFonts w:cs="Times New Roman" w:ascii="Times New Roman" w:hAnsi="Times New Roman"/>
            <w:sz w:val="28"/>
            <w:szCs w:val="28"/>
            <w:lang w:val="uk-UA"/>
          </w:rPr>
          <w:t>=3506084</w:t>
        </w:r>
      </w:hyperlink>
      <w:r>
        <w:rPr>
          <w:rFonts w:cs="Times New Roman" w:ascii="Times New Roman" w:hAnsi="Times New Roman"/>
          <w:sz w:val="28"/>
          <w:szCs w:val="28"/>
          <w:lang w:val="uk-UA"/>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uk-UA"/>
        </w:rPr>
        <w:t>Freiberg</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D</w:t>
      </w:r>
      <w:r>
        <w:rPr>
          <w:rFonts w:cs="Times New Roman" w:ascii="Times New Roman" w:hAnsi="Times New Roman"/>
          <w:sz w:val="28"/>
          <w:szCs w:val="28"/>
          <w:lang w:val="en-US"/>
        </w:rPr>
        <w:t>.,</w:t>
      </w:r>
      <w:r>
        <w:rPr>
          <w:rFonts w:cs="Times New Roman" w:ascii="Times New Roman" w:hAnsi="Times New Roman"/>
          <w:sz w:val="28"/>
          <w:szCs w:val="28"/>
          <w:lang w:val="uk-UA"/>
        </w:rPr>
        <w:t xml:space="preserve"> Rogers</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J</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Serafeim G</w:t>
      </w:r>
      <w:r>
        <w:rPr>
          <w:rFonts w:cs="Times New Roman" w:ascii="Times New Roman" w:hAnsi="Times New Roman"/>
          <w:sz w:val="28"/>
          <w:szCs w:val="28"/>
          <w:lang w:val="en-US"/>
        </w:rPr>
        <w:t>.</w:t>
      </w:r>
      <w:r>
        <w:rPr>
          <w:rFonts w:cs="Times New Roman" w:ascii="Times New Roman" w:hAnsi="Times New Roman"/>
          <w:sz w:val="28"/>
          <w:szCs w:val="28"/>
          <w:lang w:val="uk-UA"/>
        </w:rPr>
        <w:t xml:space="preserve"> How ESG Issues Become Financially Material to Corporations and Their Investors [Електронний ресурс] / D</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Freiberg</w:t>
      </w:r>
      <w:r>
        <w:rPr>
          <w:rFonts w:cs="Times New Roman" w:ascii="Times New Roman" w:hAnsi="Times New Roman"/>
          <w:sz w:val="28"/>
          <w:szCs w:val="28"/>
          <w:lang w:val="en-US"/>
        </w:rPr>
        <w:t>,</w:t>
      </w:r>
      <w:r>
        <w:rPr>
          <w:rFonts w:cs="Times New Roman" w:ascii="Times New Roman" w:hAnsi="Times New Roman"/>
          <w:sz w:val="28"/>
          <w:szCs w:val="28"/>
          <w:lang w:val="uk-UA"/>
        </w:rPr>
        <w:t xml:space="preserve"> J</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Rogers</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G</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Serafeim // Harvard Business School Accounting &amp; Management Unit Working Paper</w:t>
      </w:r>
      <w:r>
        <w:rPr>
          <w:rFonts w:cs="Times New Roman" w:ascii="Times New Roman" w:hAnsi="Times New Roman"/>
          <w:sz w:val="28"/>
          <w:szCs w:val="28"/>
          <w:lang w:val="en-US"/>
        </w:rPr>
        <w:t>.</w:t>
      </w:r>
      <w:r>
        <w:rPr>
          <w:rFonts w:cs="Times New Roman" w:ascii="Times New Roman" w:hAnsi="Times New Roman"/>
          <w:sz w:val="28"/>
          <w:szCs w:val="28"/>
          <w:lang w:val="uk-UA"/>
        </w:rPr>
        <w:t xml:space="preserve"> – 20</w:t>
      </w:r>
      <w:r>
        <w:rPr>
          <w:rFonts w:cs="Times New Roman" w:ascii="Times New Roman" w:hAnsi="Times New Roman"/>
          <w:sz w:val="28"/>
          <w:szCs w:val="28"/>
          <w:lang w:val="en-US"/>
        </w:rPr>
        <w:t>20</w:t>
      </w:r>
      <w:r>
        <w:rPr>
          <w:rFonts w:cs="Times New Roman" w:ascii="Times New Roman" w:hAnsi="Times New Roman"/>
          <w:sz w:val="28"/>
          <w:szCs w:val="28"/>
          <w:lang w:val="uk-UA"/>
        </w:rPr>
        <w:t xml:space="preserve">. – №20-056. </w:t>
      </w:r>
      <w:r>
        <w:rPr>
          <w:rFonts w:eastAsia="Symbol" w:cs="Symbol" w:ascii="Symbol" w:hAnsi="Symbol"/>
          <w:sz w:val="28"/>
          <w:szCs w:val="28"/>
          <w:lang w:val="en-US"/>
        </w:rPr>
        <w:t></w:t>
      </w:r>
      <w:r>
        <w:rPr>
          <w:rFonts w:cs="Times New Roman" w:ascii="Times New Roman" w:hAnsi="Times New Roman"/>
          <w:sz w:val="28"/>
          <w:szCs w:val="28"/>
          <w:lang w:val="uk-UA"/>
        </w:rPr>
        <w:t xml:space="preserve"> Режим доступу: </w:t>
      </w:r>
      <w:hyperlink r:id="rId6" w:tgtFrame="_blank">
        <w:r>
          <w:rPr>
            <w:rFonts w:cs="Times New Roman" w:ascii="Times New Roman" w:hAnsi="Times New Roman"/>
            <w:sz w:val="28"/>
            <w:szCs w:val="28"/>
            <w:lang w:val="uk-UA"/>
          </w:rPr>
          <w:t>https://ssrn.com/abstract=3482546</w:t>
        </w:r>
      </w:hyperlink>
      <w:r>
        <w:rPr>
          <w:rFonts w:cs="Times New Roman" w:ascii="Times New Roman" w:hAnsi="Times New Roman"/>
          <w:sz w:val="28"/>
          <w:szCs w:val="28"/>
          <w:lang w:val="en-US"/>
        </w:rPr>
        <w:t xml:space="preserve">. </w:t>
      </w:r>
      <w:r>
        <w:rPr>
          <w:rFonts w:cs="Times New Roman" w:ascii="Times New Roman" w:hAnsi="Times New Roman"/>
          <w:sz w:val="28"/>
          <w:szCs w:val="28"/>
          <w:lang w:val="uk-UA"/>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en-US"/>
        </w:rPr>
        <w:t>Dynamic</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Materiality</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Measuring</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What</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Matters</w:t>
      </w:r>
      <w:r>
        <w:rPr>
          <w:rFonts w:cs="Times New Roman" w:ascii="Times New Roman" w:hAnsi="Times New Roman"/>
          <w:sz w:val="28"/>
          <w:szCs w:val="28"/>
          <w:lang w:val="uk-UA"/>
        </w:rPr>
        <w:t xml:space="preserve"> [Електронний ресурс] / </w:t>
      </w:r>
      <w:r>
        <w:rPr>
          <w:rFonts w:cs="Times New Roman" w:ascii="Times New Roman" w:hAnsi="Times New Roman"/>
          <w:sz w:val="28"/>
          <w:szCs w:val="28"/>
          <w:lang w:val="en-US"/>
        </w:rPr>
        <w:t>T</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Kuh</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A</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Shepley</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G</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Bala</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M</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Flowers</w:t>
      </w:r>
      <w:r>
        <w:rPr>
          <w:rFonts w:cs="Times New Roman" w:ascii="Times New Roman" w:hAnsi="Times New Roman"/>
          <w:sz w:val="28"/>
          <w:szCs w:val="28"/>
          <w:lang w:val="uk-UA"/>
        </w:rPr>
        <w:t xml:space="preserve">. – 2020. – Режим доступу: </w:t>
      </w:r>
      <w:hyperlink r:id="rId7">
        <w:r>
          <w:rPr>
            <w:rFonts w:cs="Times New Roman" w:ascii="Times New Roman" w:hAnsi="Times New Roman"/>
            <w:sz w:val="28"/>
            <w:szCs w:val="28"/>
            <w:lang w:val="en-US"/>
          </w:rPr>
          <w:t>https</w:t>
        </w:r>
        <w:r>
          <w:rPr>
            <w:rFonts w:cs="Times New Roman" w:ascii="Times New Roman" w:hAnsi="Times New Roman"/>
            <w:sz w:val="28"/>
            <w:szCs w:val="28"/>
            <w:lang w:val="uk-UA"/>
          </w:rPr>
          <w:t>://</w:t>
        </w:r>
        <w:r>
          <w:rPr>
            <w:rFonts w:cs="Times New Roman" w:ascii="Times New Roman" w:hAnsi="Times New Roman"/>
            <w:sz w:val="28"/>
            <w:szCs w:val="28"/>
            <w:lang w:val="en-US"/>
          </w:rPr>
          <w:t>ssrn</w:t>
        </w:r>
        <w:r>
          <w:rPr>
            <w:rFonts w:cs="Times New Roman" w:ascii="Times New Roman" w:hAnsi="Times New Roman"/>
            <w:sz w:val="28"/>
            <w:szCs w:val="28"/>
            <w:lang w:val="uk-UA"/>
          </w:rPr>
          <w:t>.</w:t>
        </w:r>
        <w:r>
          <w:rPr>
            <w:rFonts w:cs="Times New Roman" w:ascii="Times New Roman" w:hAnsi="Times New Roman"/>
            <w:sz w:val="28"/>
            <w:szCs w:val="28"/>
            <w:lang w:val="en-US"/>
          </w:rPr>
          <w:t>com</w:t>
        </w:r>
        <w:r>
          <w:rPr>
            <w:rFonts w:cs="Times New Roman" w:ascii="Times New Roman" w:hAnsi="Times New Roman"/>
            <w:sz w:val="28"/>
            <w:szCs w:val="28"/>
            <w:lang w:val="uk-UA"/>
          </w:rPr>
          <w:t>/</w:t>
        </w:r>
        <w:r>
          <w:rPr>
            <w:rFonts w:cs="Times New Roman" w:ascii="Times New Roman" w:hAnsi="Times New Roman"/>
            <w:sz w:val="28"/>
            <w:szCs w:val="28"/>
            <w:lang w:val="en-US"/>
          </w:rPr>
          <w:t>abstract</w:t>
        </w:r>
        <w:r>
          <w:rPr>
            <w:rFonts w:cs="Times New Roman" w:ascii="Times New Roman" w:hAnsi="Times New Roman"/>
            <w:sz w:val="28"/>
            <w:szCs w:val="28"/>
            <w:lang w:val="uk-UA"/>
          </w:rPr>
          <w:t>=3521035</w:t>
        </w:r>
      </w:hyperlink>
      <w:r>
        <w:rPr>
          <w:rFonts w:cs="Times New Roman" w:ascii="Times New Roman" w:hAnsi="Times New Roman"/>
          <w:sz w:val="28"/>
          <w:szCs w:val="28"/>
          <w:lang w:val="uk-UA"/>
        </w:rPr>
        <w:t>.</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Serafeim G., Yoon A. Stock Price Reactions to ESG News: The Role of ESG Ratings and Disagreement [Електронний ресурс] / </w:t>
      </w:r>
      <w:r>
        <w:rPr>
          <w:rFonts w:cs="Times New Roman" w:ascii="Times New Roman" w:hAnsi="Times New Roman"/>
          <w:sz w:val="28"/>
          <w:szCs w:val="28"/>
          <w:lang w:val="en-US"/>
        </w:rPr>
        <w:t>G</w:t>
      </w:r>
      <w:r>
        <w:rPr>
          <w:rFonts w:cs="Times New Roman" w:ascii="Times New Roman" w:hAnsi="Times New Roman"/>
          <w:sz w:val="28"/>
          <w:szCs w:val="28"/>
          <w:lang w:val="uk-UA"/>
        </w:rPr>
        <w:t>. Serafei</w:t>
      </w:r>
      <w:r>
        <w:rPr>
          <w:rFonts w:cs="Times New Roman" w:ascii="Times New Roman" w:hAnsi="Times New Roman"/>
          <w:sz w:val="28"/>
          <w:szCs w:val="28"/>
          <w:lang w:val="en-US"/>
        </w:rPr>
        <w:t>m</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A</w:t>
      </w:r>
      <w:r>
        <w:rPr>
          <w:rFonts w:cs="Times New Roman" w:ascii="Times New Roman" w:hAnsi="Times New Roman"/>
          <w:sz w:val="28"/>
          <w:szCs w:val="28"/>
          <w:lang w:val="uk-UA"/>
        </w:rPr>
        <w:t xml:space="preserve">. Yoon // Review of Accounting Studies. – 2021. </w:t>
      </w:r>
      <w:r>
        <w:rPr>
          <w:rFonts w:eastAsia="Symbol" w:cs="Symbol" w:ascii="Symbol" w:hAnsi="Symbol"/>
          <w:sz w:val="28"/>
          <w:szCs w:val="28"/>
          <w:lang w:val="en-US"/>
        </w:rPr>
        <w:t></w:t>
      </w:r>
      <w:r>
        <w:rPr>
          <w:rFonts w:cs="Times New Roman" w:ascii="Times New Roman" w:hAnsi="Times New Roman"/>
          <w:sz w:val="28"/>
          <w:szCs w:val="28"/>
          <w:lang w:val="uk-UA"/>
        </w:rPr>
        <w:t xml:space="preserve"> Режим доступу: </w:t>
      </w:r>
      <w:hyperlink r:id="rId8" w:tgtFrame="_blank">
        <w:r>
          <w:rPr>
            <w:rFonts w:cs="Times New Roman" w:ascii="Times New Roman" w:hAnsi="Times New Roman"/>
            <w:sz w:val="28"/>
            <w:szCs w:val="28"/>
            <w:lang w:val="uk-UA"/>
          </w:rPr>
          <w:t>https://ssrn.com/abstract=3765217</w:t>
        </w:r>
      </w:hyperlink>
      <w:r>
        <w:rPr>
          <w:rFonts w:cs="Times New Roman" w:ascii="Times New Roman" w:hAnsi="Times New Roman"/>
          <w:sz w:val="28"/>
          <w:szCs w:val="28"/>
          <w:lang w:val="uk-UA"/>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Gibson R., Krueger P., Schmidt P. ESG Rating Disagreement and Stock Returns [Електронний ресурс] / R. Gibson, P. Krueger, P. Schmidt // Swiss Finance Institute Research Paper. – 2019. </w:t>
      </w:r>
      <w:r>
        <w:rPr>
          <w:rFonts w:eastAsia="Symbol" w:cs="Symbol" w:ascii="Symbol" w:hAnsi="Symbol"/>
          <w:sz w:val="28"/>
          <w:szCs w:val="28"/>
          <w:lang w:val="en-US"/>
        </w:rPr>
        <w:t></w:t>
      </w:r>
      <w:r>
        <w:rPr>
          <w:rFonts w:cs="Times New Roman" w:ascii="Times New Roman" w:hAnsi="Times New Roman"/>
          <w:sz w:val="28"/>
          <w:szCs w:val="28"/>
          <w:lang w:val="uk-UA"/>
        </w:rPr>
        <w:t xml:space="preserve"> Режим доступу:  </w:t>
      </w:r>
      <w:hyperlink r:id="rId9" w:tgtFrame="_blank">
        <w:r>
          <w:rPr>
            <w:rFonts w:cs="Times New Roman" w:ascii="Times New Roman" w:hAnsi="Times New Roman"/>
            <w:sz w:val="28"/>
            <w:szCs w:val="28"/>
            <w:lang w:val="uk-UA"/>
          </w:rPr>
          <w:t>https://ssrn.com/abstract=3433728</w:t>
        </w:r>
      </w:hyperlink>
      <w:r>
        <w:rPr>
          <w:rFonts w:cs="Times New Roman" w:ascii="Times New Roman" w:hAnsi="Times New Roman"/>
          <w:sz w:val="28"/>
          <w:szCs w:val="28"/>
          <w:lang w:val="en-US"/>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en-US"/>
        </w:rPr>
        <w:t>Mackintosh J. Is Tesla or Exxon more sustainable? It depends whom you ask [</w:t>
      </w:r>
      <w:r>
        <w:rPr>
          <w:rFonts w:cs="Times New Roman" w:ascii="Times New Roman" w:hAnsi="Times New Roman"/>
          <w:sz w:val="28"/>
          <w:szCs w:val="28"/>
        </w:rPr>
        <w:t>Електронний</w:t>
      </w:r>
      <w:r>
        <w:rPr>
          <w:rFonts w:cs="Times New Roman" w:ascii="Times New Roman" w:hAnsi="Times New Roman"/>
          <w:sz w:val="28"/>
          <w:szCs w:val="28"/>
          <w:lang w:val="en-US"/>
        </w:rPr>
        <w:t xml:space="preserve"> </w:t>
      </w:r>
      <w:r>
        <w:rPr>
          <w:rFonts w:cs="Times New Roman" w:ascii="Times New Roman" w:hAnsi="Times New Roman"/>
          <w:sz w:val="28"/>
          <w:szCs w:val="28"/>
        </w:rPr>
        <w:t>ресурс</w:t>
      </w:r>
      <w:r>
        <w:rPr>
          <w:rFonts w:cs="Times New Roman" w:ascii="Times New Roman" w:hAnsi="Times New Roman"/>
          <w:sz w:val="28"/>
          <w:szCs w:val="28"/>
          <w:lang w:val="en-US"/>
        </w:rPr>
        <w:t xml:space="preserve">] / J. Mackintosh // Wall Street Journal. – 2018. – </w:t>
      </w:r>
      <w:r>
        <w:rPr>
          <w:rFonts w:cs="Times New Roman" w:ascii="Times New Roman" w:hAnsi="Times New Roman"/>
          <w:sz w:val="28"/>
          <w:szCs w:val="28"/>
        </w:rPr>
        <w:t>Режим</w:t>
      </w:r>
      <w:r>
        <w:rPr>
          <w:rFonts w:cs="Times New Roman" w:ascii="Times New Roman" w:hAnsi="Times New Roman"/>
          <w:sz w:val="28"/>
          <w:szCs w:val="28"/>
          <w:lang w:val="en-US"/>
        </w:rPr>
        <w:t xml:space="preserve"> </w:t>
      </w:r>
      <w:r>
        <w:rPr>
          <w:rFonts w:cs="Times New Roman" w:ascii="Times New Roman" w:hAnsi="Times New Roman"/>
          <w:sz w:val="28"/>
          <w:szCs w:val="28"/>
        </w:rPr>
        <w:t>доступу</w:t>
      </w:r>
      <w:r>
        <w:rPr>
          <w:rFonts w:cs="Times New Roman" w:ascii="Times New Roman" w:hAnsi="Times New Roman"/>
          <w:sz w:val="28"/>
          <w:szCs w:val="28"/>
          <w:lang w:val="en-US"/>
        </w:rPr>
        <w:t xml:space="preserve">: </w:t>
      </w:r>
      <w:hyperlink r:id="rId10">
        <w:r>
          <w:rPr>
            <w:rFonts w:cs="Times New Roman" w:ascii="Times New Roman" w:hAnsi="Times New Roman"/>
            <w:sz w:val="28"/>
            <w:szCs w:val="28"/>
            <w:lang w:val="en-US"/>
          </w:rPr>
          <w:t>https://www.wsj.com/articles/is-tesla-or-exxon-more-sustainable-it-depends-whom-you-ask-1537199931</w:t>
        </w:r>
      </w:hyperlink>
      <w:r>
        <w:rPr>
          <w:rFonts w:cs="Times New Roman" w:ascii="Times New Roman" w:hAnsi="Times New Roman"/>
          <w:sz w:val="28"/>
          <w:szCs w:val="28"/>
          <w:lang w:val="en-US"/>
        </w:rPr>
        <w:t>.</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Berg F., Kölbel J., Rigobon R. Aggregate Confusion: The Divergence of ESG Ratings [Електронний ресурс] /  </w:t>
      </w:r>
      <w:r>
        <w:rPr>
          <w:rFonts w:cs="Times New Roman" w:ascii="Times New Roman" w:hAnsi="Times New Roman"/>
          <w:sz w:val="28"/>
          <w:szCs w:val="28"/>
          <w:lang w:val="en-US"/>
        </w:rPr>
        <w:t xml:space="preserve">F. </w:t>
      </w:r>
      <w:r>
        <w:rPr>
          <w:rFonts w:cs="Times New Roman" w:ascii="Times New Roman" w:hAnsi="Times New Roman"/>
          <w:sz w:val="28"/>
          <w:szCs w:val="28"/>
          <w:lang w:val="uk-UA"/>
        </w:rPr>
        <w:t xml:space="preserve">Berg, </w:t>
      </w:r>
      <w:r>
        <w:rPr>
          <w:rFonts w:cs="Times New Roman" w:ascii="Times New Roman" w:hAnsi="Times New Roman"/>
          <w:sz w:val="28"/>
          <w:szCs w:val="28"/>
          <w:lang w:val="en-US"/>
        </w:rPr>
        <w:t xml:space="preserve">J. </w:t>
      </w:r>
      <w:r>
        <w:rPr>
          <w:rFonts w:cs="Times New Roman" w:ascii="Times New Roman" w:hAnsi="Times New Roman"/>
          <w:sz w:val="28"/>
          <w:szCs w:val="28"/>
          <w:lang w:val="uk-UA"/>
        </w:rPr>
        <w:t xml:space="preserve">Kölbel, </w:t>
      </w:r>
      <w:r>
        <w:rPr>
          <w:rFonts w:cs="Times New Roman" w:ascii="Times New Roman" w:hAnsi="Times New Roman"/>
          <w:sz w:val="28"/>
          <w:szCs w:val="28"/>
          <w:lang w:val="en-US"/>
        </w:rPr>
        <w:t xml:space="preserve">R. </w:t>
      </w:r>
      <w:r>
        <w:rPr>
          <w:rFonts w:cs="Times New Roman" w:ascii="Times New Roman" w:hAnsi="Times New Roman"/>
          <w:sz w:val="28"/>
          <w:szCs w:val="28"/>
          <w:lang w:val="uk-UA"/>
        </w:rPr>
        <w:t xml:space="preserve">Rigobon. – 2020. </w:t>
      </w:r>
      <w:r>
        <w:rPr>
          <w:rFonts w:eastAsia="Symbol" w:cs="Symbol" w:ascii="Symbol" w:hAnsi="Symbol"/>
          <w:sz w:val="28"/>
          <w:szCs w:val="28"/>
          <w:lang w:val="en-US"/>
        </w:rPr>
        <w:t></w:t>
      </w:r>
      <w:r>
        <w:rPr>
          <w:rFonts w:cs="Times New Roman" w:ascii="Times New Roman" w:hAnsi="Times New Roman"/>
          <w:sz w:val="28"/>
          <w:szCs w:val="28"/>
          <w:lang w:val="uk-UA"/>
        </w:rPr>
        <w:t xml:space="preserve"> Режим доступу:  </w:t>
      </w:r>
      <w:hyperlink r:id="rId11" w:tgtFrame="_blank">
        <w:r>
          <w:rPr>
            <w:rFonts w:cs="Times New Roman" w:ascii="Times New Roman" w:hAnsi="Times New Roman"/>
            <w:sz w:val="28"/>
            <w:szCs w:val="28"/>
            <w:lang w:val="uk-UA"/>
          </w:rPr>
          <w:t>https://ssrn.com/abstract=3438533</w:t>
        </w:r>
      </w:hyperlink>
      <w:r>
        <w:rPr>
          <w:rFonts w:cs="Times New Roman" w:ascii="Times New Roman" w:hAnsi="Times New Roman"/>
          <w:sz w:val="28"/>
          <w:szCs w:val="28"/>
          <w:lang w:val="uk-UA"/>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u w:val="single"/>
          <w:lang w:val="uk-UA"/>
        </w:rPr>
      </w:pPr>
      <w:r>
        <w:rPr>
          <w:rFonts w:cs="Times New Roman" w:ascii="Times New Roman" w:hAnsi="Times New Roman"/>
          <w:sz w:val="28"/>
          <w:szCs w:val="28"/>
          <w:lang w:val="uk-UA"/>
        </w:rPr>
        <w:t>Christensen</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D</w:t>
      </w:r>
      <w:r>
        <w:rPr>
          <w:rFonts w:cs="Times New Roman" w:ascii="Times New Roman" w:hAnsi="Times New Roman"/>
          <w:sz w:val="28"/>
          <w:szCs w:val="28"/>
          <w:lang w:val="en-US"/>
        </w:rPr>
        <w:t>.,</w:t>
      </w:r>
      <w:r>
        <w:rPr>
          <w:rFonts w:cs="Times New Roman" w:ascii="Times New Roman" w:hAnsi="Times New Roman"/>
          <w:sz w:val="28"/>
          <w:szCs w:val="28"/>
          <w:lang w:val="uk-UA"/>
        </w:rPr>
        <w:t xml:space="preserve"> Serafeim</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G</w:t>
      </w:r>
      <w:r>
        <w:rPr>
          <w:rFonts w:cs="Times New Roman" w:ascii="Times New Roman" w:hAnsi="Times New Roman"/>
          <w:sz w:val="28"/>
          <w:szCs w:val="28"/>
          <w:lang w:val="en-US"/>
        </w:rPr>
        <w:t>.,</w:t>
      </w:r>
      <w:r>
        <w:rPr>
          <w:rFonts w:cs="Times New Roman" w:ascii="Times New Roman" w:hAnsi="Times New Roman"/>
          <w:sz w:val="28"/>
          <w:szCs w:val="28"/>
          <w:lang w:val="uk-UA"/>
        </w:rPr>
        <w:t xml:space="preserve"> Sikochi</w:t>
      </w:r>
      <w:r>
        <w:rPr>
          <w:rFonts w:cs="Times New Roman" w:ascii="Times New Roman" w:hAnsi="Times New Roman"/>
          <w:sz w:val="28"/>
          <w:szCs w:val="28"/>
          <w:lang w:val="en-US"/>
        </w:rPr>
        <w:t xml:space="preserve"> A.</w:t>
      </w:r>
      <w:r>
        <w:rPr>
          <w:rFonts w:cs="Times New Roman" w:ascii="Times New Roman" w:hAnsi="Times New Roman"/>
          <w:sz w:val="28"/>
          <w:szCs w:val="28"/>
          <w:lang w:val="uk-UA"/>
        </w:rPr>
        <w:t xml:space="preserve"> Why is Corporate Virtue in the Eye of the Beholder? The Case of ESG Ratings [Електронний ресурс] / </w:t>
      </w:r>
      <w:r>
        <w:rPr>
          <w:rFonts w:cs="Times New Roman" w:ascii="Times New Roman" w:hAnsi="Times New Roman"/>
          <w:sz w:val="28"/>
          <w:szCs w:val="28"/>
          <w:lang w:val="en-US"/>
        </w:rPr>
        <w:t xml:space="preserve">D. </w:t>
      </w:r>
      <w:r>
        <w:rPr>
          <w:rFonts w:cs="Times New Roman" w:ascii="Times New Roman" w:hAnsi="Times New Roman"/>
          <w:sz w:val="28"/>
          <w:szCs w:val="28"/>
          <w:lang w:val="uk-UA"/>
        </w:rPr>
        <w:t>Christensen</w:t>
      </w:r>
      <w:r>
        <w:rPr>
          <w:rFonts w:cs="Times New Roman" w:ascii="Times New Roman" w:hAnsi="Times New Roman"/>
          <w:sz w:val="28"/>
          <w:szCs w:val="28"/>
          <w:lang w:val="en-US"/>
        </w:rPr>
        <w:t>,</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 xml:space="preserve">G. </w:t>
      </w:r>
      <w:r>
        <w:rPr>
          <w:rFonts w:cs="Times New Roman" w:ascii="Times New Roman" w:hAnsi="Times New Roman"/>
          <w:sz w:val="28"/>
          <w:szCs w:val="28"/>
          <w:lang w:val="uk-UA"/>
        </w:rPr>
        <w:t>Serafeim</w:t>
      </w:r>
      <w:r>
        <w:rPr>
          <w:rFonts w:cs="Times New Roman" w:ascii="Times New Roman" w:hAnsi="Times New Roman"/>
          <w:sz w:val="28"/>
          <w:szCs w:val="28"/>
          <w:lang w:val="en-US"/>
        </w:rPr>
        <w:t>,</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 xml:space="preserve">A. </w:t>
      </w:r>
      <w:r>
        <w:rPr>
          <w:rFonts w:cs="Times New Roman" w:ascii="Times New Roman" w:hAnsi="Times New Roman"/>
          <w:sz w:val="28"/>
          <w:szCs w:val="28"/>
          <w:lang w:val="uk-UA"/>
        </w:rPr>
        <w:t>Sikochi</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 xml:space="preserve"> The Accounting Review</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 20</w:t>
      </w:r>
      <w:r>
        <w:rPr>
          <w:rFonts w:cs="Times New Roman" w:ascii="Times New Roman" w:hAnsi="Times New Roman"/>
          <w:sz w:val="28"/>
          <w:szCs w:val="28"/>
          <w:lang w:val="en-US"/>
        </w:rPr>
        <w:t>21</w:t>
      </w:r>
      <w:r>
        <w:rPr>
          <w:rFonts w:cs="Times New Roman" w:ascii="Times New Roman" w:hAnsi="Times New Roman"/>
          <w:sz w:val="28"/>
          <w:szCs w:val="28"/>
          <w:lang w:val="uk-UA"/>
        </w:rPr>
        <w:t>. –</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 xml:space="preserve">Режим доступу:  </w:t>
      </w:r>
      <w:hyperlink r:id="rId12" w:tgtFrame="_blank">
        <w:r>
          <w:rPr>
            <w:rFonts w:cs="Times New Roman" w:ascii="Times New Roman" w:hAnsi="Times New Roman"/>
            <w:sz w:val="28"/>
            <w:szCs w:val="28"/>
            <w:lang w:val="uk-UA"/>
          </w:rPr>
          <w:t>https://ssrn.com/abstract=3793804</w:t>
        </w:r>
      </w:hyperlink>
      <w:r>
        <w:rPr>
          <w:rStyle w:val="Style12"/>
          <w:rFonts w:cs="Times New Roman" w:ascii="Times New Roman" w:hAnsi="Times New Roman"/>
          <w:color w:val="auto"/>
          <w:sz w:val="28"/>
          <w:szCs w:val="28"/>
          <w:u w:val="none"/>
          <w:lang w:val="en-US"/>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u w:val="single"/>
          <w:lang w:val="uk-UA"/>
        </w:rPr>
      </w:pPr>
      <w:r>
        <w:rPr>
          <w:rFonts w:cs="Times New Roman" w:ascii="Times New Roman" w:hAnsi="Times New Roman"/>
          <w:sz w:val="28"/>
          <w:szCs w:val="28"/>
          <w:lang w:val="uk-UA"/>
        </w:rPr>
        <w:t>Schramade</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W</w:t>
      </w:r>
      <w:r>
        <w:rPr>
          <w:rFonts w:cs="Times New Roman" w:ascii="Times New Roman" w:hAnsi="Times New Roman"/>
          <w:sz w:val="28"/>
          <w:szCs w:val="28"/>
          <w:lang w:val="en-US"/>
        </w:rPr>
        <w:t>.</w:t>
      </w:r>
      <w:r>
        <w:rPr>
          <w:rFonts w:cs="Times New Roman" w:ascii="Times New Roman" w:hAnsi="Times New Roman"/>
          <w:sz w:val="28"/>
          <w:szCs w:val="28"/>
          <w:lang w:val="uk-UA"/>
        </w:rPr>
        <w:t xml:space="preserve"> Integrating ESG into Valuation Models and Investment Decisions: The Value Driver Adjustment Approach [Електронний ресурс] </w:t>
      </w:r>
      <w:r>
        <w:rPr>
          <w:rFonts w:cs="Times New Roman" w:ascii="Times New Roman" w:hAnsi="Times New Roman"/>
          <w:sz w:val="28"/>
          <w:szCs w:val="28"/>
          <w:lang w:val="en-US"/>
        </w:rPr>
        <w:t xml:space="preserve">/ W. </w:t>
      </w:r>
      <w:r>
        <w:rPr>
          <w:rFonts w:cs="Times New Roman" w:ascii="Times New Roman" w:hAnsi="Times New Roman"/>
          <w:sz w:val="28"/>
          <w:szCs w:val="28"/>
          <w:lang w:val="uk-UA"/>
        </w:rPr>
        <w:t>Schramade</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 20</w:t>
      </w:r>
      <w:r>
        <w:rPr>
          <w:rFonts w:cs="Times New Roman" w:ascii="Times New Roman" w:hAnsi="Times New Roman"/>
          <w:sz w:val="28"/>
          <w:szCs w:val="28"/>
          <w:lang w:val="en-US"/>
        </w:rPr>
        <w:t>16</w:t>
      </w:r>
      <w:r>
        <w:rPr>
          <w:rFonts w:cs="Times New Roman" w:ascii="Times New Roman" w:hAnsi="Times New Roman"/>
          <w:sz w:val="28"/>
          <w:szCs w:val="28"/>
          <w:lang w:val="uk-UA"/>
        </w:rPr>
        <w:t>. –</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 xml:space="preserve">Режим доступу: </w:t>
      </w:r>
      <w:hyperlink r:id="rId13" w:tgtFrame="_blank">
        <w:r>
          <w:rPr>
            <w:rFonts w:cs="Times New Roman" w:ascii="Times New Roman" w:hAnsi="Times New Roman"/>
            <w:sz w:val="28"/>
            <w:szCs w:val="28"/>
            <w:lang w:val="uk-UA"/>
          </w:rPr>
          <w:t>https://ssrn.com/abstract=2749626</w:t>
        </w:r>
      </w:hyperlink>
      <w:r>
        <w:rPr>
          <w:rFonts w:cs="Times New Roman" w:ascii="Times New Roman" w:hAnsi="Times New Roman"/>
          <w:sz w:val="28"/>
          <w:szCs w:val="28"/>
          <w:lang w:val="en-US"/>
        </w:rPr>
        <w:t xml:space="preserve">. </w:t>
      </w:r>
      <w:r>
        <w:rPr>
          <w:rFonts w:cs="Times New Roman" w:ascii="Times New Roman" w:hAnsi="Times New Roman"/>
          <w:sz w:val="28"/>
          <w:szCs w:val="28"/>
          <w:u w:val="single"/>
          <w:lang w:val="uk-UA"/>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en-US"/>
        </w:rPr>
        <w:t>How ESG Investing Has Impacted the Asset Pricing in the Equity Market [</w:t>
      </w:r>
      <w:r>
        <w:rPr>
          <w:rFonts w:cs="Times New Roman" w:ascii="Times New Roman" w:hAnsi="Times New Roman"/>
          <w:sz w:val="28"/>
          <w:szCs w:val="28"/>
        </w:rPr>
        <w:t>Електронний</w:t>
      </w:r>
      <w:r>
        <w:rPr>
          <w:rFonts w:cs="Times New Roman" w:ascii="Times New Roman" w:hAnsi="Times New Roman"/>
          <w:sz w:val="28"/>
          <w:szCs w:val="28"/>
          <w:lang w:val="en-US"/>
        </w:rPr>
        <w:t xml:space="preserve"> </w:t>
      </w:r>
      <w:r>
        <w:rPr>
          <w:rFonts w:cs="Times New Roman" w:ascii="Times New Roman" w:hAnsi="Times New Roman"/>
          <w:sz w:val="28"/>
          <w:szCs w:val="28"/>
        </w:rPr>
        <w:t>ресурс</w:t>
      </w:r>
      <w:r>
        <w:rPr>
          <w:rFonts w:cs="Times New Roman" w:ascii="Times New Roman" w:hAnsi="Times New Roman"/>
          <w:sz w:val="28"/>
          <w:szCs w:val="28"/>
          <w:lang w:val="en-US"/>
        </w:rPr>
        <w:t xml:space="preserve">] / [L. Bennani, T. Le Guenedal, F. Lepetit </w:t>
      </w:r>
      <w:r>
        <w:rPr>
          <w:rFonts w:cs="Times New Roman" w:ascii="Times New Roman" w:hAnsi="Times New Roman"/>
          <w:sz w:val="28"/>
          <w:szCs w:val="28"/>
        </w:rPr>
        <w:t>та</w:t>
      </w:r>
      <w:r>
        <w:rPr>
          <w:rFonts w:cs="Times New Roman" w:ascii="Times New Roman" w:hAnsi="Times New Roman"/>
          <w:sz w:val="28"/>
          <w:szCs w:val="28"/>
          <w:lang w:val="en-US"/>
        </w:rPr>
        <w:t xml:space="preserve"> </w:t>
      </w:r>
      <w:r>
        <w:rPr>
          <w:rFonts w:cs="Times New Roman" w:ascii="Times New Roman" w:hAnsi="Times New Roman"/>
          <w:sz w:val="28"/>
          <w:szCs w:val="28"/>
        </w:rPr>
        <w:t>ін</w:t>
      </w:r>
      <w:r>
        <w:rPr>
          <w:rFonts w:cs="Times New Roman" w:ascii="Times New Roman" w:hAnsi="Times New Roman"/>
          <w:sz w:val="28"/>
          <w:szCs w:val="28"/>
          <w:lang w:val="en-US"/>
        </w:rPr>
        <w:t xml:space="preserve">.]. – 2018. – </w:t>
      </w:r>
      <w:r>
        <w:rPr>
          <w:rFonts w:cs="Times New Roman" w:ascii="Times New Roman" w:hAnsi="Times New Roman"/>
          <w:sz w:val="28"/>
          <w:szCs w:val="28"/>
        </w:rPr>
        <w:t>Режим</w:t>
      </w:r>
      <w:r>
        <w:rPr>
          <w:rFonts w:cs="Times New Roman" w:ascii="Times New Roman" w:hAnsi="Times New Roman"/>
          <w:sz w:val="28"/>
          <w:szCs w:val="28"/>
          <w:lang w:val="en-US"/>
        </w:rPr>
        <w:t xml:space="preserve"> </w:t>
      </w:r>
      <w:r>
        <w:rPr>
          <w:rFonts w:cs="Times New Roman" w:ascii="Times New Roman" w:hAnsi="Times New Roman"/>
          <w:sz w:val="28"/>
          <w:szCs w:val="28"/>
        </w:rPr>
        <w:t>доступу</w:t>
      </w:r>
      <w:r>
        <w:rPr>
          <w:rFonts w:cs="Times New Roman" w:ascii="Times New Roman" w:hAnsi="Times New Roman"/>
          <w:sz w:val="28"/>
          <w:szCs w:val="28"/>
          <w:lang w:val="en-US"/>
        </w:rPr>
        <w:t xml:space="preserve">: </w:t>
      </w:r>
      <w:hyperlink r:id="rId14">
        <w:r>
          <w:rPr>
            <w:rFonts w:cs="Times New Roman" w:ascii="Times New Roman" w:hAnsi="Times New Roman"/>
            <w:sz w:val="28"/>
            <w:szCs w:val="28"/>
            <w:lang w:val="en-US"/>
          </w:rPr>
          <w:t>https://ssrn.com/abstract=3316862</w:t>
        </w:r>
      </w:hyperlink>
      <w:r>
        <w:rPr>
          <w:rFonts w:cs="Times New Roman" w:ascii="Times New Roman" w:hAnsi="Times New Roman"/>
          <w:sz w:val="28"/>
          <w:szCs w:val="28"/>
          <w:lang w:val="en-US"/>
        </w:rPr>
        <w:t>.</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uk-UA"/>
        </w:rPr>
        <w:t>Matos P. ESG and responsible institutional investing around the world: A critical review</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[Електронний ресурс] /</w:t>
      </w:r>
      <w:r>
        <w:rPr>
          <w:rFonts w:cs="Times New Roman" w:ascii="Times New Roman" w:hAnsi="Times New Roman"/>
          <w:sz w:val="28"/>
          <w:szCs w:val="28"/>
          <w:lang w:val="en-US"/>
        </w:rPr>
        <w:t xml:space="preserve"> P. Matos</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CFA Institute Research Foundation.</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 20</w:t>
      </w:r>
      <w:r>
        <w:rPr>
          <w:rFonts w:cs="Times New Roman" w:ascii="Times New Roman" w:hAnsi="Times New Roman"/>
          <w:sz w:val="28"/>
          <w:szCs w:val="28"/>
          <w:lang w:val="en-US"/>
        </w:rPr>
        <w:t>20</w:t>
      </w:r>
      <w:r>
        <w:rPr>
          <w:rFonts w:cs="Times New Roman" w:ascii="Times New Roman" w:hAnsi="Times New Roman"/>
          <w:sz w:val="28"/>
          <w:szCs w:val="28"/>
          <w:lang w:val="uk-UA"/>
        </w:rPr>
        <w:t>. –</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 xml:space="preserve">Режим доступу: </w:t>
      </w:r>
      <w:hyperlink r:id="rId15">
        <w:r>
          <w:rPr>
            <w:rFonts w:cs="Times New Roman" w:ascii="Times New Roman" w:hAnsi="Times New Roman"/>
            <w:sz w:val="28"/>
            <w:szCs w:val="28"/>
            <w:lang w:val="uk-UA"/>
          </w:rPr>
          <w:t>https://www.cfainstitute.org/en/research/foundation/2020/esg-and-responsibleinstitutional-investing</w:t>
        </w:r>
      </w:hyperlink>
      <w:r>
        <w:rPr>
          <w:rStyle w:val="Style12"/>
          <w:rFonts w:cs="Times New Roman" w:ascii="Times New Roman" w:hAnsi="Times New Roman"/>
          <w:color w:val="auto"/>
          <w:sz w:val="28"/>
          <w:szCs w:val="28"/>
          <w:u w:val="none"/>
          <w:lang w:val="en-US"/>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Whelan</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T., Atz U., Van Holt T., Clark C. ESG and financial performance: Uncovering the relationship by aggregating evidence from 1,000 plus studies published between 2015-2020</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[Електронний ресурс] /</w:t>
      </w:r>
      <w:r>
        <w:rPr>
          <w:rFonts w:cs="Times New Roman" w:ascii="Times New Roman" w:hAnsi="Times New Roman"/>
          <w:sz w:val="28"/>
          <w:szCs w:val="28"/>
          <w:lang w:val="en-US"/>
        </w:rPr>
        <w:t xml:space="preserve"> T. </w:t>
      </w:r>
      <w:r>
        <w:rPr>
          <w:rFonts w:cs="Times New Roman" w:ascii="Times New Roman" w:hAnsi="Times New Roman"/>
          <w:sz w:val="28"/>
          <w:szCs w:val="28"/>
          <w:lang w:val="uk-UA"/>
        </w:rPr>
        <w:t xml:space="preserve">Whelan, </w:t>
      </w:r>
      <w:r>
        <w:rPr>
          <w:rFonts w:cs="Times New Roman" w:ascii="Times New Roman" w:hAnsi="Times New Roman"/>
          <w:sz w:val="28"/>
          <w:szCs w:val="28"/>
          <w:lang w:val="en-US"/>
        </w:rPr>
        <w:t xml:space="preserve">U. </w:t>
      </w:r>
      <w:r>
        <w:rPr>
          <w:rFonts w:cs="Times New Roman" w:ascii="Times New Roman" w:hAnsi="Times New Roman"/>
          <w:sz w:val="28"/>
          <w:szCs w:val="28"/>
          <w:lang w:val="uk-UA"/>
        </w:rPr>
        <w:t xml:space="preserve">Atz, </w:t>
      </w:r>
      <w:r>
        <w:rPr>
          <w:rFonts w:cs="Times New Roman" w:ascii="Times New Roman" w:hAnsi="Times New Roman"/>
          <w:sz w:val="28"/>
          <w:szCs w:val="28"/>
          <w:lang w:val="en-US"/>
        </w:rPr>
        <w:t xml:space="preserve">T. </w:t>
      </w:r>
      <w:r>
        <w:rPr>
          <w:rFonts w:cs="Times New Roman" w:ascii="Times New Roman" w:hAnsi="Times New Roman"/>
          <w:sz w:val="28"/>
          <w:szCs w:val="28"/>
          <w:lang w:val="uk-UA"/>
        </w:rPr>
        <w:t xml:space="preserve">Van Holt, </w:t>
      </w:r>
      <w:r>
        <w:rPr>
          <w:rFonts w:cs="Times New Roman" w:ascii="Times New Roman" w:hAnsi="Times New Roman"/>
          <w:sz w:val="28"/>
          <w:szCs w:val="28"/>
          <w:lang w:val="en-US"/>
        </w:rPr>
        <w:t xml:space="preserve">C. </w:t>
      </w:r>
      <w:r>
        <w:rPr>
          <w:rFonts w:cs="Times New Roman" w:ascii="Times New Roman" w:hAnsi="Times New Roman"/>
          <w:sz w:val="28"/>
          <w:szCs w:val="28"/>
          <w:lang w:val="uk-UA"/>
        </w:rPr>
        <w:t xml:space="preserve">Clark </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NYU Stern Center for Sustainable Business</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 20</w:t>
      </w:r>
      <w:r>
        <w:rPr>
          <w:rFonts w:cs="Times New Roman" w:ascii="Times New Roman" w:hAnsi="Times New Roman"/>
          <w:sz w:val="28"/>
          <w:szCs w:val="28"/>
          <w:lang w:val="en-US"/>
        </w:rPr>
        <w:t>21</w:t>
      </w:r>
      <w:r>
        <w:rPr>
          <w:rFonts w:cs="Times New Roman" w:ascii="Times New Roman" w:hAnsi="Times New Roman"/>
          <w:sz w:val="28"/>
          <w:szCs w:val="28"/>
          <w:lang w:val="uk-UA"/>
        </w:rPr>
        <w:t>. –</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Режим доступу:</w:t>
      </w:r>
      <w:r>
        <w:rPr>
          <w:rFonts w:cs="Times New Roman" w:ascii="Times New Roman" w:hAnsi="Times New Roman"/>
          <w:sz w:val="28"/>
          <w:szCs w:val="28"/>
          <w:lang w:val="en-US"/>
        </w:rPr>
        <w:t xml:space="preserve"> </w:t>
      </w:r>
      <w:hyperlink r:id="rId16">
        <w:r>
          <w:rPr>
            <w:rFonts w:cs="Times New Roman" w:ascii="Times New Roman" w:hAnsi="Times New Roman"/>
            <w:sz w:val="28"/>
            <w:szCs w:val="28"/>
            <w:lang w:val="uk-UA"/>
          </w:rPr>
          <w:t>https://www.stern.nyu.edu/sites/default/files/assets/documents/NYU-RAM_ESGPaper_2021 Rev.pdf</w:t>
        </w:r>
      </w:hyperlink>
      <w:r>
        <w:rPr>
          <w:rStyle w:val="Style12"/>
          <w:rFonts w:cs="Times New Roman" w:ascii="Times New Roman" w:hAnsi="Times New Roman"/>
          <w:color w:val="auto"/>
          <w:sz w:val="28"/>
          <w:szCs w:val="28"/>
          <w:u w:val="none"/>
          <w:lang w:val="en-US"/>
        </w:rPr>
        <w:t xml:space="preserve">. </w:t>
      </w:r>
      <w:r>
        <w:rPr>
          <w:rFonts w:cs="Times New Roman" w:ascii="Times New Roman" w:hAnsi="Times New Roman"/>
          <w:sz w:val="28"/>
          <w:szCs w:val="28"/>
          <w:lang w:val="uk-UA"/>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ESG Didn’t Immunize Stocks During the COVID-19 Crisis, But Investments in Intangible Assets Did [Електронний ресурс] </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E</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Demers</w:t>
      </w:r>
      <w:r>
        <w:rPr>
          <w:rFonts w:cs="Times New Roman" w:ascii="Times New Roman" w:hAnsi="Times New Roman"/>
          <w:sz w:val="28"/>
          <w:szCs w:val="28"/>
          <w:lang w:val="en-US"/>
        </w:rPr>
        <w:t xml:space="preserve">, J. </w:t>
      </w:r>
      <w:r>
        <w:rPr>
          <w:rFonts w:cs="Times New Roman" w:ascii="Times New Roman" w:hAnsi="Times New Roman"/>
          <w:sz w:val="28"/>
          <w:szCs w:val="28"/>
          <w:lang w:val="uk-UA"/>
        </w:rPr>
        <w:t>Hendrikse</w:t>
      </w:r>
      <w:r>
        <w:rPr>
          <w:rFonts w:cs="Times New Roman" w:ascii="Times New Roman" w:hAnsi="Times New Roman"/>
          <w:sz w:val="28"/>
          <w:szCs w:val="28"/>
          <w:lang w:val="en-US"/>
        </w:rPr>
        <w:t xml:space="preserve">, P. </w:t>
      </w:r>
      <w:r>
        <w:rPr>
          <w:rFonts w:cs="Times New Roman" w:ascii="Times New Roman" w:hAnsi="Times New Roman"/>
          <w:sz w:val="28"/>
          <w:szCs w:val="28"/>
          <w:lang w:val="uk-UA"/>
        </w:rPr>
        <w:t>Joos</w:t>
      </w:r>
      <w:r>
        <w:rPr>
          <w:rFonts w:cs="Times New Roman" w:ascii="Times New Roman" w:hAnsi="Times New Roman"/>
          <w:sz w:val="28"/>
          <w:szCs w:val="28"/>
          <w:lang w:val="en-US"/>
        </w:rPr>
        <w:t>,</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 xml:space="preserve">B. </w:t>
      </w:r>
      <w:r>
        <w:rPr>
          <w:rFonts w:cs="Times New Roman" w:ascii="Times New Roman" w:hAnsi="Times New Roman"/>
          <w:sz w:val="28"/>
          <w:szCs w:val="28"/>
          <w:lang w:val="uk-UA"/>
        </w:rPr>
        <w:t>Lev</w:t>
      </w:r>
      <w:r>
        <w:rPr>
          <w:rFonts w:cs="Times New Roman" w:ascii="Times New Roman" w:hAnsi="Times New Roman"/>
          <w:sz w:val="28"/>
          <w:szCs w:val="28"/>
          <w:lang w:val="en-US"/>
        </w:rPr>
        <w:t xml:space="preserve"> // </w:t>
      </w:r>
      <w:r>
        <w:rPr>
          <w:rFonts w:cs="Times New Roman" w:ascii="Times New Roman" w:hAnsi="Times New Roman"/>
          <w:sz w:val="28"/>
          <w:szCs w:val="28"/>
          <w:lang w:val="uk-UA"/>
        </w:rPr>
        <w:t>Journal of Business Finance &amp; Accounting</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 20</w:t>
      </w:r>
      <w:r>
        <w:rPr>
          <w:rFonts w:cs="Times New Roman" w:ascii="Times New Roman" w:hAnsi="Times New Roman"/>
          <w:sz w:val="28"/>
          <w:szCs w:val="28"/>
          <w:lang w:val="en-US"/>
        </w:rPr>
        <w:t>2</w:t>
      </w:r>
      <w:r>
        <w:rPr>
          <w:rFonts w:cs="Times New Roman" w:ascii="Times New Roman" w:hAnsi="Times New Roman"/>
          <w:sz w:val="28"/>
          <w:szCs w:val="28"/>
          <w:lang w:val="uk-UA"/>
        </w:rPr>
        <w:t>1. – №</w:t>
      </w:r>
      <w:r>
        <w:rPr>
          <w:rFonts w:cs="Times New Roman" w:ascii="Times New Roman" w:hAnsi="Times New Roman"/>
          <w:sz w:val="28"/>
          <w:szCs w:val="28"/>
          <w:lang w:val="en-US"/>
        </w:rPr>
        <w:t>48</w:t>
      </w:r>
      <w:r>
        <w:rPr>
          <w:rFonts w:cs="Times New Roman" w:ascii="Times New Roman" w:hAnsi="Times New Roman"/>
          <w:sz w:val="28"/>
          <w:szCs w:val="28"/>
          <w:lang w:val="uk-UA"/>
        </w:rPr>
        <w:t xml:space="preserve">. </w:t>
      </w:r>
      <w:r>
        <w:rPr>
          <w:rFonts w:eastAsia="Symbol" w:cs="Symbol" w:ascii="Symbol" w:hAnsi="Symbol"/>
          <w:sz w:val="28"/>
          <w:szCs w:val="28"/>
          <w:lang w:val="en-US"/>
        </w:rPr>
        <w:t></w:t>
      </w:r>
      <w:r>
        <w:rPr>
          <w:rFonts w:cs="Times New Roman" w:ascii="Times New Roman" w:hAnsi="Times New Roman"/>
          <w:sz w:val="28"/>
          <w:szCs w:val="28"/>
          <w:lang w:val="uk-UA"/>
        </w:rPr>
        <w:t xml:space="preserve"> Режим доступу: </w:t>
      </w:r>
      <w:hyperlink r:id="rId17" w:tgtFrame="_blank">
        <w:r>
          <w:rPr>
            <w:rFonts w:cs="Times New Roman" w:ascii="Times New Roman" w:hAnsi="Times New Roman"/>
            <w:sz w:val="28"/>
            <w:szCs w:val="28"/>
            <w:lang w:val="uk-UA"/>
          </w:rPr>
          <w:t>https://ssrn.com/abstract=3675920</w:t>
        </w:r>
      </w:hyperlink>
      <w:r>
        <w:rPr>
          <w:rStyle w:val="Style12"/>
          <w:rFonts w:cs="Times New Roman" w:ascii="Times New Roman" w:hAnsi="Times New Roman"/>
          <w:color w:val="auto"/>
          <w:sz w:val="28"/>
          <w:szCs w:val="28"/>
          <w:u w:val="none"/>
          <w:lang w:val="en-US"/>
        </w:rPr>
        <w:t>.</w:t>
      </w:r>
      <w:r>
        <w:rPr>
          <w:rFonts w:cs="Times New Roman" w:ascii="Times New Roman" w:hAnsi="Times New Roman"/>
          <w:sz w:val="28"/>
          <w:szCs w:val="28"/>
          <w:lang w:val="uk-UA"/>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Berg F., Fabisik K., Sautner Z. Rewriting History II: The (un)predictable past of ESG ratings [Електронний ресурс] / </w:t>
      </w:r>
      <w:r>
        <w:rPr>
          <w:rFonts w:cs="Times New Roman" w:ascii="Times New Roman" w:hAnsi="Times New Roman"/>
          <w:sz w:val="28"/>
          <w:szCs w:val="28"/>
          <w:lang w:val="en-US"/>
        </w:rPr>
        <w:t>F</w:t>
      </w:r>
      <w:r>
        <w:rPr>
          <w:rFonts w:cs="Times New Roman" w:ascii="Times New Roman" w:hAnsi="Times New Roman"/>
          <w:sz w:val="28"/>
          <w:szCs w:val="28"/>
          <w:lang w:val="uk-UA"/>
        </w:rPr>
        <w:t xml:space="preserve">. Berg, </w:t>
      </w:r>
      <w:r>
        <w:rPr>
          <w:rFonts w:cs="Times New Roman" w:ascii="Times New Roman" w:hAnsi="Times New Roman"/>
          <w:sz w:val="28"/>
          <w:szCs w:val="28"/>
          <w:lang w:val="en-US"/>
        </w:rPr>
        <w:t>K</w:t>
      </w:r>
      <w:r>
        <w:rPr>
          <w:rFonts w:cs="Times New Roman" w:ascii="Times New Roman" w:hAnsi="Times New Roman"/>
          <w:sz w:val="28"/>
          <w:szCs w:val="28"/>
          <w:lang w:val="uk-UA"/>
        </w:rPr>
        <w:t xml:space="preserve">. Fabisik, </w:t>
      </w:r>
      <w:r>
        <w:rPr>
          <w:rFonts w:cs="Times New Roman" w:ascii="Times New Roman" w:hAnsi="Times New Roman"/>
          <w:sz w:val="28"/>
          <w:szCs w:val="28"/>
          <w:lang w:val="en-US"/>
        </w:rPr>
        <w:t>Z</w:t>
      </w:r>
      <w:r>
        <w:rPr>
          <w:rFonts w:cs="Times New Roman" w:ascii="Times New Roman" w:hAnsi="Times New Roman"/>
          <w:sz w:val="28"/>
          <w:szCs w:val="28"/>
          <w:lang w:val="uk-UA"/>
        </w:rPr>
        <w:t xml:space="preserve">. Sautner // MIT Sloan School. – 2021. </w:t>
      </w:r>
      <w:r>
        <w:rPr>
          <w:rFonts w:eastAsia="Symbol" w:cs="Symbol" w:ascii="Symbol" w:hAnsi="Symbol"/>
          <w:sz w:val="28"/>
          <w:szCs w:val="28"/>
          <w:lang w:val="en-US"/>
        </w:rPr>
        <w:t></w:t>
      </w:r>
      <w:r>
        <w:rPr>
          <w:rFonts w:cs="Times New Roman" w:ascii="Times New Roman" w:hAnsi="Times New Roman"/>
          <w:sz w:val="28"/>
          <w:szCs w:val="28"/>
          <w:lang w:val="uk-UA"/>
        </w:rPr>
        <w:t xml:space="preserve"> Режим доступу: </w:t>
      </w:r>
      <w:hyperlink r:id="rId18">
        <w:r>
          <w:rPr>
            <w:rFonts w:cs="Times New Roman" w:ascii="Times New Roman" w:hAnsi="Times New Roman"/>
            <w:sz w:val="28"/>
            <w:szCs w:val="28"/>
            <w:lang w:val="uk-UA"/>
          </w:rPr>
          <w:t>https://ecgi.global/sites/default/files/working_papers/documents/bergfabisiksautnerfinal.pdf</w:t>
        </w:r>
      </w:hyperlink>
      <w:r>
        <w:rPr>
          <w:rFonts w:cs="Times New Roman" w:ascii="Times New Roman" w:hAnsi="Times New Roman"/>
          <w:sz w:val="28"/>
          <w:szCs w:val="28"/>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u w:val="single"/>
          <w:lang w:val="uk-UA"/>
        </w:rPr>
      </w:pPr>
      <w:r>
        <w:rPr>
          <w:rFonts w:cs="Times New Roman" w:ascii="Times New Roman" w:hAnsi="Times New Roman"/>
          <w:sz w:val="28"/>
          <w:szCs w:val="28"/>
          <w:lang w:val="en-US"/>
        </w:rPr>
        <w:t>Trust, Social Capital, and the Bond Market Benefits of ESG Performance [</w:t>
      </w:r>
      <w:r>
        <w:rPr>
          <w:rFonts w:cs="Times New Roman" w:ascii="Times New Roman" w:hAnsi="Times New Roman"/>
          <w:sz w:val="28"/>
          <w:szCs w:val="28"/>
        </w:rPr>
        <w:t>Електронний</w:t>
      </w:r>
      <w:r>
        <w:rPr>
          <w:rFonts w:cs="Times New Roman" w:ascii="Times New Roman" w:hAnsi="Times New Roman"/>
          <w:sz w:val="28"/>
          <w:szCs w:val="28"/>
          <w:lang w:val="en-US"/>
        </w:rPr>
        <w:t xml:space="preserve"> </w:t>
      </w:r>
      <w:r>
        <w:rPr>
          <w:rFonts w:cs="Times New Roman" w:ascii="Times New Roman" w:hAnsi="Times New Roman"/>
          <w:sz w:val="28"/>
          <w:szCs w:val="28"/>
        </w:rPr>
        <w:t>ресурс</w:t>
      </w:r>
      <w:r>
        <w:rPr>
          <w:rFonts w:cs="Times New Roman" w:ascii="Times New Roman" w:hAnsi="Times New Roman"/>
          <w:sz w:val="28"/>
          <w:szCs w:val="28"/>
          <w:lang w:val="en-US"/>
        </w:rPr>
        <w:t xml:space="preserve">] / H.Amiraslani, K. Lins, H. Servaes, A. Tamayo // European Corporate Governance Institute. – 2021. – </w:t>
      </w:r>
      <w:r>
        <w:rPr>
          <w:rFonts w:cs="Times New Roman" w:ascii="Times New Roman" w:hAnsi="Times New Roman"/>
          <w:sz w:val="28"/>
          <w:szCs w:val="28"/>
          <w:lang w:val="uk-UA"/>
        </w:rPr>
        <w:t xml:space="preserve">№535. </w:t>
      </w:r>
      <w:r>
        <w:rPr>
          <w:rFonts w:eastAsia="Symbol" w:cs="Symbol" w:ascii="Symbol" w:hAnsi="Symbol"/>
          <w:sz w:val="28"/>
          <w:szCs w:val="28"/>
          <w:lang w:val="en-US"/>
        </w:rPr>
        <w:t></w:t>
      </w:r>
      <w:r>
        <w:rPr>
          <w:rFonts w:cs="Times New Roman" w:ascii="Times New Roman" w:hAnsi="Times New Roman"/>
          <w:sz w:val="28"/>
          <w:szCs w:val="28"/>
          <w:lang w:val="uk-UA"/>
        </w:rPr>
        <w:t xml:space="preserve"> </w:t>
      </w:r>
      <w:r>
        <w:rPr>
          <w:rFonts w:cs="Times New Roman" w:ascii="Times New Roman" w:hAnsi="Times New Roman"/>
          <w:sz w:val="28"/>
          <w:szCs w:val="28"/>
        </w:rPr>
        <w:t>Режим</w:t>
      </w:r>
      <w:r>
        <w:rPr>
          <w:rFonts w:cs="Times New Roman" w:ascii="Times New Roman" w:hAnsi="Times New Roman"/>
          <w:sz w:val="28"/>
          <w:szCs w:val="28"/>
          <w:lang w:val="en-US"/>
        </w:rPr>
        <w:t xml:space="preserve"> </w:t>
      </w:r>
      <w:r>
        <w:rPr>
          <w:rFonts w:cs="Times New Roman" w:ascii="Times New Roman" w:hAnsi="Times New Roman"/>
          <w:sz w:val="28"/>
          <w:szCs w:val="28"/>
        </w:rPr>
        <w:t>доступу</w:t>
      </w:r>
      <w:r>
        <w:rPr>
          <w:rFonts w:cs="Times New Roman" w:ascii="Times New Roman" w:hAnsi="Times New Roman"/>
          <w:sz w:val="28"/>
          <w:szCs w:val="28"/>
          <w:lang w:val="en-US"/>
        </w:rPr>
        <w:t xml:space="preserve">: </w:t>
      </w:r>
      <w:hyperlink r:id="rId19">
        <w:r>
          <w:rPr>
            <w:rFonts w:cs="Times New Roman" w:ascii="Times New Roman" w:hAnsi="Times New Roman"/>
            <w:sz w:val="28"/>
            <w:szCs w:val="28"/>
            <w:lang w:val="en-US"/>
          </w:rPr>
          <w:t>https://ssrn.com/abstract=2978794</w:t>
        </w:r>
      </w:hyperlink>
      <w:r>
        <w:rPr>
          <w:rFonts w:cs="Times New Roman" w:ascii="Times New Roman" w:hAnsi="Times New Roman"/>
          <w:sz w:val="28"/>
          <w:szCs w:val="28"/>
          <w:lang w:val="en-US"/>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u w:val="single"/>
          <w:lang w:val="uk-UA"/>
        </w:rPr>
      </w:pPr>
      <w:r>
        <w:rPr>
          <w:rFonts w:cs="Times New Roman" w:ascii="Times New Roman" w:hAnsi="Times New Roman"/>
          <w:sz w:val="28"/>
          <w:szCs w:val="28"/>
          <w:lang w:val="en-US"/>
        </w:rPr>
        <w:t>ESG</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Shareholder</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Engagement</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and</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Downside</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Risk</w:t>
      </w:r>
      <w:r>
        <w:rPr>
          <w:rFonts w:cs="Times New Roman" w:ascii="Times New Roman" w:hAnsi="Times New Roman"/>
          <w:sz w:val="28"/>
          <w:szCs w:val="28"/>
          <w:lang w:val="uk-UA"/>
        </w:rPr>
        <w:t xml:space="preserve"> [Електронний ресурс] / [</w:t>
      </w:r>
      <w:r>
        <w:rPr>
          <w:rFonts w:cs="Times New Roman" w:ascii="Times New Roman" w:hAnsi="Times New Roman"/>
          <w:sz w:val="28"/>
          <w:szCs w:val="28"/>
          <w:lang w:val="en-US"/>
        </w:rPr>
        <w:t>A</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Hoepner</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I</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Oikonomou</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Z</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Sautner</w:t>
      </w:r>
      <w:r>
        <w:rPr>
          <w:rFonts w:cs="Times New Roman" w:ascii="Times New Roman" w:hAnsi="Times New Roman"/>
          <w:sz w:val="28"/>
          <w:szCs w:val="28"/>
          <w:lang w:val="uk-UA"/>
        </w:rPr>
        <w:t xml:space="preserve"> та ін.] // </w:t>
      </w:r>
      <w:r>
        <w:rPr>
          <w:rFonts w:cs="Times New Roman" w:ascii="Times New Roman" w:hAnsi="Times New Roman"/>
          <w:sz w:val="28"/>
          <w:szCs w:val="28"/>
          <w:lang w:val="en-US"/>
        </w:rPr>
        <w:t>European</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Corporate</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Governance</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Institute</w:t>
      </w:r>
      <w:r>
        <w:rPr>
          <w:rFonts w:cs="Times New Roman" w:ascii="Times New Roman" w:hAnsi="Times New Roman"/>
          <w:sz w:val="28"/>
          <w:szCs w:val="28"/>
          <w:lang w:val="uk-UA"/>
        </w:rPr>
        <w:t>. – 2021. – №671/2020</w:t>
      </w:r>
      <w:r>
        <w:rPr>
          <w:rFonts w:cs="Times New Roman" w:ascii="Times New Roman" w:hAnsi="Times New Roman"/>
          <w:sz w:val="28"/>
          <w:szCs w:val="28"/>
          <w:lang w:val="en-US"/>
        </w:rPr>
        <w:t xml:space="preserve">. </w:t>
      </w:r>
      <w:r>
        <w:rPr>
          <w:rFonts w:eastAsia="Symbol" w:cs="Symbol" w:ascii="Symbol" w:hAnsi="Symbol"/>
          <w:sz w:val="28"/>
          <w:szCs w:val="28"/>
          <w:lang w:val="en-US"/>
        </w:rPr>
        <w:t></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 xml:space="preserve">Режим доступу: </w:t>
      </w:r>
      <w:hyperlink r:id="rId20">
        <w:r>
          <w:rPr>
            <w:rFonts w:cs="Times New Roman" w:ascii="Times New Roman" w:hAnsi="Times New Roman"/>
            <w:sz w:val="28"/>
            <w:szCs w:val="28"/>
          </w:rPr>
          <w:t>https</w:t>
        </w:r>
        <w:r>
          <w:rPr>
            <w:rFonts w:cs="Times New Roman" w:ascii="Times New Roman" w:hAnsi="Times New Roman"/>
            <w:sz w:val="28"/>
            <w:szCs w:val="28"/>
            <w:lang w:val="uk-UA"/>
          </w:rPr>
          <w:t>://</w:t>
        </w:r>
        <w:r>
          <w:rPr>
            <w:rFonts w:cs="Times New Roman" w:ascii="Times New Roman" w:hAnsi="Times New Roman"/>
            <w:sz w:val="28"/>
            <w:szCs w:val="28"/>
          </w:rPr>
          <w:t>ssrn</w:t>
        </w:r>
        <w:r>
          <w:rPr>
            <w:rFonts w:cs="Times New Roman" w:ascii="Times New Roman" w:hAnsi="Times New Roman"/>
            <w:sz w:val="28"/>
            <w:szCs w:val="28"/>
            <w:lang w:val="uk-UA"/>
          </w:rPr>
          <w:t>.</w:t>
        </w:r>
        <w:r>
          <w:rPr>
            <w:rFonts w:cs="Times New Roman" w:ascii="Times New Roman" w:hAnsi="Times New Roman"/>
            <w:sz w:val="28"/>
            <w:szCs w:val="28"/>
          </w:rPr>
          <w:t>com</w:t>
        </w:r>
        <w:r>
          <w:rPr>
            <w:rFonts w:cs="Times New Roman" w:ascii="Times New Roman" w:hAnsi="Times New Roman"/>
            <w:sz w:val="28"/>
            <w:szCs w:val="28"/>
            <w:lang w:val="uk-UA"/>
          </w:rPr>
          <w:t>/</w:t>
        </w:r>
        <w:r>
          <w:rPr>
            <w:rFonts w:cs="Times New Roman" w:ascii="Times New Roman" w:hAnsi="Times New Roman"/>
            <w:sz w:val="28"/>
            <w:szCs w:val="28"/>
          </w:rPr>
          <w:t>abstract</w:t>
        </w:r>
        <w:r>
          <w:rPr>
            <w:rFonts w:cs="Times New Roman" w:ascii="Times New Roman" w:hAnsi="Times New Roman"/>
            <w:sz w:val="28"/>
            <w:szCs w:val="28"/>
            <w:lang w:val="uk-UA"/>
          </w:rPr>
          <w:t>=2874252</w:t>
        </w:r>
      </w:hyperlink>
      <w:r>
        <w:rPr>
          <w:rFonts w:cs="Times New Roman" w:ascii="Times New Roman" w:hAnsi="Times New Roman"/>
          <w:sz w:val="28"/>
          <w:szCs w:val="28"/>
          <w:lang w:val="uk-UA"/>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u w:val="single"/>
          <w:lang w:val="uk-UA"/>
        </w:rPr>
      </w:pPr>
      <w:r>
        <w:rPr>
          <w:rFonts w:cs="Times New Roman" w:ascii="Times New Roman" w:hAnsi="Times New Roman"/>
          <w:sz w:val="28"/>
          <w:lang w:val="en-US"/>
        </w:rPr>
        <w:t>Albuquerque</w:t>
      </w:r>
      <w:r>
        <w:rPr>
          <w:rFonts w:cs="Times New Roman" w:ascii="Times New Roman" w:hAnsi="Times New Roman"/>
          <w:sz w:val="28"/>
          <w:lang w:val="uk-UA"/>
        </w:rPr>
        <w:t xml:space="preserve"> </w:t>
      </w:r>
      <w:r>
        <w:rPr>
          <w:rFonts w:cs="Times New Roman" w:ascii="Times New Roman" w:hAnsi="Times New Roman"/>
          <w:sz w:val="28"/>
          <w:lang w:val="en-US"/>
        </w:rPr>
        <w:t>R.</w:t>
      </w:r>
      <w:r>
        <w:rPr>
          <w:rFonts w:cs="Times New Roman" w:ascii="Times New Roman" w:hAnsi="Times New Roman"/>
          <w:sz w:val="28"/>
          <w:lang w:val="uk-UA"/>
        </w:rPr>
        <w:t xml:space="preserve">, </w:t>
      </w:r>
      <w:r>
        <w:rPr>
          <w:rFonts w:cs="Times New Roman" w:ascii="Times New Roman" w:hAnsi="Times New Roman"/>
          <w:sz w:val="28"/>
          <w:lang w:val="en-US"/>
        </w:rPr>
        <w:t>Koskinen</w:t>
      </w:r>
      <w:r>
        <w:rPr>
          <w:rFonts w:cs="Times New Roman" w:ascii="Times New Roman" w:hAnsi="Times New Roman"/>
          <w:sz w:val="28"/>
          <w:lang w:val="uk-UA"/>
        </w:rPr>
        <w:t xml:space="preserve"> </w:t>
      </w:r>
      <w:r>
        <w:rPr>
          <w:rFonts w:cs="Times New Roman" w:ascii="Times New Roman" w:hAnsi="Times New Roman"/>
          <w:sz w:val="28"/>
          <w:lang w:val="en-US"/>
        </w:rPr>
        <w:t>Y.</w:t>
      </w:r>
      <w:r>
        <w:rPr>
          <w:rFonts w:cs="Times New Roman" w:ascii="Times New Roman" w:hAnsi="Times New Roman"/>
          <w:sz w:val="28"/>
          <w:lang w:val="uk-UA"/>
        </w:rPr>
        <w:t xml:space="preserve">, </w:t>
      </w:r>
      <w:r>
        <w:rPr>
          <w:rFonts w:cs="Times New Roman" w:ascii="Times New Roman" w:hAnsi="Times New Roman"/>
          <w:sz w:val="28"/>
          <w:lang w:val="en-US"/>
        </w:rPr>
        <w:t>Zhang C. Corporate Social Responsibility and Firm Risk: Theory and Empirical Evidence</w:t>
      </w:r>
      <w:r>
        <w:rPr>
          <w:sz w:val="28"/>
          <w:lang w:val="uk-UA"/>
        </w:rPr>
        <w:t xml:space="preserve"> </w:t>
      </w:r>
      <w:r>
        <w:rPr>
          <w:rFonts w:cs="Times New Roman" w:ascii="Times New Roman" w:hAnsi="Times New Roman"/>
          <w:sz w:val="28"/>
          <w:szCs w:val="28"/>
          <w:lang w:val="uk-UA"/>
        </w:rPr>
        <w:t xml:space="preserve">[Електронний ресурс] </w:t>
      </w:r>
      <w:r>
        <w:rPr>
          <w:rFonts w:cs="Times New Roman" w:ascii="Times New Roman" w:hAnsi="Times New Roman"/>
          <w:sz w:val="28"/>
          <w:szCs w:val="28"/>
          <w:lang w:val="en-US"/>
        </w:rPr>
        <w:t xml:space="preserve">/ R. </w:t>
      </w:r>
      <w:r>
        <w:rPr>
          <w:rFonts w:cs="Times New Roman" w:ascii="Times New Roman" w:hAnsi="Times New Roman"/>
          <w:sz w:val="28"/>
          <w:lang w:val="en-US"/>
        </w:rPr>
        <w:t>Albuquerque</w:t>
      </w:r>
      <w:r>
        <w:rPr>
          <w:rFonts w:cs="Times New Roman" w:ascii="Times New Roman" w:hAnsi="Times New Roman"/>
          <w:sz w:val="28"/>
          <w:lang w:val="uk-UA"/>
        </w:rPr>
        <w:t xml:space="preserve">, </w:t>
      </w:r>
      <w:r>
        <w:rPr>
          <w:rFonts w:cs="Times New Roman" w:ascii="Times New Roman" w:hAnsi="Times New Roman"/>
          <w:sz w:val="28"/>
          <w:lang w:val="en-US"/>
        </w:rPr>
        <w:t>Y. Koskinen</w:t>
      </w:r>
      <w:r>
        <w:rPr>
          <w:rFonts w:cs="Times New Roman" w:ascii="Times New Roman" w:hAnsi="Times New Roman"/>
          <w:sz w:val="28"/>
          <w:lang w:val="uk-UA"/>
        </w:rPr>
        <w:t xml:space="preserve">, </w:t>
      </w:r>
      <w:r>
        <w:rPr>
          <w:rFonts w:cs="Times New Roman" w:ascii="Times New Roman" w:hAnsi="Times New Roman"/>
          <w:sz w:val="28"/>
          <w:lang w:val="en-US"/>
        </w:rPr>
        <w:t xml:space="preserve">C. Zhang // Management Science.  </w:t>
      </w:r>
      <w:r>
        <w:rPr>
          <w:rFonts w:cs="Times New Roman" w:ascii="Times New Roman" w:hAnsi="Times New Roman"/>
          <w:sz w:val="28"/>
          <w:szCs w:val="28"/>
          <w:lang w:val="uk-UA"/>
        </w:rPr>
        <w:t>– 20</w:t>
      </w:r>
      <w:r>
        <w:rPr>
          <w:rFonts w:cs="Times New Roman" w:ascii="Times New Roman" w:hAnsi="Times New Roman"/>
          <w:sz w:val="28"/>
          <w:szCs w:val="28"/>
          <w:lang w:val="en-US"/>
        </w:rPr>
        <w:t>18</w:t>
      </w:r>
      <w:r>
        <w:rPr>
          <w:rFonts w:cs="Times New Roman" w:ascii="Times New Roman" w:hAnsi="Times New Roman"/>
          <w:sz w:val="28"/>
          <w:szCs w:val="28"/>
          <w:lang w:val="uk-UA"/>
        </w:rPr>
        <w:t>. – №</w:t>
      </w:r>
      <w:r>
        <w:rPr>
          <w:rFonts w:cs="Times New Roman" w:ascii="Times New Roman" w:hAnsi="Times New Roman"/>
          <w:sz w:val="28"/>
          <w:szCs w:val="28"/>
        </w:rPr>
        <w:t>65(10)</w:t>
      </w:r>
      <w:r>
        <w:rPr>
          <w:rFonts w:cs="Times New Roman" w:ascii="Times New Roman" w:hAnsi="Times New Roman"/>
          <w:sz w:val="28"/>
          <w:szCs w:val="28"/>
          <w:lang w:val="en-US"/>
        </w:rPr>
        <w:t xml:space="preserve">. </w:t>
      </w:r>
      <w:r>
        <w:rPr>
          <w:rFonts w:eastAsia="Symbol" w:cs="Symbol" w:ascii="Symbol" w:hAnsi="Symbol"/>
          <w:sz w:val="28"/>
          <w:szCs w:val="28"/>
          <w:lang w:val="en-US"/>
        </w:rPr>
        <w:t></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 xml:space="preserve">Режим доступу: </w:t>
      </w:r>
      <w:hyperlink r:id="rId21">
        <w:r>
          <w:rPr>
            <w:rFonts w:cs="Times New Roman" w:ascii="Times New Roman" w:hAnsi="Times New Roman"/>
            <w:sz w:val="28"/>
            <w:szCs w:val="28"/>
            <w:lang w:val="uk-UA"/>
          </w:rPr>
          <w:t>https://doi.org/10.1287/mnsc.2018.3043</w:t>
        </w:r>
      </w:hyperlink>
      <w:r>
        <w:rPr>
          <w:rStyle w:val="Style12"/>
          <w:rFonts w:cs="Times New Roman" w:ascii="Times New Roman" w:hAnsi="Times New Roman"/>
          <w:color w:val="auto"/>
          <w:sz w:val="28"/>
          <w:szCs w:val="28"/>
          <w:u w:val="none"/>
          <w:lang w:val="en-US"/>
        </w:rPr>
        <w:t>.</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uk-UA"/>
        </w:rPr>
        <w:t>Ilhan</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E., Sautner Z., Vilkow G. Carbon tail risk</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 xml:space="preserve">[Електронний ресурс] </w:t>
      </w:r>
      <w:r>
        <w:rPr>
          <w:rFonts w:cs="Times New Roman" w:ascii="Times New Roman" w:hAnsi="Times New Roman"/>
          <w:sz w:val="28"/>
          <w:szCs w:val="28"/>
          <w:lang w:val="en-US"/>
        </w:rPr>
        <w:t xml:space="preserve">/ E. </w:t>
      </w:r>
      <w:r>
        <w:rPr>
          <w:rFonts w:cs="Times New Roman" w:ascii="Times New Roman" w:hAnsi="Times New Roman"/>
          <w:sz w:val="28"/>
          <w:szCs w:val="28"/>
          <w:lang w:val="uk-UA"/>
        </w:rPr>
        <w:t xml:space="preserve">Ilhan, </w:t>
      </w:r>
      <w:r>
        <w:rPr>
          <w:rFonts w:cs="Times New Roman" w:ascii="Times New Roman" w:hAnsi="Times New Roman"/>
          <w:sz w:val="28"/>
          <w:szCs w:val="28"/>
          <w:lang w:val="en-US"/>
        </w:rPr>
        <w:t xml:space="preserve">Z. </w:t>
      </w:r>
      <w:r>
        <w:rPr>
          <w:rFonts w:cs="Times New Roman" w:ascii="Times New Roman" w:hAnsi="Times New Roman"/>
          <w:sz w:val="28"/>
          <w:szCs w:val="28"/>
          <w:lang w:val="uk-UA"/>
        </w:rPr>
        <w:t xml:space="preserve">Sautner, </w:t>
      </w:r>
      <w:r>
        <w:rPr>
          <w:rFonts w:cs="Times New Roman" w:ascii="Times New Roman" w:hAnsi="Times New Roman"/>
          <w:sz w:val="28"/>
          <w:szCs w:val="28"/>
          <w:lang w:val="en-US"/>
        </w:rPr>
        <w:t xml:space="preserve">G. </w:t>
      </w:r>
      <w:r>
        <w:rPr>
          <w:rFonts w:cs="Times New Roman" w:ascii="Times New Roman" w:hAnsi="Times New Roman"/>
          <w:sz w:val="28"/>
          <w:szCs w:val="28"/>
          <w:lang w:val="uk-UA"/>
        </w:rPr>
        <w:t xml:space="preserve">Vilkow </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Review of Financial Studies</w:t>
      </w:r>
      <w:r>
        <w:rPr>
          <w:rFonts w:cs="Times New Roman" w:ascii="Times New Roman" w:hAnsi="Times New Roman"/>
          <w:sz w:val="28"/>
          <w:szCs w:val="28"/>
          <w:lang w:val="en-US"/>
        </w:rPr>
        <w:t>.</w:t>
      </w:r>
      <w:r>
        <w:rPr>
          <w:rFonts w:cs="Times New Roman" w:ascii="Times New Roman" w:hAnsi="Times New Roman"/>
          <w:sz w:val="28"/>
          <w:szCs w:val="28"/>
          <w:lang w:val="uk-UA"/>
        </w:rPr>
        <w:t xml:space="preserve"> – 20</w:t>
      </w:r>
      <w:r>
        <w:rPr>
          <w:rFonts w:cs="Times New Roman" w:ascii="Times New Roman" w:hAnsi="Times New Roman"/>
          <w:sz w:val="28"/>
          <w:szCs w:val="28"/>
          <w:lang w:val="en-US"/>
        </w:rPr>
        <w:t>21</w:t>
      </w:r>
      <w:r>
        <w:rPr>
          <w:rFonts w:cs="Times New Roman" w:ascii="Times New Roman" w:hAnsi="Times New Roman"/>
          <w:sz w:val="28"/>
          <w:szCs w:val="28"/>
          <w:lang w:val="uk-UA"/>
        </w:rPr>
        <w:t>. – №</w:t>
      </w:r>
      <w:r>
        <w:rPr>
          <w:rFonts w:cs="Times New Roman" w:ascii="Times New Roman" w:hAnsi="Times New Roman"/>
          <w:sz w:val="28"/>
          <w:szCs w:val="28"/>
          <w:lang w:val="en-US"/>
        </w:rPr>
        <w:t xml:space="preserve">34. </w:t>
      </w:r>
      <w:r>
        <w:rPr>
          <w:rFonts w:eastAsia="Symbol" w:cs="Symbol" w:ascii="Symbol" w:hAnsi="Symbol"/>
          <w:sz w:val="28"/>
          <w:szCs w:val="28"/>
          <w:lang w:val="en-US"/>
        </w:rPr>
        <w:t></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Режим доступу:</w:t>
      </w:r>
      <w:hyperlink r:id="rId22">
        <w:r>
          <w:rPr>
            <w:rFonts w:cs="Times New Roman" w:ascii="Times New Roman" w:hAnsi="Times New Roman"/>
            <w:sz w:val="28"/>
            <w:szCs w:val="28"/>
            <w:lang w:val="en-US"/>
          </w:rPr>
          <w:t>https://pdfs.semanticscholar.org/76ca/b76c152719deeb059cb993a83cf164257b37.pdf</w:t>
        </w:r>
      </w:hyperlink>
      <w:r>
        <w:rPr>
          <w:rFonts w:cs="Times New Roman" w:ascii="Times New Roman" w:hAnsi="Times New Roman"/>
          <w:sz w:val="28"/>
          <w:szCs w:val="28"/>
          <w:lang w:val="en-US"/>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uk-UA"/>
        </w:rPr>
        <w:t>How BlackRock Investment Stewardship engages on climate risk</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 xml:space="preserve">[Електронний ресурс] </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Blackrock Market Commentary</w:t>
      </w:r>
      <w:r>
        <w:rPr>
          <w:rFonts w:cs="Times New Roman" w:ascii="Times New Roman" w:hAnsi="Times New Roman"/>
          <w:sz w:val="28"/>
          <w:szCs w:val="28"/>
          <w:lang w:val="en-US"/>
        </w:rPr>
        <w:t xml:space="preserve">. </w:t>
      </w:r>
      <w:r>
        <w:rPr>
          <w:rFonts w:eastAsia="Symbol" w:cs="Symbol" w:ascii="Symbol" w:hAnsi="Symbol"/>
          <w:sz w:val="28"/>
          <w:szCs w:val="28"/>
          <w:lang w:val="en-US"/>
        </w:rPr>
        <w:t></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2017.</w:t>
      </w:r>
      <w:r>
        <w:rPr>
          <w:rFonts w:cs="Times New Roman" w:ascii="Times New Roman" w:hAnsi="Times New Roman"/>
          <w:sz w:val="28"/>
          <w:szCs w:val="28"/>
        </w:rPr>
        <w:t xml:space="preserve"> </w:t>
      </w:r>
      <w:r>
        <w:rPr>
          <w:rFonts w:eastAsia="Symbol" w:cs="Symbol" w:ascii="Symbol" w:hAnsi="Symbol"/>
          <w:sz w:val="28"/>
          <w:szCs w:val="28"/>
          <w:lang w:val="en-US"/>
        </w:rPr>
        <w:t></w:t>
      </w:r>
      <w:r>
        <w:rPr>
          <w:rFonts w:cs="Times New Roman" w:ascii="Times New Roman" w:hAnsi="Times New Roman"/>
          <w:sz w:val="28"/>
          <w:szCs w:val="28"/>
        </w:rPr>
        <w:t xml:space="preserve"> </w:t>
      </w:r>
      <w:r>
        <w:rPr>
          <w:rFonts w:cs="Times New Roman" w:ascii="Times New Roman" w:hAnsi="Times New Roman"/>
          <w:sz w:val="28"/>
          <w:szCs w:val="28"/>
          <w:lang w:val="uk-UA"/>
        </w:rPr>
        <w:t>Режим доступу:</w:t>
      </w:r>
      <w:r>
        <w:rPr>
          <w:rFonts w:cs="Times New Roman" w:ascii="Times New Roman" w:hAnsi="Times New Roman"/>
          <w:sz w:val="28"/>
          <w:szCs w:val="28"/>
        </w:rPr>
        <w:t xml:space="preserve"> </w:t>
      </w:r>
      <w:hyperlink r:id="rId23">
        <w:r>
          <w:rPr>
            <w:rFonts w:cs="Times New Roman" w:ascii="Times New Roman" w:hAnsi="Times New Roman"/>
            <w:sz w:val="28"/>
            <w:szCs w:val="28"/>
            <w:lang w:val="en-US"/>
          </w:rPr>
          <w:t>http</w:t>
        </w:r>
        <w:r>
          <w:rPr>
            <w:rFonts w:cs="Times New Roman" w:ascii="Times New Roman" w:hAnsi="Times New Roman"/>
            <w:sz w:val="28"/>
            <w:szCs w:val="28"/>
          </w:rPr>
          <w:t>://</w:t>
        </w:r>
        <w:r>
          <w:rPr>
            <w:rFonts w:cs="Times New Roman" w:ascii="Times New Roman" w:hAnsi="Times New Roman"/>
            <w:sz w:val="28"/>
            <w:szCs w:val="28"/>
            <w:lang w:val="en-US"/>
          </w:rPr>
          <w:t>www</w:t>
        </w:r>
        <w:r>
          <w:rPr>
            <w:rFonts w:cs="Times New Roman" w:ascii="Times New Roman" w:hAnsi="Times New Roman"/>
            <w:sz w:val="28"/>
            <w:szCs w:val="28"/>
          </w:rPr>
          <w:t>.</w:t>
        </w:r>
        <w:r>
          <w:rPr>
            <w:rFonts w:cs="Times New Roman" w:ascii="Times New Roman" w:hAnsi="Times New Roman"/>
            <w:sz w:val="28"/>
            <w:szCs w:val="28"/>
            <w:lang w:val="en-US"/>
          </w:rPr>
          <w:t>lawandenvironment</w:t>
        </w:r>
        <w:r>
          <w:rPr>
            <w:rFonts w:cs="Times New Roman" w:ascii="Times New Roman" w:hAnsi="Times New Roman"/>
            <w:sz w:val="28"/>
            <w:szCs w:val="28"/>
          </w:rPr>
          <w:t>.</w:t>
        </w:r>
        <w:r>
          <w:rPr>
            <w:rFonts w:cs="Times New Roman" w:ascii="Times New Roman" w:hAnsi="Times New Roman"/>
            <w:sz w:val="28"/>
            <w:szCs w:val="28"/>
            <w:lang w:val="en-US"/>
          </w:rPr>
          <w:t>com</w:t>
        </w:r>
        <w:r>
          <w:rPr>
            <w:rFonts w:cs="Times New Roman" w:ascii="Times New Roman" w:hAnsi="Times New Roman"/>
            <w:sz w:val="28"/>
            <w:szCs w:val="28"/>
          </w:rPr>
          <w:t>/</w:t>
        </w:r>
        <w:r>
          <w:rPr>
            <w:rFonts w:cs="Times New Roman" w:ascii="Times New Roman" w:hAnsi="Times New Roman"/>
            <w:sz w:val="28"/>
            <w:szCs w:val="28"/>
            <w:lang w:val="en-US"/>
          </w:rPr>
          <w:t>wp</w:t>
        </w:r>
        <w:r>
          <w:rPr>
            <w:rFonts w:cs="Times New Roman" w:ascii="Times New Roman" w:hAnsi="Times New Roman"/>
            <w:sz w:val="28"/>
            <w:szCs w:val="28"/>
          </w:rPr>
          <w:t>-</w:t>
        </w:r>
        <w:r>
          <w:rPr>
            <w:rFonts w:cs="Times New Roman" w:ascii="Times New Roman" w:hAnsi="Times New Roman"/>
            <w:sz w:val="28"/>
            <w:szCs w:val="28"/>
            <w:lang w:val="en-US"/>
          </w:rPr>
          <w:t>content</w:t>
        </w:r>
        <w:r>
          <w:rPr>
            <w:rFonts w:cs="Times New Roman" w:ascii="Times New Roman" w:hAnsi="Times New Roman"/>
            <w:sz w:val="28"/>
            <w:szCs w:val="28"/>
          </w:rPr>
          <w:t>/</w:t>
        </w:r>
        <w:r>
          <w:rPr>
            <w:rFonts w:cs="Times New Roman" w:ascii="Times New Roman" w:hAnsi="Times New Roman"/>
            <w:sz w:val="28"/>
            <w:szCs w:val="28"/>
            <w:lang w:val="en-US"/>
          </w:rPr>
          <w:t>uploads</w:t>
        </w:r>
        <w:r>
          <w:rPr>
            <w:rFonts w:cs="Times New Roman" w:ascii="Times New Roman" w:hAnsi="Times New Roman"/>
            <w:sz w:val="28"/>
            <w:szCs w:val="28"/>
          </w:rPr>
          <w:t>/</w:t>
        </w:r>
        <w:r>
          <w:rPr>
            <w:rFonts w:cs="Times New Roman" w:ascii="Times New Roman" w:hAnsi="Times New Roman"/>
            <w:sz w:val="28"/>
            <w:szCs w:val="28"/>
            <w:lang w:val="en-US"/>
          </w:rPr>
          <w:t>sites</w:t>
        </w:r>
        <w:r>
          <w:rPr>
            <w:rFonts w:cs="Times New Roman" w:ascii="Times New Roman" w:hAnsi="Times New Roman"/>
            <w:sz w:val="28"/>
            <w:szCs w:val="28"/>
          </w:rPr>
          <w:t>/5/2017/03/</w:t>
        </w:r>
        <w:r>
          <w:rPr>
            <w:rFonts w:cs="Times New Roman" w:ascii="Times New Roman" w:hAnsi="Times New Roman"/>
            <w:sz w:val="28"/>
            <w:szCs w:val="28"/>
            <w:lang w:val="en-US"/>
          </w:rPr>
          <w:t>Black</w:t>
        </w:r>
        <w:r>
          <w:rPr>
            <w:rFonts w:cs="Times New Roman" w:ascii="Times New Roman" w:hAnsi="Times New Roman"/>
            <w:sz w:val="28"/>
            <w:szCs w:val="28"/>
          </w:rPr>
          <w:t>-</w:t>
        </w:r>
        <w:r>
          <w:rPr>
            <w:rFonts w:cs="Times New Roman" w:ascii="Times New Roman" w:hAnsi="Times New Roman"/>
            <w:sz w:val="28"/>
            <w:szCs w:val="28"/>
            <w:lang w:val="en-US"/>
          </w:rPr>
          <w:t>Rock</w:t>
        </w:r>
        <w:r>
          <w:rPr>
            <w:rFonts w:cs="Times New Roman" w:ascii="Times New Roman" w:hAnsi="Times New Roman"/>
            <w:sz w:val="28"/>
            <w:szCs w:val="28"/>
          </w:rPr>
          <w:t>.</w:t>
        </w:r>
        <w:r>
          <w:rPr>
            <w:rFonts w:cs="Times New Roman" w:ascii="Times New Roman" w:hAnsi="Times New Roman"/>
            <w:sz w:val="28"/>
            <w:szCs w:val="28"/>
            <w:lang w:val="en-US"/>
          </w:rPr>
          <w:t>pdf</w:t>
        </w:r>
      </w:hyperlink>
      <w:r>
        <w:rPr>
          <w:rFonts w:cs="Times New Roman" w:ascii="Times New Roman" w:hAnsi="Times New Roman"/>
          <w:sz w:val="28"/>
          <w:szCs w:val="28"/>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uk-UA"/>
        </w:rPr>
        <w:t>Fortado L. Why activists are cheerleaders for corporate social responsibility</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 xml:space="preserve">[Електронний ресурс] </w:t>
      </w:r>
      <w:r>
        <w:rPr>
          <w:rFonts w:cs="Times New Roman" w:ascii="Times New Roman" w:hAnsi="Times New Roman"/>
          <w:sz w:val="28"/>
          <w:szCs w:val="28"/>
          <w:lang w:val="en-US"/>
        </w:rPr>
        <w:t>/ L. Fortado //</w:t>
      </w:r>
      <w:r>
        <w:rPr>
          <w:rFonts w:cs="Times New Roman" w:ascii="Times New Roman" w:hAnsi="Times New Roman"/>
          <w:sz w:val="28"/>
          <w:szCs w:val="28"/>
          <w:lang w:val="uk-UA"/>
        </w:rPr>
        <w:t xml:space="preserve"> Financial Times</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 xml:space="preserve"> </w:t>
      </w:r>
      <w:r>
        <w:rPr>
          <w:rFonts w:eastAsia="Symbol" w:cs="Symbol" w:ascii="Symbol" w:hAnsi="Symbol"/>
          <w:sz w:val="28"/>
          <w:szCs w:val="28"/>
          <w:lang w:val="en-US"/>
        </w:rPr>
        <w:t></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2017.</w:t>
      </w:r>
      <w:r>
        <w:rPr>
          <w:rFonts w:cs="Times New Roman" w:ascii="Times New Roman" w:hAnsi="Times New Roman"/>
          <w:sz w:val="28"/>
          <w:szCs w:val="28"/>
        </w:rPr>
        <w:t xml:space="preserve"> </w:t>
      </w:r>
      <w:r>
        <w:rPr>
          <w:rFonts w:eastAsia="Symbol" w:cs="Symbol" w:ascii="Symbol" w:hAnsi="Symbol"/>
          <w:sz w:val="28"/>
          <w:szCs w:val="28"/>
          <w:lang w:val="en-US"/>
        </w:rPr>
        <w:t></w:t>
      </w:r>
      <w:r>
        <w:rPr>
          <w:rFonts w:cs="Times New Roman" w:ascii="Times New Roman" w:hAnsi="Times New Roman"/>
          <w:sz w:val="28"/>
          <w:szCs w:val="28"/>
        </w:rPr>
        <w:t xml:space="preserve"> </w:t>
      </w:r>
      <w:r>
        <w:rPr>
          <w:rFonts w:cs="Times New Roman" w:ascii="Times New Roman" w:hAnsi="Times New Roman"/>
          <w:sz w:val="28"/>
          <w:szCs w:val="28"/>
          <w:lang w:val="uk-UA"/>
        </w:rPr>
        <w:t>Режим доступу:</w:t>
      </w:r>
      <w:r>
        <w:rPr>
          <w:rFonts w:cs="Times New Roman" w:ascii="Times New Roman" w:hAnsi="Times New Roman"/>
          <w:sz w:val="28"/>
          <w:szCs w:val="28"/>
        </w:rPr>
        <w:t xml:space="preserve"> </w:t>
      </w:r>
      <w:hyperlink r:id="rId24">
        <w:r>
          <w:rPr>
            <w:rFonts w:cs="Times New Roman" w:ascii="Times New Roman" w:hAnsi="Times New Roman"/>
            <w:sz w:val="28"/>
            <w:szCs w:val="28"/>
            <w:lang w:val="en-US"/>
          </w:rPr>
          <w:t>https</w:t>
        </w:r>
        <w:r>
          <w:rPr>
            <w:rFonts w:cs="Times New Roman" w:ascii="Times New Roman" w:hAnsi="Times New Roman"/>
            <w:sz w:val="28"/>
            <w:szCs w:val="28"/>
          </w:rPr>
          <w:t>://</w:t>
        </w:r>
        <w:r>
          <w:rPr>
            <w:rFonts w:cs="Times New Roman" w:ascii="Times New Roman" w:hAnsi="Times New Roman"/>
            <w:sz w:val="28"/>
            <w:szCs w:val="28"/>
            <w:lang w:val="en-US"/>
          </w:rPr>
          <w:t>www</w:t>
        </w:r>
        <w:r>
          <w:rPr>
            <w:rFonts w:cs="Times New Roman" w:ascii="Times New Roman" w:hAnsi="Times New Roman"/>
            <w:sz w:val="28"/>
            <w:szCs w:val="28"/>
          </w:rPr>
          <w:t>.</w:t>
        </w:r>
        <w:r>
          <w:rPr>
            <w:rFonts w:cs="Times New Roman" w:ascii="Times New Roman" w:hAnsi="Times New Roman"/>
            <w:sz w:val="28"/>
            <w:szCs w:val="28"/>
            <w:lang w:val="en-US"/>
          </w:rPr>
          <w:t>ft</w:t>
        </w:r>
        <w:r>
          <w:rPr>
            <w:rFonts w:cs="Times New Roman" w:ascii="Times New Roman" w:hAnsi="Times New Roman"/>
            <w:sz w:val="28"/>
            <w:szCs w:val="28"/>
          </w:rPr>
          <w:t>.</w:t>
        </w:r>
        <w:r>
          <w:rPr>
            <w:rFonts w:cs="Times New Roman" w:ascii="Times New Roman" w:hAnsi="Times New Roman"/>
            <w:sz w:val="28"/>
            <w:szCs w:val="28"/>
            <w:lang w:val="en-US"/>
          </w:rPr>
          <w:t>com</w:t>
        </w:r>
        <w:r>
          <w:rPr>
            <w:rFonts w:cs="Times New Roman" w:ascii="Times New Roman" w:hAnsi="Times New Roman"/>
            <w:sz w:val="28"/>
            <w:szCs w:val="28"/>
          </w:rPr>
          <w:t>/</w:t>
        </w:r>
        <w:r>
          <w:rPr>
            <w:rFonts w:cs="Times New Roman" w:ascii="Times New Roman" w:hAnsi="Times New Roman"/>
            <w:sz w:val="28"/>
            <w:szCs w:val="28"/>
            <w:lang w:val="en-US"/>
          </w:rPr>
          <w:t>content</w:t>
        </w:r>
        <w:r>
          <w:rPr>
            <w:rFonts w:cs="Times New Roman" w:ascii="Times New Roman" w:hAnsi="Times New Roman"/>
            <w:sz w:val="28"/>
            <w:szCs w:val="28"/>
          </w:rPr>
          <w:t>/6</w:t>
        </w:r>
        <w:r>
          <w:rPr>
            <w:rFonts w:cs="Times New Roman" w:ascii="Times New Roman" w:hAnsi="Times New Roman"/>
            <w:sz w:val="28"/>
            <w:szCs w:val="28"/>
            <w:lang w:val="en-US"/>
          </w:rPr>
          <w:t>f</w:t>
        </w:r>
        <w:r>
          <w:rPr>
            <w:rFonts w:cs="Times New Roman" w:ascii="Times New Roman" w:hAnsi="Times New Roman"/>
            <w:sz w:val="28"/>
            <w:szCs w:val="28"/>
          </w:rPr>
          <w:t>9</w:t>
        </w:r>
        <w:r>
          <w:rPr>
            <w:rFonts w:cs="Times New Roman" w:ascii="Times New Roman" w:hAnsi="Times New Roman"/>
            <w:sz w:val="28"/>
            <w:szCs w:val="28"/>
            <w:lang w:val="en-US"/>
          </w:rPr>
          <w:t>dc</w:t>
        </w:r>
        <w:r>
          <w:rPr>
            <w:rFonts w:cs="Times New Roman" w:ascii="Times New Roman" w:hAnsi="Times New Roman"/>
            <w:sz w:val="28"/>
            <w:szCs w:val="28"/>
          </w:rPr>
          <w:t>2</w:t>
        </w:r>
        <w:r>
          <w:rPr>
            <w:rFonts w:cs="Times New Roman" w:ascii="Times New Roman" w:hAnsi="Times New Roman"/>
            <w:sz w:val="28"/>
            <w:szCs w:val="28"/>
            <w:lang w:val="en-US"/>
          </w:rPr>
          <w:t>cc</w:t>
        </w:r>
        <w:r>
          <w:rPr>
            <w:rFonts w:cs="Times New Roman" w:ascii="Times New Roman" w:hAnsi="Times New Roman"/>
            <w:sz w:val="28"/>
            <w:szCs w:val="28"/>
          </w:rPr>
          <w:t>-</w:t>
        </w:r>
        <w:r>
          <w:rPr>
            <w:rFonts w:cs="Times New Roman" w:ascii="Times New Roman" w:hAnsi="Times New Roman"/>
            <w:sz w:val="28"/>
            <w:szCs w:val="28"/>
            <w:lang w:val="en-US"/>
          </w:rPr>
          <w:t>e</w:t>
        </w:r>
        <w:r>
          <w:rPr>
            <w:rFonts w:cs="Times New Roman" w:ascii="Times New Roman" w:hAnsi="Times New Roman"/>
            <w:sz w:val="28"/>
            <w:szCs w:val="28"/>
          </w:rPr>
          <w:t>512-11</w:t>
        </w:r>
        <w:r>
          <w:rPr>
            <w:rFonts w:cs="Times New Roman" w:ascii="Times New Roman" w:hAnsi="Times New Roman"/>
            <w:sz w:val="28"/>
            <w:szCs w:val="28"/>
            <w:lang w:val="en-US"/>
          </w:rPr>
          <w:t>e</w:t>
        </w:r>
        <w:r>
          <w:rPr>
            <w:rFonts w:cs="Times New Roman" w:ascii="Times New Roman" w:hAnsi="Times New Roman"/>
            <w:sz w:val="28"/>
            <w:szCs w:val="28"/>
          </w:rPr>
          <w:t>7-97</w:t>
        </w:r>
        <w:r>
          <w:rPr>
            <w:rFonts w:cs="Times New Roman" w:ascii="Times New Roman" w:hAnsi="Times New Roman"/>
            <w:sz w:val="28"/>
            <w:szCs w:val="28"/>
            <w:lang w:val="en-US"/>
          </w:rPr>
          <w:t>e</w:t>
        </w:r>
        <w:r>
          <w:rPr>
            <w:rFonts w:cs="Times New Roman" w:ascii="Times New Roman" w:hAnsi="Times New Roman"/>
            <w:sz w:val="28"/>
            <w:szCs w:val="28"/>
          </w:rPr>
          <w:t>2-916</w:t>
        </w:r>
        <w:r>
          <w:rPr>
            <w:rFonts w:cs="Times New Roman" w:ascii="Times New Roman" w:hAnsi="Times New Roman"/>
            <w:sz w:val="28"/>
            <w:szCs w:val="28"/>
            <w:lang w:val="en-US"/>
          </w:rPr>
          <w:t>d</w:t>
        </w:r>
        <w:r>
          <w:rPr>
            <w:rFonts w:cs="Times New Roman" w:ascii="Times New Roman" w:hAnsi="Times New Roman"/>
            <w:sz w:val="28"/>
            <w:szCs w:val="28"/>
          </w:rPr>
          <w:t>4</w:t>
        </w:r>
        <w:r>
          <w:rPr>
            <w:rFonts w:cs="Times New Roman" w:ascii="Times New Roman" w:hAnsi="Times New Roman"/>
            <w:sz w:val="28"/>
            <w:szCs w:val="28"/>
            <w:lang w:val="en-US"/>
          </w:rPr>
          <w:t>fbac</w:t>
        </w:r>
        <w:r>
          <w:rPr>
            <w:rFonts w:cs="Times New Roman" w:ascii="Times New Roman" w:hAnsi="Times New Roman"/>
            <w:sz w:val="28"/>
            <w:szCs w:val="28"/>
          </w:rPr>
          <w:t>0</w:t>
        </w:r>
        <w:r>
          <w:rPr>
            <w:rFonts w:cs="Times New Roman" w:ascii="Times New Roman" w:hAnsi="Times New Roman"/>
            <w:sz w:val="28"/>
            <w:szCs w:val="28"/>
            <w:lang w:val="en-US"/>
          </w:rPr>
          <w:t>da</w:t>
        </w:r>
      </w:hyperlink>
      <w:r>
        <w:rPr>
          <w:rFonts w:cs="Times New Roman" w:ascii="Times New Roman" w:hAnsi="Times New Roman"/>
          <w:sz w:val="28"/>
          <w:szCs w:val="28"/>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uk-UA"/>
        </w:rPr>
        <w:t>Jagannathan R</w:t>
      </w:r>
      <w:r>
        <w:rPr>
          <w:rFonts w:cs="Times New Roman" w:ascii="Times New Roman" w:hAnsi="Times New Roman"/>
          <w:sz w:val="28"/>
          <w:szCs w:val="28"/>
          <w:lang w:val="en-US"/>
        </w:rPr>
        <w:t>.</w:t>
      </w:r>
      <w:r>
        <w:rPr>
          <w:rFonts w:cs="Times New Roman" w:ascii="Times New Roman" w:hAnsi="Times New Roman"/>
          <w:sz w:val="28"/>
          <w:szCs w:val="28"/>
          <w:lang w:val="uk-UA"/>
        </w:rPr>
        <w:t>, Ashwin R</w:t>
      </w:r>
      <w:r>
        <w:rPr>
          <w:rFonts w:cs="Times New Roman" w:ascii="Times New Roman" w:hAnsi="Times New Roman"/>
          <w:sz w:val="28"/>
          <w:szCs w:val="28"/>
          <w:lang w:val="en-US"/>
        </w:rPr>
        <w:t>.</w:t>
      </w:r>
      <w:r>
        <w:rPr>
          <w:rFonts w:cs="Times New Roman" w:ascii="Times New Roman" w:hAnsi="Times New Roman"/>
          <w:sz w:val="28"/>
          <w:szCs w:val="28"/>
          <w:lang w:val="uk-UA"/>
        </w:rPr>
        <w:t>, Marco S</w:t>
      </w:r>
      <w:r>
        <w:rPr>
          <w:rFonts w:cs="Times New Roman" w:ascii="Times New Roman" w:hAnsi="Times New Roman"/>
          <w:sz w:val="28"/>
          <w:szCs w:val="28"/>
          <w:lang w:val="en-US"/>
        </w:rPr>
        <w:t>.</w:t>
      </w:r>
      <w:r>
        <w:rPr>
          <w:rFonts w:cs="Times New Roman" w:ascii="Times New Roman" w:hAnsi="Times New Roman"/>
          <w:sz w:val="28"/>
          <w:szCs w:val="28"/>
          <w:lang w:val="uk-UA"/>
        </w:rPr>
        <w:t xml:space="preserve"> Environmental, social, and governance criteria: Why investors should care</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 xml:space="preserve">[Електронний ресурс] </w:t>
      </w:r>
      <w:r>
        <w:rPr>
          <w:rFonts w:cs="Times New Roman" w:ascii="Times New Roman" w:hAnsi="Times New Roman"/>
          <w:sz w:val="28"/>
          <w:szCs w:val="28"/>
          <w:lang w:val="en-US"/>
        </w:rPr>
        <w:t xml:space="preserve">/ R. </w:t>
      </w:r>
      <w:r>
        <w:rPr>
          <w:rFonts w:cs="Times New Roman" w:ascii="Times New Roman" w:hAnsi="Times New Roman"/>
          <w:sz w:val="28"/>
          <w:szCs w:val="28"/>
          <w:lang w:val="uk-UA"/>
        </w:rPr>
        <w:t xml:space="preserve">Jagannathan, </w:t>
      </w:r>
      <w:r>
        <w:rPr>
          <w:rFonts w:cs="Times New Roman" w:ascii="Times New Roman" w:hAnsi="Times New Roman"/>
          <w:sz w:val="28"/>
          <w:szCs w:val="28"/>
          <w:lang w:val="en-US"/>
        </w:rPr>
        <w:t xml:space="preserve">R. </w:t>
      </w:r>
      <w:r>
        <w:rPr>
          <w:rFonts w:cs="Times New Roman" w:ascii="Times New Roman" w:hAnsi="Times New Roman"/>
          <w:sz w:val="28"/>
          <w:szCs w:val="28"/>
          <w:lang w:val="uk-UA"/>
        </w:rPr>
        <w:t xml:space="preserve">Ashwin, </w:t>
      </w:r>
      <w:r>
        <w:rPr>
          <w:rFonts w:cs="Times New Roman" w:ascii="Times New Roman" w:hAnsi="Times New Roman"/>
          <w:sz w:val="28"/>
          <w:szCs w:val="28"/>
          <w:lang w:val="en-US"/>
        </w:rPr>
        <w:t xml:space="preserve">S. </w:t>
      </w:r>
      <w:r>
        <w:rPr>
          <w:rFonts w:cs="Times New Roman" w:ascii="Times New Roman" w:hAnsi="Times New Roman"/>
          <w:sz w:val="28"/>
          <w:szCs w:val="28"/>
          <w:lang w:val="uk-UA"/>
        </w:rPr>
        <w:t>Marco</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 xml:space="preserve"> Journal of Investment Management</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 20</w:t>
      </w:r>
      <w:r>
        <w:rPr>
          <w:rFonts w:cs="Times New Roman" w:ascii="Times New Roman" w:hAnsi="Times New Roman"/>
          <w:sz w:val="28"/>
          <w:szCs w:val="28"/>
          <w:lang w:val="en-US"/>
        </w:rPr>
        <w:t>17</w:t>
      </w:r>
      <w:r>
        <w:rPr>
          <w:rFonts w:cs="Times New Roman" w:ascii="Times New Roman" w:hAnsi="Times New Roman"/>
          <w:sz w:val="28"/>
          <w:szCs w:val="28"/>
          <w:lang w:val="uk-UA"/>
        </w:rPr>
        <w:t>. – №</w:t>
      </w:r>
      <w:r>
        <w:rPr>
          <w:rFonts w:cs="Times New Roman" w:ascii="Times New Roman" w:hAnsi="Times New Roman"/>
          <w:sz w:val="28"/>
          <w:szCs w:val="28"/>
          <w:lang w:val="en-US"/>
        </w:rPr>
        <w:t xml:space="preserve">16. </w:t>
      </w:r>
      <w:r>
        <w:rPr>
          <w:rFonts w:eastAsia="Symbol" w:cs="Symbol" w:ascii="Symbol" w:hAnsi="Symbol"/>
          <w:sz w:val="28"/>
          <w:szCs w:val="28"/>
          <w:lang w:val="en-US"/>
        </w:rPr>
        <w:t></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Режим доступу:</w:t>
      </w:r>
      <w:r>
        <w:rPr>
          <w:rFonts w:cs="Times New Roman" w:ascii="Times New Roman" w:hAnsi="Times New Roman"/>
          <w:sz w:val="28"/>
          <w:szCs w:val="28"/>
          <w:lang w:val="en-US"/>
        </w:rPr>
        <w:t xml:space="preserve"> </w:t>
      </w:r>
      <w:hyperlink r:id="rId25">
        <w:r>
          <w:rPr>
            <w:rFonts w:cs="Times New Roman" w:ascii="Times New Roman" w:hAnsi="Times New Roman"/>
            <w:sz w:val="28"/>
            <w:szCs w:val="28"/>
            <w:lang w:val="uk-UA"/>
          </w:rPr>
          <w:t>https://econpapers.repec.org/paper/nbrnberwo/24063.htm</w:t>
        </w:r>
      </w:hyperlink>
      <w:r>
        <w:rPr>
          <w:rFonts w:cs="Times New Roman" w:ascii="Times New Roman" w:hAnsi="Times New Roman"/>
          <w:sz w:val="28"/>
          <w:szCs w:val="28"/>
          <w:lang w:val="en-US"/>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lang w:val="uk-UA"/>
        </w:rPr>
        <w:t xml:space="preserve"> </w:t>
      </w:r>
      <w:r>
        <w:rPr>
          <w:rFonts w:cs="Times New Roman" w:ascii="Times New Roman" w:hAnsi="Times New Roman"/>
          <w:sz w:val="28"/>
          <w:lang w:val="uk-UA"/>
        </w:rPr>
        <w:t xml:space="preserve">Родіонова Т.А., Шишкіна В.І., Якубовський С.О. Вплив корпоративної соціальної відповідальності на розвиток сучасних ТНК </w:t>
      </w:r>
      <w:r>
        <w:rPr>
          <w:rFonts w:cs="Times New Roman" w:ascii="Times New Roman" w:hAnsi="Times New Roman"/>
          <w:sz w:val="28"/>
          <w:szCs w:val="28"/>
          <w:lang w:val="uk-UA"/>
        </w:rPr>
        <w:t xml:space="preserve">[Електронний ресурс] </w:t>
      </w:r>
      <w:r>
        <w:rPr>
          <w:rFonts w:cs="Times New Roman" w:ascii="Times New Roman" w:hAnsi="Times New Roman"/>
          <w:sz w:val="28"/>
          <w:lang w:val="uk-UA"/>
        </w:rPr>
        <w:t xml:space="preserve">/ Т.А. Родіонова, В.І. Шишкіна, С.О. Якубовський  // Науково-практичний журнал Причорноморські економічні студії. – 2020. – №50. </w:t>
      </w:r>
      <w:r>
        <w:rPr>
          <w:rFonts w:eastAsia="Symbol" w:cs="Symbol" w:ascii="Symbol" w:hAnsi="Symbol"/>
          <w:sz w:val="28"/>
          <w:lang w:val="uk-UA"/>
        </w:rPr>
        <w:t></w:t>
      </w:r>
      <w:r>
        <w:rPr>
          <w:rFonts w:cs="Times New Roman" w:ascii="Times New Roman" w:hAnsi="Times New Roman"/>
          <w:sz w:val="28"/>
          <w:lang w:val="uk-UA"/>
        </w:rPr>
        <w:t xml:space="preserve"> </w:t>
      </w:r>
      <w:r>
        <w:rPr>
          <w:rFonts w:cs="Times New Roman" w:ascii="Times New Roman" w:hAnsi="Times New Roman"/>
          <w:sz w:val="28"/>
          <w:szCs w:val="28"/>
          <w:lang w:val="uk-UA"/>
        </w:rPr>
        <w:t xml:space="preserve">Режим доступу: </w:t>
      </w:r>
      <w:hyperlink r:id="rId26">
        <w:r>
          <w:rPr>
            <w:rFonts w:cs="Times New Roman" w:ascii="Times New Roman" w:hAnsi="Times New Roman"/>
            <w:sz w:val="28"/>
            <w:szCs w:val="28"/>
            <w:lang w:val="uk-UA"/>
          </w:rPr>
          <w:t>https://doi.org/10.32843/infrastruct51-5</w:t>
        </w:r>
      </w:hyperlink>
      <w:r>
        <w:rPr>
          <w:rStyle w:val="Style12"/>
          <w:rFonts w:cs="Times New Roman" w:ascii="Times New Roman" w:hAnsi="Times New Roman"/>
          <w:color w:val="auto"/>
          <w:sz w:val="28"/>
          <w:szCs w:val="28"/>
          <w:u w:val="none"/>
          <w:lang w:val="uk-UA"/>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en-US"/>
        </w:rPr>
        <w:t>ESG: company data to act on. Overview. [</w:t>
      </w:r>
      <w:r>
        <w:rPr>
          <w:rFonts w:cs="Times New Roman" w:ascii="Times New Roman" w:hAnsi="Times New Roman"/>
          <w:sz w:val="28"/>
          <w:szCs w:val="28"/>
        </w:rPr>
        <w:t>Електронний</w:t>
      </w:r>
      <w:r>
        <w:rPr>
          <w:rFonts w:cs="Times New Roman" w:ascii="Times New Roman" w:hAnsi="Times New Roman"/>
          <w:sz w:val="28"/>
          <w:szCs w:val="28"/>
          <w:lang w:val="en-US"/>
        </w:rPr>
        <w:t xml:space="preserve"> </w:t>
      </w:r>
      <w:r>
        <w:rPr>
          <w:rFonts w:cs="Times New Roman" w:ascii="Times New Roman" w:hAnsi="Times New Roman"/>
          <w:sz w:val="28"/>
          <w:szCs w:val="28"/>
        </w:rPr>
        <w:t>ресурс</w:t>
      </w:r>
      <w:r>
        <w:rPr>
          <w:rFonts w:cs="Times New Roman" w:ascii="Times New Roman" w:hAnsi="Times New Roman"/>
          <w:sz w:val="28"/>
          <w:szCs w:val="28"/>
          <w:lang w:val="en-US"/>
        </w:rPr>
        <w:t xml:space="preserve">] // Refinitiv Thompson Reuters – </w:t>
      </w:r>
      <w:r>
        <w:rPr>
          <w:rFonts w:cs="Times New Roman" w:ascii="Times New Roman" w:hAnsi="Times New Roman"/>
          <w:sz w:val="28"/>
          <w:szCs w:val="28"/>
        </w:rPr>
        <w:t>Режим</w:t>
      </w:r>
      <w:r>
        <w:rPr>
          <w:rFonts w:cs="Times New Roman" w:ascii="Times New Roman" w:hAnsi="Times New Roman"/>
          <w:sz w:val="28"/>
          <w:szCs w:val="28"/>
          <w:lang w:val="en-US"/>
        </w:rPr>
        <w:t xml:space="preserve"> </w:t>
      </w:r>
      <w:r>
        <w:rPr>
          <w:rFonts w:cs="Times New Roman" w:ascii="Times New Roman" w:hAnsi="Times New Roman"/>
          <w:sz w:val="28"/>
          <w:szCs w:val="28"/>
        </w:rPr>
        <w:t>доступу</w:t>
      </w:r>
      <w:r>
        <w:rPr>
          <w:rFonts w:cs="Times New Roman" w:ascii="Times New Roman" w:hAnsi="Times New Roman"/>
          <w:sz w:val="28"/>
          <w:szCs w:val="28"/>
          <w:lang w:val="en-US"/>
        </w:rPr>
        <w:t xml:space="preserve">: </w:t>
      </w:r>
      <w:hyperlink r:id="rId27">
        <w:r>
          <w:rPr>
            <w:rFonts w:cs="Times New Roman" w:ascii="Times New Roman" w:hAnsi="Times New Roman"/>
            <w:sz w:val="28"/>
            <w:szCs w:val="28"/>
            <w:lang w:val="en-US"/>
          </w:rPr>
          <w:t>https://emea1.apps.cp.thomsonreuters.com/web/cms/?pageId=esg</w:t>
        </w:r>
      </w:hyperlink>
      <w:r>
        <w:rPr>
          <w:rFonts w:cs="Times New Roman" w:ascii="Times New Roman" w:hAnsi="Times New Roman"/>
          <w:sz w:val="28"/>
          <w:szCs w:val="28"/>
          <w:lang w:val="en-US"/>
        </w:rPr>
        <w:t>.</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rPr>
        <w:t>Earnings</w:t>
      </w:r>
      <w:r>
        <w:rPr>
          <w:rFonts w:cs="Times New Roman" w:ascii="Times New Roman" w:hAnsi="Times New Roman"/>
          <w:sz w:val="28"/>
          <w:lang w:val="uk-UA"/>
        </w:rPr>
        <w:t xml:space="preserve"> </w:t>
      </w:r>
      <w:r>
        <w:rPr>
          <w:rFonts w:cs="Times New Roman" w:ascii="Times New Roman" w:hAnsi="Times New Roman"/>
          <w:sz w:val="28"/>
        </w:rPr>
        <w:t>per</w:t>
      </w:r>
      <w:r>
        <w:rPr>
          <w:rFonts w:cs="Times New Roman" w:ascii="Times New Roman" w:hAnsi="Times New Roman"/>
          <w:sz w:val="28"/>
          <w:lang w:val="uk-UA"/>
        </w:rPr>
        <w:t xml:space="preserve"> </w:t>
      </w:r>
      <w:r>
        <w:rPr>
          <w:rFonts w:cs="Times New Roman" w:ascii="Times New Roman" w:hAnsi="Times New Roman"/>
          <w:sz w:val="28"/>
        </w:rPr>
        <w:t>share</w:t>
      </w:r>
      <w:r>
        <w:rPr>
          <w:rFonts w:cs="Times New Roman" w:ascii="Times New Roman" w:hAnsi="Times New Roman"/>
          <w:sz w:val="28"/>
          <w:lang w:val="uk-UA"/>
        </w:rPr>
        <w:t xml:space="preserve">. </w:t>
      </w:r>
      <w:r>
        <w:rPr>
          <w:rFonts w:cs="Times New Roman" w:ascii="Times New Roman" w:hAnsi="Times New Roman"/>
          <w:sz w:val="28"/>
        </w:rPr>
        <w:t>IAS</w:t>
      </w:r>
      <w:r>
        <w:rPr>
          <w:rFonts w:cs="Times New Roman" w:ascii="Times New Roman" w:hAnsi="Times New Roman"/>
          <w:sz w:val="28"/>
          <w:lang w:val="uk-UA"/>
        </w:rPr>
        <w:t xml:space="preserve"> 33 </w:t>
      </w:r>
      <w:r>
        <w:rPr>
          <w:rFonts w:cs="Times New Roman" w:ascii="Times New Roman" w:hAnsi="Times New Roman"/>
          <w:sz w:val="28"/>
        </w:rPr>
        <w:t>handbook</w:t>
      </w:r>
      <w:r>
        <w:rPr>
          <w:rFonts w:cs="Times New Roman" w:ascii="Times New Roman" w:hAnsi="Times New Roman"/>
          <w:sz w:val="28"/>
          <w:lang w:val="uk-UA"/>
        </w:rPr>
        <w:t xml:space="preserve"> [Електронний ресурс] // </w:t>
      </w:r>
      <w:r>
        <w:rPr>
          <w:rFonts w:cs="Times New Roman" w:ascii="Times New Roman" w:hAnsi="Times New Roman"/>
          <w:sz w:val="28"/>
        </w:rPr>
        <w:t>KPMG</w:t>
      </w:r>
      <w:r>
        <w:rPr>
          <w:rFonts w:cs="Times New Roman" w:ascii="Times New Roman" w:hAnsi="Times New Roman"/>
          <w:sz w:val="28"/>
          <w:lang w:val="uk-UA"/>
        </w:rPr>
        <w:t xml:space="preserve">. – 2017. – Режим доступу: </w:t>
      </w:r>
      <w:hyperlink r:id="rId28">
        <w:r>
          <w:rPr>
            <w:rFonts w:cs="Times New Roman" w:ascii="Times New Roman" w:hAnsi="Times New Roman"/>
            <w:sz w:val="28"/>
          </w:rPr>
          <w:t>https</w:t>
        </w:r>
        <w:r>
          <w:rPr>
            <w:rFonts w:cs="Times New Roman" w:ascii="Times New Roman" w:hAnsi="Times New Roman"/>
            <w:sz w:val="28"/>
            <w:lang w:val="uk-UA"/>
          </w:rPr>
          <w:t>://</w:t>
        </w:r>
        <w:r>
          <w:rPr>
            <w:rFonts w:cs="Times New Roman" w:ascii="Times New Roman" w:hAnsi="Times New Roman"/>
            <w:sz w:val="28"/>
          </w:rPr>
          <w:t>assets</w:t>
        </w:r>
        <w:r>
          <w:rPr>
            <w:rFonts w:cs="Times New Roman" w:ascii="Times New Roman" w:hAnsi="Times New Roman"/>
            <w:sz w:val="28"/>
            <w:lang w:val="uk-UA"/>
          </w:rPr>
          <w:t>.</w:t>
        </w:r>
        <w:r>
          <w:rPr>
            <w:rFonts w:cs="Times New Roman" w:ascii="Times New Roman" w:hAnsi="Times New Roman"/>
            <w:sz w:val="28"/>
          </w:rPr>
          <w:t>kpmg</w:t>
        </w:r>
        <w:r>
          <w:rPr>
            <w:rFonts w:cs="Times New Roman" w:ascii="Times New Roman" w:hAnsi="Times New Roman"/>
            <w:sz w:val="28"/>
            <w:lang w:val="uk-UA"/>
          </w:rPr>
          <w:t>/</w:t>
        </w:r>
        <w:r>
          <w:rPr>
            <w:rFonts w:cs="Times New Roman" w:ascii="Times New Roman" w:hAnsi="Times New Roman"/>
            <w:sz w:val="28"/>
          </w:rPr>
          <w:t>content</w:t>
        </w:r>
        <w:r>
          <w:rPr>
            <w:rFonts w:cs="Times New Roman" w:ascii="Times New Roman" w:hAnsi="Times New Roman"/>
            <w:sz w:val="28"/>
            <w:lang w:val="uk-UA"/>
          </w:rPr>
          <w:t>/</w:t>
        </w:r>
        <w:r>
          <w:rPr>
            <w:rFonts w:cs="Times New Roman" w:ascii="Times New Roman" w:hAnsi="Times New Roman"/>
            <w:sz w:val="28"/>
          </w:rPr>
          <w:t>dam</w:t>
        </w:r>
        <w:r>
          <w:rPr>
            <w:rFonts w:cs="Times New Roman" w:ascii="Times New Roman" w:hAnsi="Times New Roman"/>
            <w:sz w:val="28"/>
            <w:lang w:val="uk-UA"/>
          </w:rPr>
          <w:t>/</w:t>
        </w:r>
        <w:r>
          <w:rPr>
            <w:rFonts w:cs="Times New Roman" w:ascii="Times New Roman" w:hAnsi="Times New Roman"/>
            <w:sz w:val="28"/>
          </w:rPr>
          <w:t>kpmg</w:t>
        </w:r>
        <w:r>
          <w:rPr>
            <w:rFonts w:cs="Times New Roman" w:ascii="Times New Roman" w:hAnsi="Times New Roman"/>
            <w:sz w:val="28"/>
            <w:lang w:val="uk-UA"/>
          </w:rPr>
          <w:t>/</w:t>
        </w:r>
        <w:r>
          <w:rPr>
            <w:rFonts w:cs="Times New Roman" w:ascii="Times New Roman" w:hAnsi="Times New Roman"/>
            <w:sz w:val="28"/>
          </w:rPr>
          <w:t>xx</w:t>
        </w:r>
        <w:r>
          <w:rPr>
            <w:rFonts w:cs="Times New Roman" w:ascii="Times New Roman" w:hAnsi="Times New Roman"/>
            <w:sz w:val="28"/>
            <w:lang w:val="uk-UA"/>
          </w:rPr>
          <w:t>/</w:t>
        </w:r>
        <w:r>
          <w:rPr>
            <w:rFonts w:cs="Times New Roman" w:ascii="Times New Roman" w:hAnsi="Times New Roman"/>
            <w:sz w:val="28"/>
          </w:rPr>
          <w:t>pdf</w:t>
        </w:r>
        <w:r>
          <w:rPr>
            <w:rFonts w:cs="Times New Roman" w:ascii="Times New Roman" w:hAnsi="Times New Roman"/>
            <w:sz w:val="28"/>
            <w:lang w:val="uk-UA"/>
          </w:rPr>
          <w:t>/2019/05/</w:t>
        </w:r>
        <w:r>
          <w:rPr>
            <w:rFonts w:cs="Times New Roman" w:ascii="Times New Roman" w:hAnsi="Times New Roman"/>
            <w:sz w:val="28"/>
          </w:rPr>
          <w:t>eps</w:t>
        </w:r>
        <w:r>
          <w:rPr>
            <w:rFonts w:cs="Times New Roman" w:ascii="Times New Roman" w:hAnsi="Times New Roman"/>
            <w:sz w:val="28"/>
            <w:lang w:val="uk-UA"/>
          </w:rPr>
          <w:t>-</w:t>
        </w:r>
        <w:r>
          <w:rPr>
            <w:rFonts w:cs="Times New Roman" w:ascii="Times New Roman" w:hAnsi="Times New Roman"/>
            <w:sz w:val="28"/>
          </w:rPr>
          <w:t>handbook</w:t>
        </w:r>
        <w:r>
          <w:rPr>
            <w:rFonts w:cs="Times New Roman" w:ascii="Times New Roman" w:hAnsi="Times New Roman"/>
            <w:sz w:val="28"/>
            <w:lang w:val="uk-UA"/>
          </w:rPr>
          <w:t>-2019.</w:t>
        </w:r>
        <w:r>
          <w:rPr>
            <w:rFonts w:cs="Times New Roman" w:ascii="Times New Roman" w:hAnsi="Times New Roman"/>
            <w:sz w:val="28"/>
          </w:rPr>
          <w:t>pdf</w:t>
        </w:r>
      </w:hyperlink>
      <w:r>
        <w:rPr>
          <w:rFonts w:cs="Times New Roman" w:ascii="Times New Roman" w:hAnsi="Times New Roman"/>
          <w:sz w:val="28"/>
          <w:lang w:val="uk-UA"/>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color w:val="000000" w:themeColor="text1"/>
          <w:sz w:val="28"/>
          <w:szCs w:val="28"/>
          <w:shd w:fill="FFFFFF" w:val="clear"/>
          <w:lang w:val="uk-UA"/>
        </w:rPr>
        <w:t>Шишкіна В. І. Вплив корпоратив</w:t>
      </w:r>
      <w:bookmarkStart w:id="0" w:name="_GoBack"/>
      <w:bookmarkEnd w:id="0"/>
      <w:r>
        <w:rPr>
          <w:rFonts w:cs="Times New Roman" w:ascii="Times New Roman" w:hAnsi="Times New Roman"/>
          <w:color w:val="000000" w:themeColor="text1"/>
          <w:sz w:val="28"/>
          <w:szCs w:val="28"/>
          <w:shd w:fill="FFFFFF" w:val="clear"/>
          <w:lang w:val="uk-UA"/>
        </w:rPr>
        <w:t xml:space="preserve">ної соціальної відповідальності на розвиток сучасних ТНК: дипломна робота бакалавра </w:t>
      </w:r>
      <w:r>
        <w:rPr>
          <w:rFonts w:cs="Times New Roman" w:ascii="Times New Roman" w:hAnsi="Times New Roman"/>
          <w:color w:val="000000" w:themeColor="text1"/>
          <w:sz w:val="28"/>
          <w:lang w:val="uk-UA"/>
        </w:rPr>
        <w:t xml:space="preserve">[Електронний ресурс] </w:t>
      </w:r>
      <w:r>
        <w:rPr>
          <w:rFonts w:cs="Times New Roman" w:ascii="Times New Roman" w:hAnsi="Times New Roman"/>
          <w:color w:val="000000" w:themeColor="text1"/>
          <w:sz w:val="28"/>
          <w:szCs w:val="28"/>
          <w:shd w:fill="FFFFFF" w:val="clear"/>
          <w:lang w:val="uk-UA"/>
        </w:rPr>
        <w:t>/ В. І. Шишкіна. –</w:t>
      </w:r>
      <w:r>
        <w:rPr>
          <w:rFonts w:cs="Times New Roman" w:ascii="Times New Roman" w:hAnsi="Times New Roman"/>
          <w:color w:val="000000" w:themeColor="text1"/>
          <w:sz w:val="28"/>
          <w:szCs w:val="28"/>
          <w:shd w:fill="FFFFFF" w:val="clear"/>
        </w:rPr>
        <w:t xml:space="preserve"> </w:t>
      </w:r>
      <w:r>
        <w:rPr>
          <w:rFonts w:cs="Times New Roman" w:ascii="Times New Roman" w:hAnsi="Times New Roman"/>
          <w:color w:val="000000" w:themeColor="text1"/>
          <w:sz w:val="28"/>
          <w:szCs w:val="28"/>
          <w:shd w:fill="FFFFFF" w:val="clear"/>
          <w:lang w:val="uk-UA"/>
        </w:rPr>
        <w:t xml:space="preserve">2020. </w:t>
      </w:r>
      <w:r>
        <w:rPr>
          <w:rFonts w:cs="Times New Roman" w:ascii="Times New Roman" w:hAnsi="Times New Roman"/>
          <w:color w:val="000000" w:themeColor="text1"/>
          <w:sz w:val="28"/>
          <w:lang w:val="uk-UA"/>
        </w:rPr>
        <w:t xml:space="preserve">– </w:t>
      </w:r>
      <w:r>
        <w:rPr>
          <w:rFonts w:cs="Times New Roman" w:ascii="Times New Roman" w:hAnsi="Times New Roman"/>
          <w:sz w:val="28"/>
          <w:lang w:val="uk-UA"/>
        </w:rPr>
        <w:t xml:space="preserve">Режим доступу: </w:t>
      </w:r>
      <w:r>
        <w:rPr>
          <w:rFonts w:cs="Times New Roman" w:ascii="Times New Roman" w:hAnsi="Times New Roman"/>
          <w:color w:val="333333"/>
          <w:sz w:val="28"/>
          <w:szCs w:val="28"/>
          <w:shd w:fill="FFFFFF" w:val="clear"/>
          <w:lang w:val="uk-UA"/>
        </w:rPr>
        <w:t xml:space="preserve"> </w:t>
      </w:r>
      <w:hyperlink r:id="rId29">
        <w:r>
          <w:rPr>
            <w:rFonts w:cs="Times New Roman" w:ascii="Times New Roman" w:hAnsi="Times New Roman"/>
            <w:sz w:val="28"/>
            <w:szCs w:val="28"/>
            <w:shd w:fill="FFFFFF" w:val="clear"/>
            <w:lang w:val="uk-UA"/>
          </w:rPr>
          <w:t>http://dspace.onu.edu.ua:8080/handle/123456789/30485</w:t>
        </w:r>
      </w:hyperlink>
      <w:r>
        <w:rPr>
          <w:rStyle w:val="Style12"/>
          <w:rFonts w:cs="Times New Roman" w:ascii="Times New Roman" w:hAnsi="Times New Roman"/>
          <w:color w:val="000000"/>
          <w:sz w:val="28"/>
          <w:szCs w:val="28"/>
          <w:u w:val="none"/>
          <w:shd w:fill="FFFFFF" w:val="clear"/>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shd w:fill="FFFFFF" w:val="clear"/>
          <w:lang w:val="uk-UA"/>
        </w:rPr>
        <w:t>Sugiono</w:t>
      </w:r>
      <w:r>
        <w:rPr>
          <w:rFonts w:cs="Times New Roman" w:ascii="Times New Roman" w:hAnsi="Times New Roman"/>
          <w:sz w:val="28"/>
          <w:szCs w:val="28"/>
          <w:shd w:fill="FFFFFF" w:val="clear"/>
          <w:lang w:val="en-US"/>
        </w:rPr>
        <w:t xml:space="preserve"> </w:t>
      </w:r>
      <w:r>
        <w:rPr>
          <w:rFonts w:cs="Times New Roman" w:ascii="Times New Roman" w:hAnsi="Times New Roman"/>
          <w:sz w:val="28"/>
          <w:szCs w:val="28"/>
          <w:shd w:fill="FFFFFF" w:val="clear"/>
          <w:lang w:val="uk-UA"/>
        </w:rPr>
        <w:t>A</w:t>
      </w:r>
      <w:r>
        <w:rPr>
          <w:rFonts w:cs="Times New Roman" w:ascii="Times New Roman" w:hAnsi="Times New Roman"/>
          <w:sz w:val="28"/>
          <w:szCs w:val="28"/>
          <w:shd w:fill="FFFFFF" w:val="clear"/>
          <w:lang w:val="en-US"/>
        </w:rPr>
        <w:t>.,</w:t>
      </w:r>
      <w:r>
        <w:rPr>
          <w:rFonts w:cs="Times New Roman" w:ascii="Times New Roman" w:hAnsi="Times New Roman"/>
          <w:sz w:val="28"/>
          <w:szCs w:val="28"/>
          <w:shd w:fill="FFFFFF" w:val="clear"/>
          <w:lang w:val="uk-UA"/>
        </w:rPr>
        <w:t xml:space="preserve"> Edy</w:t>
      </w:r>
      <w:r>
        <w:rPr>
          <w:rFonts w:cs="Times New Roman" w:ascii="Times New Roman" w:hAnsi="Times New Roman"/>
          <w:sz w:val="28"/>
          <w:szCs w:val="28"/>
          <w:shd w:fill="FFFFFF" w:val="clear"/>
          <w:lang w:val="en-US"/>
        </w:rPr>
        <w:t xml:space="preserve"> </w:t>
      </w:r>
      <w:r>
        <w:rPr>
          <w:rFonts w:cs="Times New Roman" w:ascii="Times New Roman" w:hAnsi="Times New Roman"/>
          <w:sz w:val="28"/>
          <w:szCs w:val="28"/>
          <w:shd w:fill="FFFFFF" w:val="clear"/>
          <w:lang w:val="uk-UA"/>
        </w:rPr>
        <w:t>U. A Practical Guide Basic Analysis Of Financial Statements Revised Edition</w:t>
      </w:r>
      <w:r>
        <w:rPr>
          <w:rFonts w:cs="Times New Roman" w:ascii="Times New Roman" w:hAnsi="Times New Roman"/>
          <w:sz w:val="28"/>
          <w:szCs w:val="28"/>
          <w:shd w:fill="FFFFFF" w:val="clear"/>
          <w:lang w:val="en-US"/>
        </w:rPr>
        <w:t xml:space="preserve"> </w:t>
      </w:r>
      <w:r>
        <w:rPr>
          <w:rFonts w:cs="Times New Roman" w:ascii="Times New Roman" w:hAnsi="Times New Roman"/>
          <w:sz w:val="28"/>
          <w:lang w:val="uk-UA"/>
        </w:rPr>
        <w:t xml:space="preserve">[Електронний ресурс] </w:t>
      </w:r>
      <w:r>
        <w:rPr>
          <w:rFonts w:cs="Times New Roman" w:ascii="Times New Roman" w:hAnsi="Times New Roman"/>
          <w:color w:val="333333"/>
          <w:sz w:val="28"/>
          <w:szCs w:val="28"/>
          <w:shd w:fill="FFFFFF" w:val="clear"/>
          <w:lang w:val="uk-UA"/>
        </w:rPr>
        <w:t>/</w:t>
      </w:r>
      <w:r>
        <w:rPr>
          <w:rFonts w:cs="Times New Roman" w:ascii="Times New Roman" w:hAnsi="Times New Roman"/>
          <w:sz w:val="28"/>
          <w:szCs w:val="28"/>
          <w:shd w:fill="FFFFFF" w:val="clear"/>
          <w:lang w:val="en-US"/>
        </w:rPr>
        <w:t xml:space="preserve"> A. </w:t>
      </w:r>
      <w:r>
        <w:rPr>
          <w:rFonts w:cs="Times New Roman" w:ascii="Times New Roman" w:hAnsi="Times New Roman"/>
          <w:sz w:val="28"/>
          <w:szCs w:val="28"/>
          <w:shd w:fill="FFFFFF" w:val="clear"/>
          <w:lang w:val="uk-UA"/>
        </w:rPr>
        <w:t>Sugiono</w:t>
      </w:r>
      <w:r>
        <w:rPr>
          <w:rFonts w:cs="Times New Roman" w:ascii="Times New Roman" w:hAnsi="Times New Roman"/>
          <w:sz w:val="28"/>
          <w:szCs w:val="28"/>
          <w:shd w:fill="FFFFFF" w:val="clear"/>
          <w:lang w:val="en-US"/>
        </w:rPr>
        <w:t>,</w:t>
      </w:r>
      <w:r>
        <w:rPr>
          <w:rFonts w:cs="Times New Roman" w:ascii="Times New Roman" w:hAnsi="Times New Roman"/>
          <w:sz w:val="28"/>
          <w:szCs w:val="28"/>
          <w:shd w:fill="FFFFFF" w:val="clear"/>
          <w:lang w:val="uk-UA"/>
        </w:rPr>
        <w:t xml:space="preserve"> </w:t>
      </w:r>
      <w:r>
        <w:rPr>
          <w:rFonts w:cs="Times New Roman" w:ascii="Times New Roman" w:hAnsi="Times New Roman"/>
          <w:sz w:val="28"/>
          <w:szCs w:val="28"/>
          <w:shd w:fill="FFFFFF" w:val="clear"/>
          <w:lang w:val="en-US"/>
        </w:rPr>
        <w:t xml:space="preserve">U. </w:t>
      </w:r>
      <w:r>
        <w:rPr>
          <w:rFonts w:cs="Times New Roman" w:ascii="Times New Roman" w:hAnsi="Times New Roman"/>
          <w:sz w:val="28"/>
          <w:szCs w:val="28"/>
          <w:shd w:fill="FFFFFF" w:val="clear"/>
          <w:lang w:val="uk-UA"/>
        </w:rPr>
        <w:t>Edy</w:t>
      </w:r>
      <w:r>
        <w:rPr>
          <w:rFonts w:cs="Times New Roman" w:ascii="Times New Roman" w:hAnsi="Times New Roman"/>
          <w:sz w:val="28"/>
          <w:szCs w:val="28"/>
          <w:shd w:fill="FFFFFF" w:val="clear"/>
          <w:lang w:val="en-US"/>
        </w:rPr>
        <w:t xml:space="preserve"> // </w:t>
      </w:r>
      <w:r>
        <w:rPr>
          <w:rFonts w:cs="Times New Roman" w:ascii="Times New Roman" w:hAnsi="Times New Roman"/>
          <w:sz w:val="28"/>
          <w:szCs w:val="28"/>
          <w:shd w:fill="FFFFFF" w:val="clear"/>
          <w:lang w:val="uk-UA"/>
        </w:rPr>
        <w:t>Grasindo</w:t>
      </w:r>
      <w:r>
        <w:rPr>
          <w:rFonts w:cs="Times New Roman" w:ascii="Times New Roman" w:hAnsi="Times New Roman"/>
          <w:sz w:val="28"/>
          <w:szCs w:val="28"/>
          <w:shd w:fill="FFFFFF" w:val="clear"/>
          <w:lang w:val="en-US"/>
        </w:rPr>
        <w:t xml:space="preserve">. </w:t>
      </w:r>
      <w:r>
        <w:rPr>
          <w:rFonts w:cs="Times New Roman" w:ascii="Times New Roman" w:hAnsi="Times New Roman"/>
          <w:sz w:val="28"/>
          <w:lang w:val="uk-UA"/>
        </w:rPr>
        <w:t>– 201</w:t>
      </w:r>
      <w:r>
        <w:rPr>
          <w:rFonts w:cs="Times New Roman" w:ascii="Times New Roman" w:hAnsi="Times New Roman"/>
          <w:sz w:val="28"/>
          <w:lang w:val="en-US"/>
        </w:rPr>
        <w:t>6</w:t>
      </w:r>
      <w:r>
        <w:rPr>
          <w:rFonts w:cs="Times New Roman" w:ascii="Times New Roman" w:hAnsi="Times New Roman"/>
          <w:sz w:val="28"/>
          <w:lang w:val="uk-UA"/>
        </w:rPr>
        <w:t>. – Режим доступу:</w:t>
      </w:r>
      <w:r>
        <w:rPr>
          <w:rFonts w:cs="Times New Roman" w:ascii="Times New Roman" w:hAnsi="Times New Roman"/>
          <w:sz w:val="28"/>
          <w:lang w:val="en-US"/>
        </w:rPr>
        <w:t xml:space="preserve"> </w:t>
      </w:r>
      <w:hyperlink r:id="rId30">
        <w:r>
          <w:rPr>
            <w:rFonts w:cs="Times New Roman" w:ascii="Times New Roman" w:hAnsi="Times New Roman"/>
            <w:sz w:val="28"/>
            <w:lang w:val="en-US"/>
          </w:rPr>
          <w:t>https://opac.perpusnas.go.id/DetailOpac.aspx?id=509201</w:t>
        </w:r>
      </w:hyperlink>
      <w:r>
        <w:rPr>
          <w:rFonts w:cs="Times New Roman" w:ascii="Times New Roman" w:hAnsi="Times New Roman"/>
          <w:sz w:val="28"/>
          <w:lang w:val="en-US"/>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shd w:fill="FFFFFF" w:val="clear"/>
          <w:lang w:val="en-US"/>
        </w:rPr>
        <w:t xml:space="preserve">Hantono H. The Effect of Current Ratio, Debt to Equity Ratio, Toward Return on Assets (Case Study on Consumer Goods Company) / H. Hantono // Jurnal Accountability. </w:t>
      </w:r>
      <w:r>
        <w:rPr>
          <w:rFonts w:cs="Times New Roman" w:ascii="Times New Roman" w:hAnsi="Times New Roman"/>
          <w:sz w:val="28"/>
          <w:lang w:val="uk-UA"/>
        </w:rPr>
        <w:t>– 20</w:t>
      </w:r>
      <w:r>
        <w:rPr>
          <w:rFonts w:cs="Times New Roman" w:ascii="Times New Roman" w:hAnsi="Times New Roman"/>
          <w:sz w:val="28"/>
          <w:lang w:val="en-US"/>
        </w:rPr>
        <w:t>18</w:t>
      </w:r>
      <w:r>
        <w:rPr>
          <w:rFonts w:cs="Times New Roman" w:ascii="Times New Roman" w:hAnsi="Times New Roman"/>
          <w:sz w:val="28"/>
          <w:lang w:val="uk-UA"/>
        </w:rPr>
        <w:t>. – №</w:t>
      </w:r>
      <w:r>
        <w:rPr>
          <w:rFonts w:cs="Times New Roman" w:ascii="Times New Roman" w:hAnsi="Times New Roman"/>
          <w:sz w:val="28"/>
          <w:lang w:val="en-US"/>
        </w:rPr>
        <w:t>7(02)</w:t>
      </w:r>
      <w:r>
        <w:rPr>
          <w:rFonts w:cs="Times New Roman" w:ascii="Times New Roman" w:hAnsi="Times New Roman"/>
          <w:sz w:val="28"/>
          <w:lang w:val="uk-UA"/>
        </w:rPr>
        <w:t xml:space="preserve">. </w:t>
      </w:r>
      <w:r>
        <w:rPr>
          <w:rFonts w:eastAsia="Symbol" w:cs="Symbol" w:ascii="Symbol" w:hAnsi="Symbol"/>
          <w:sz w:val="28"/>
          <w:lang w:val="uk-UA"/>
        </w:rPr>
        <w:t></w:t>
      </w:r>
      <w:r>
        <w:rPr>
          <w:rFonts w:cs="Times New Roman" w:ascii="Times New Roman" w:hAnsi="Times New Roman"/>
          <w:sz w:val="28"/>
          <w:lang w:val="uk-UA"/>
        </w:rPr>
        <w:t xml:space="preserve"> </w:t>
      </w:r>
      <w:r>
        <w:rPr>
          <w:rFonts w:cs="Times New Roman" w:ascii="Times New Roman" w:hAnsi="Times New Roman"/>
          <w:sz w:val="28"/>
          <w:szCs w:val="28"/>
          <w:lang w:val="uk-UA"/>
        </w:rPr>
        <w:t xml:space="preserve">Режим доступу: </w:t>
      </w:r>
      <w:r>
        <w:rPr>
          <w:rFonts w:cs="Times New Roman" w:ascii="Times New Roman" w:hAnsi="Times New Roman"/>
          <w:sz w:val="28"/>
          <w:szCs w:val="28"/>
          <w:shd w:fill="FFFFFF" w:val="clear"/>
        </w:rPr>
        <w:t xml:space="preserve"> </w:t>
      </w:r>
      <w:hyperlink r:id="rId31">
        <w:r>
          <w:rPr>
            <w:rFonts w:cs="Times New Roman" w:ascii="Times New Roman" w:hAnsi="Times New Roman"/>
            <w:sz w:val="28"/>
            <w:szCs w:val="28"/>
            <w:lang w:val="uk-UA"/>
          </w:rPr>
          <w:t>https://www.researchgate.net/publication/334958999</w:t>
        </w:r>
      </w:hyperlink>
      <w:r>
        <w:rPr>
          <w:rFonts w:cs="Times New Roman" w:ascii="Times New Roman" w:hAnsi="Times New Roman"/>
          <w:sz w:val="28"/>
          <w:szCs w:val="28"/>
        </w:rPr>
        <w:t>.</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en-US"/>
        </w:rPr>
        <w:t xml:space="preserve">Bhardwaj S., Bureau E. How a company’s debt can influence shareholder earnings / S. Bhardwaj, E. Bureau // The Economic Times. </w:t>
      </w:r>
      <w:r>
        <w:rPr>
          <w:rFonts w:cs="Times New Roman" w:ascii="Times New Roman" w:hAnsi="Times New Roman"/>
          <w:sz w:val="28"/>
          <w:lang w:val="uk-UA"/>
        </w:rPr>
        <w:t>– 20</w:t>
      </w:r>
      <w:r>
        <w:rPr>
          <w:rFonts w:cs="Times New Roman" w:ascii="Times New Roman" w:hAnsi="Times New Roman"/>
          <w:sz w:val="28"/>
          <w:lang w:val="en-US"/>
        </w:rPr>
        <w:t>18</w:t>
      </w:r>
      <w:r>
        <w:rPr>
          <w:rFonts w:cs="Times New Roman" w:ascii="Times New Roman" w:hAnsi="Times New Roman"/>
          <w:sz w:val="28"/>
          <w:lang w:val="uk-UA"/>
        </w:rPr>
        <w:t xml:space="preserve">. </w:t>
      </w:r>
      <w:r>
        <w:rPr>
          <w:rFonts w:eastAsia="Symbol" w:cs="Symbol" w:ascii="Symbol" w:hAnsi="Symbol"/>
          <w:sz w:val="28"/>
          <w:lang w:val="uk-UA"/>
        </w:rPr>
        <w:t></w:t>
      </w:r>
      <w:r>
        <w:rPr>
          <w:rFonts w:cs="Times New Roman" w:ascii="Times New Roman" w:hAnsi="Times New Roman"/>
          <w:sz w:val="28"/>
          <w:lang w:val="uk-UA"/>
        </w:rPr>
        <w:t xml:space="preserve"> </w:t>
      </w:r>
      <w:r>
        <w:rPr>
          <w:rFonts w:cs="Times New Roman" w:ascii="Times New Roman" w:hAnsi="Times New Roman"/>
          <w:sz w:val="28"/>
          <w:szCs w:val="28"/>
          <w:lang w:val="uk-UA"/>
        </w:rPr>
        <w:t xml:space="preserve">Режим доступу: </w:t>
      </w:r>
      <w:r>
        <w:rPr>
          <w:rFonts w:cs="Times New Roman" w:ascii="Times New Roman" w:hAnsi="Times New Roman"/>
          <w:sz w:val="28"/>
          <w:szCs w:val="28"/>
          <w:shd w:fill="FFFFFF" w:val="clear"/>
        </w:rPr>
        <w:t xml:space="preserve"> </w:t>
      </w:r>
      <w:hyperlink r:id="rId32">
        <w:r>
          <w:rPr>
            <w:rFonts w:cs="Times New Roman" w:ascii="Times New Roman" w:hAnsi="Times New Roman"/>
            <w:sz w:val="28"/>
            <w:szCs w:val="28"/>
            <w:lang w:val="uk-UA"/>
          </w:rPr>
          <w:t>https://economictimes.indiatimes.com/wealth/invest/how-a-companys-debt-can-influence-shareholder-earnings/articleshow/65079294.cms?from=mdr</w:t>
        </w:r>
      </w:hyperlink>
      <w:r>
        <w:rPr>
          <w:rStyle w:val="Style12"/>
          <w:rFonts w:cs="Times New Roman" w:ascii="Times New Roman" w:hAnsi="Times New Roman"/>
          <w:color w:val="auto"/>
          <w:sz w:val="28"/>
          <w:szCs w:val="28"/>
          <w:u w:val="none"/>
        </w:rPr>
        <w:t>.</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en-US"/>
        </w:rPr>
        <w:t xml:space="preserve">Global Industry Classification Standard // S&amp;P Global Market Intelligence, MSCI. </w:t>
      </w:r>
      <w:r>
        <w:rPr>
          <w:rFonts w:eastAsia="Symbol" w:cs="Symbol" w:ascii="Symbol" w:hAnsi="Symbol"/>
          <w:spacing w:val="-1"/>
          <w:sz w:val="28"/>
          <w:szCs w:val="28"/>
          <w:shd w:fill="FFFFFF" w:val="clear"/>
        </w:rPr>
        <w:t></w:t>
      </w:r>
      <w:r>
        <w:rPr>
          <w:rFonts w:cs="Times New Roman" w:ascii="Times New Roman" w:hAnsi="Times New Roman"/>
          <w:spacing w:val="-1"/>
          <w:sz w:val="28"/>
          <w:szCs w:val="28"/>
          <w:shd w:fill="FFFFFF" w:val="clear"/>
          <w:lang w:val="uk-UA"/>
        </w:rPr>
        <w:t xml:space="preserve"> 201</w:t>
      </w:r>
      <w:r>
        <w:rPr>
          <w:rFonts w:cs="Times New Roman" w:ascii="Times New Roman" w:hAnsi="Times New Roman"/>
          <w:spacing w:val="-1"/>
          <w:sz w:val="28"/>
          <w:szCs w:val="28"/>
          <w:shd w:fill="FFFFFF" w:val="clear"/>
        </w:rPr>
        <w:t>8</w:t>
      </w:r>
      <w:r>
        <w:rPr>
          <w:rFonts w:cs="Times New Roman" w:ascii="Times New Roman" w:hAnsi="Times New Roman"/>
          <w:spacing w:val="-1"/>
          <w:sz w:val="28"/>
          <w:szCs w:val="28"/>
          <w:shd w:fill="FFFFFF" w:val="clear"/>
          <w:lang w:val="uk-UA"/>
        </w:rPr>
        <w:t xml:space="preserve">. </w:t>
      </w:r>
      <w:r>
        <w:rPr>
          <w:rFonts w:eastAsia="Symbol" w:cs="Symbol" w:ascii="Symbol" w:hAnsi="Symbol"/>
          <w:spacing w:val="-1"/>
          <w:sz w:val="28"/>
          <w:szCs w:val="28"/>
          <w:shd w:fill="FFFFFF" w:val="clear"/>
          <w:lang w:val="uk-UA"/>
        </w:rPr>
        <w:t></w:t>
      </w:r>
      <w:r>
        <w:rPr>
          <w:rFonts w:cs="Times New Roman" w:ascii="Times New Roman" w:hAnsi="Times New Roman"/>
          <w:spacing w:val="-1"/>
          <w:sz w:val="28"/>
          <w:szCs w:val="28"/>
          <w:shd w:fill="FFFFFF" w:val="clear"/>
        </w:rPr>
        <w:t xml:space="preserve"> </w:t>
      </w:r>
      <w:r>
        <w:rPr>
          <w:rFonts w:cs="Times New Roman" w:ascii="Times New Roman" w:hAnsi="Times New Roman"/>
          <w:spacing w:val="-1"/>
          <w:sz w:val="28"/>
          <w:szCs w:val="28"/>
          <w:shd w:fill="FFFFFF" w:val="clear"/>
          <w:lang w:val="uk-UA"/>
        </w:rPr>
        <w:t xml:space="preserve">Режим доступу: </w:t>
      </w:r>
      <w:r>
        <w:rPr>
          <w:rFonts w:cs="Times New Roman" w:ascii="Times New Roman" w:hAnsi="Times New Roman"/>
          <w:sz w:val="28"/>
          <w:szCs w:val="28"/>
          <w:lang w:val="uk-UA"/>
        </w:rPr>
        <w:t xml:space="preserve"> </w:t>
      </w:r>
      <w:hyperlink r:id="rId33">
        <w:r>
          <w:rPr>
            <w:rFonts w:cs="Times New Roman" w:ascii="Times New Roman" w:hAnsi="Times New Roman"/>
            <w:sz w:val="28"/>
            <w:szCs w:val="28"/>
            <w:lang w:val="uk-UA"/>
          </w:rPr>
          <w:t>https://www.spglobal.com/marketintelligence/en/documents/112727-gics-mapbook_2018_v3_letter_digitalspreads.pdf</w:t>
        </w:r>
      </w:hyperlink>
      <w:r>
        <w:rPr>
          <w:rFonts w:cs="Times New Roman" w:ascii="Times New Roman" w:hAnsi="Times New Roman"/>
          <w:sz w:val="28"/>
          <w:szCs w:val="28"/>
          <w:lang w:val="uk-UA"/>
        </w:rPr>
        <w:t xml:space="preserve">.  </w:t>
      </w:r>
    </w:p>
    <w:p>
      <w:pPr>
        <w:pStyle w:val="Normal"/>
        <w:numPr>
          <w:ilvl w:val="0"/>
          <w:numId w:val="1"/>
        </w:numPr>
        <w:spacing w:lineRule="auto" w:line="360" w:before="0" w:after="0"/>
        <w:ind w:left="0" w:hanging="0"/>
        <w:jc w:val="both"/>
        <w:rPr>
          <w:rStyle w:val="Style12"/>
          <w:rFonts w:ascii="Times New Roman" w:hAnsi="Times New Roman" w:cs="Times New Roman"/>
          <w:color w:val="auto"/>
          <w:sz w:val="28"/>
          <w:szCs w:val="28"/>
          <w:u w:val="none"/>
          <w:lang w:val="uk-UA"/>
        </w:rPr>
      </w:pPr>
      <w:r>
        <w:rPr>
          <w:rFonts w:cs="Times New Roman" w:ascii="Times New Roman" w:hAnsi="Times New Roman"/>
          <w:spacing w:val="-1"/>
          <w:sz w:val="28"/>
          <w:szCs w:val="28"/>
          <w:shd w:fill="FFFFFF" w:val="clear"/>
          <w:lang w:val="uk-UA"/>
        </w:rPr>
        <w:t xml:space="preserve">Елісєєва І.І. Эконометрика: учебник для магистров [Електронний ресурс] / І.І. Елісєєва </w:t>
      </w:r>
      <w:r>
        <w:rPr>
          <w:rFonts w:cs="Times New Roman" w:ascii="Times New Roman" w:hAnsi="Times New Roman"/>
          <w:spacing w:val="-1"/>
          <w:sz w:val="28"/>
          <w:szCs w:val="28"/>
          <w:shd w:fill="FFFFFF" w:val="clear"/>
        </w:rPr>
        <w:t xml:space="preserve">// </w:t>
      </w:r>
      <w:r>
        <w:rPr>
          <w:rFonts w:cs="Times New Roman" w:ascii="Times New Roman" w:hAnsi="Times New Roman"/>
          <w:spacing w:val="-1"/>
          <w:sz w:val="28"/>
          <w:szCs w:val="28"/>
          <w:shd w:fill="FFFFFF" w:val="clear"/>
          <w:lang w:val="uk-UA"/>
        </w:rPr>
        <w:t>Юрайт</w:t>
      </w:r>
      <w:r>
        <w:rPr>
          <w:rFonts w:cs="Times New Roman" w:ascii="Times New Roman" w:hAnsi="Times New Roman"/>
          <w:spacing w:val="-1"/>
          <w:sz w:val="28"/>
          <w:szCs w:val="28"/>
          <w:shd w:fill="FFFFFF" w:val="clear"/>
        </w:rPr>
        <w:t xml:space="preserve">. </w:t>
      </w:r>
      <w:r>
        <w:rPr>
          <w:rFonts w:eastAsia="Symbol" w:cs="Symbol" w:ascii="Symbol" w:hAnsi="Symbol"/>
          <w:spacing w:val="-1"/>
          <w:sz w:val="28"/>
          <w:szCs w:val="28"/>
          <w:shd w:fill="FFFFFF" w:val="clear"/>
        </w:rPr>
        <w:t></w:t>
      </w:r>
      <w:r>
        <w:rPr>
          <w:rFonts w:cs="Times New Roman" w:ascii="Times New Roman" w:hAnsi="Times New Roman"/>
          <w:spacing w:val="-1"/>
          <w:sz w:val="28"/>
          <w:szCs w:val="28"/>
          <w:shd w:fill="FFFFFF" w:val="clear"/>
          <w:lang w:val="uk-UA"/>
        </w:rPr>
        <w:t xml:space="preserve"> 2014. </w:t>
      </w:r>
      <w:r>
        <w:rPr>
          <w:rFonts w:eastAsia="Symbol" w:cs="Symbol" w:ascii="Symbol" w:hAnsi="Symbol"/>
          <w:spacing w:val="-1"/>
          <w:sz w:val="28"/>
          <w:szCs w:val="28"/>
          <w:shd w:fill="FFFFFF" w:val="clear"/>
          <w:lang w:val="uk-UA"/>
        </w:rPr>
        <w:t></w:t>
      </w:r>
      <w:r>
        <w:rPr>
          <w:rFonts w:cs="Times New Roman" w:ascii="Times New Roman" w:hAnsi="Times New Roman"/>
          <w:spacing w:val="-1"/>
          <w:sz w:val="28"/>
          <w:szCs w:val="28"/>
          <w:shd w:fill="FFFFFF" w:val="clear"/>
        </w:rPr>
        <w:t xml:space="preserve"> </w:t>
      </w:r>
      <w:r>
        <w:rPr>
          <w:rFonts w:cs="Times New Roman" w:ascii="Times New Roman" w:hAnsi="Times New Roman"/>
          <w:spacing w:val="-1"/>
          <w:sz w:val="28"/>
          <w:szCs w:val="28"/>
          <w:shd w:fill="FFFFFF" w:val="clear"/>
          <w:lang w:val="uk-UA"/>
        </w:rPr>
        <w:t xml:space="preserve">Режим доступу: </w:t>
      </w:r>
      <w:hyperlink r:id="rId34">
        <w:r>
          <w:rPr>
            <w:rFonts w:cs="Times New Roman" w:ascii="Times New Roman" w:hAnsi="Times New Roman"/>
            <w:spacing w:val="-1"/>
            <w:sz w:val="28"/>
            <w:szCs w:val="28"/>
            <w:shd w:fill="FFFFFF" w:val="clear"/>
            <w:lang w:val="uk-UA"/>
          </w:rPr>
          <w:t>https://studme.org/72697/ekonomika/vybor_modeli</w:t>
        </w:r>
      </w:hyperlink>
      <w:r>
        <w:rPr>
          <w:rStyle w:val="Style12"/>
          <w:rFonts w:cs="Times New Roman" w:ascii="Times New Roman" w:hAnsi="Times New Roman"/>
          <w:color w:val="000000"/>
          <w:spacing w:val="-1"/>
          <w:sz w:val="28"/>
          <w:szCs w:val="28"/>
          <w:u w:val="none"/>
          <w:shd w:fill="FFFFFF" w:val="clear"/>
        </w:rPr>
        <w:t>.</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en-US"/>
        </w:rPr>
        <w:t>Baselli V. Which Countries Lead on ESG?</w:t>
      </w:r>
      <w:r>
        <w:rPr>
          <w:lang w:val="en-US"/>
        </w:rPr>
        <w:t xml:space="preserve"> </w:t>
      </w:r>
      <w:r>
        <w:rPr>
          <w:rFonts w:cs="Times New Roman" w:ascii="Times New Roman" w:hAnsi="Times New Roman"/>
          <w:spacing w:val="-1"/>
          <w:sz w:val="28"/>
          <w:szCs w:val="28"/>
          <w:shd w:fill="FFFFFF" w:val="clear"/>
          <w:lang w:val="uk-UA"/>
        </w:rPr>
        <w:t xml:space="preserve">[Електронний ресурс] / </w:t>
      </w:r>
      <w:r>
        <w:rPr>
          <w:rFonts w:cs="Times New Roman" w:ascii="Times New Roman" w:hAnsi="Times New Roman"/>
          <w:spacing w:val="-1"/>
          <w:sz w:val="28"/>
          <w:szCs w:val="28"/>
          <w:shd w:fill="FFFFFF" w:val="clear"/>
          <w:lang w:val="en-US"/>
        </w:rPr>
        <w:t>V</w:t>
      </w:r>
      <w:r>
        <w:rPr>
          <w:rFonts w:cs="Times New Roman" w:ascii="Times New Roman" w:hAnsi="Times New Roman"/>
          <w:spacing w:val="-1"/>
          <w:sz w:val="28"/>
          <w:szCs w:val="28"/>
          <w:shd w:fill="FFFFFF" w:val="clear"/>
        </w:rPr>
        <w:t xml:space="preserve">. </w:t>
      </w:r>
      <w:r>
        <w:rPr>
          <w:rFonts w:cs="Times New Roman" w:ascii="Times New Roman" w:hAnsi="Times New Roman"/>
          <w:sz w:val="28"/>
          <w:szCs w:val="28"/>
          <w:lang w:val="en-US"/>
        </w:rPr>
        <w:t>Baselli</w:t>
      </w:r>
      <w:r>
        <w:rPr>
          <w:rFonts w:cs="Times New Roman" w:ascii="Times New Roman" w:hAnsi="Times New Roman"/>
          <w:sz w:val="28"/>
          <w:szCs w:val="28"/>
        </w:rPr>
        <w:t xml:space="preserve"> // </w:t>
      </w:r>
      <w:r>
        <w:rPr>
          <w:rFonts w:cs="Times New Roman" w:ascii="Times New Roman" w:hAnsi="Times New Roman"/>
          <w:sz w:val="28"/>
          <w:szCs w:val="28"/>
          <w:lang w:val="en-US"/>
        </w:rPr>
        <w:t>Morningstar</w:t>
      </w:r>
      <w:r>
        <w:rPr>
          <w:rFonts w:cs="Times New Roman" w:ascii="Times New Roman" w:hAnsi="Times New Roman"/>
          <w:sz w:val="28"/>
          <w:szCs w:val="28"/>
        </w:rPr>
        <w:t xml:space="preserve">. </w:t>
      </w:r>
      <w:r>
        <w:rPr>
          <w:rFonts w:eastAsia="Symbol" w:cs="Symbol" w:ascii="Symbol" w:hAnsi="Symbol"/>
          <w:spacing w:val="-1"/>
          <w:sz w:val="28"/>
          <w:szCs w:val="28"/>
          <w:shd w:fill="FFFFFF" w:val="clear"/>
        </w:rPr>
        <w:t></w:t>
      </w:r>
      <w:r>
        <w:rPr>
          <w:rFonts w:cs="Times New Roman" w:ascii="Times New Roman" w:hAnsi="Times New Roman"/>
          <w:spacing w:val="-1"/>
          <w:sz w:val="28"/>
          <w:szCs w:val="28"/>
          <w:shd w:fill="FFFFFF" w:val="clear"/>
          <w:lang w:val="uk-UA"/>
        </w:rPr>
        <w:t xml:space="preserve"> 20</w:t>
      </w:r>
      <w:r>
        <w:rPr>
          <w:rFonts w:cs="Times New Roman" w:ascii="Times New Roman" w:hAnsi="Times New Roman"/>
          <w:spacing w:val="-1"/>
          <w:sz w:val="28"/>
          <w:szCs w:val="28"/>
          <w:shd w:fill="FFFFFF" w:val="clear"/>
        </w:rPr>
        <w:t>21</w:t>
      </w:r>
      <w:r>
        <w:rPr>
          <w:rFonts w:cs="Times New Roman" w:ascii="Times New Roman" w:hAnsi="Times New Roman"/>
          <w:spacing w:val="-1"/>
          <w:sz w:val="28"/>
          <w:szCs w:val="28"/>
          <w:shd w:fill="FFFFFF" w:val="clear"/>
          <w:lang w:val="uk-UA"/>
        </w:rPr>
        <w:t xml:space="preserve">. </w:t>
      </w:r>
      <w:r>
        <w:rPr>
          <w:rFonts w:eastAsia="Symbol" w:cs="Symbol" w:ascii="Symbol" w:hAnsi="Symbol"/>
          <w:spacing w:val="-1"/>
          <w:sz w:val="28"/>
          <w:szCs w:val="28"/>
          <w:shd w:fill="FFFFFF" w:val="clear"/>
          <w:lang w:val="uk-UA"/>
        </w:rPr>
        <w:t></w:t>
      </w:r>
      <w:r>
        <w:rPr>
          <w:rFonts w:cs="Times New Roman" w:ascii="Times New Roman" w:hAnsi="Times New Roman"/>
          <w:spacing w:val="-1"/>
          <w:sz w:val="28"/>
          <w:szCs w:val="28"/>
          <w:shd w:fill="FFFFFF" w:val="clear"/>
        </w:rPr>
        <w:t xml:space="preserve"> </w:t>
      </w:r>
      <w:r>
        <w:rPr>
          <w:rFonts w:cs="Times New Roman" w:ascii="Times New Roman" w:hAnsi="Times New Roman"/>
          <w:spacing w:val="-1"/>
          <w:sz w:val="28"/>
          <w:szCs w:val="28"/>
          <w:shd w:fill="FFFFFF" w:val="clear"/>
          <w:lang w:val="uk-UA"/>
        </w:rPr>
        <w:t xml:space="preserve">Режим доступу: </w:t>
      </w:r>
      <w:r>
        <w:rPr>
          <w:rFonts w:cs="Times New Roman" w:ascii="Times New Roman" w:hAnsi="Times New Roman"/>
          <w:sz w:val="28"/>
          <w:szCs w:val="28"/>
          <w:lang w:val="uk-UA"/>
        </w:rPr>
        <w:t xml:space="preserve"> </w:t>
      </w:r>
      <w:hyperlink r:id="rId35">
        <w:r>
          <w:rPr>
            <w:rFonts w:cs="Times New Roman" w:ascii="Times New Roman" w:hAnsi="Times New Roman"/>
            <w:sz w:val="28"/>
            <w:szCs w:val="28"/>
            <w:lang w:val="uk-UA"/>
          </w:rPr>
          <w:t>https://www.morningstar.co.uk/uk/news/211424/which-countries-lead-on-esg.aspx</w:t>
        </w:r>
      </w:hyperlink>
      <w:r>
        <w:rPr>
          <w:rStyle w:val="Style12"/>
          <w:rFonts w:cs="Times New Roman" w:ascii="Times New Roman" w:hAnsi="Times New Roman"/>
          <w:color w:val="auto"/>
          <w:sz w:val="28"/>
          <w:szCs w:val="28"/>
          <w:u w:val="none"/>
        </w:rPr>
        <w:t>.</w:t>
      </w:r>
    </w:p>
    <w:p>
      <w:pPr>
        <w:pStyle w:val="Normal"/>
        <w:numPr>
          <w:ilvl w:val="0"/>
          <w:numId w:val="1"/>
        </w:numPr>
        <w:spacing w:lineRule="auto" w:line="360" w:before="0" w:after="0"/>
        <w:ind w:left="0" w:hanging="0"/>
        <w:jc w:val="both"/>
        <w:rPr>
          <w:rStyle w:val="Style12"/>
          <w:rFonts w:ascii="Times New Roman" w:hAnsi="Times New Roman" w:cs="Times New Roman"/>
          <w:color w:val="auto"/>
          <w:sz w:val="28"/>
          <w:szCs w:val="28"/>
          <w:u w:val="none"/>
          <w:lang w:val="uk-UA"/>
        </w:rPr>
      </w:pPr>
      <w:r>
        <w:rPr>
          <w:rFonts w:cs="Times New Roman" w:ascii="Times New Roman" w:hAnsi="Times New Roman"/>
          <w:sz w:val="28"/>
          <w:lang w:val="en-US"/>
        </w:rPr>
        <w:t xml:space="preserve">Mahmood R. How do different regions score on ESG attributes? </w:t>
      </w:r>
      <w:r>
        <w:rPr>
          <w:rFonts w:cs="Times New Roman" w:ascii="Times New Roman" w:hAnsi="Times New Roman"/>
          <w:spacing w:val="-1"/>
          <w:sz w:val="28"/>
          <w:szCs w:val="28"/>
          <w:shd w:fill="FFFFFF" w:val="clear"/>
          <w:lang w:val="uk-UA"/>
        </w:rPr>
        <w:t xml:space="preserve">[Електронний ресурс] / </w:t>
      </w:r>
      <w:r>
        <w:rPr>
          <w:rFonts w:cs="Times New Roman" w:ascii="Times New Roman" w:hAnsi="Times New Roman"/>
          <w:spacing w:val="-1"/>
          <w:sz w:val="28"/>
          <w:szCs w:val="28"/>
          <w:shd w:fill="FFFFFF" w:val="clear"/>
          <w:lang w:val="en-US"/>
        </w:rPr>
        <w:t xml:space="preserve">R. </w:t>
      </w:r>
      <w:r>
        <w:rPr>
          <w:rFonts w:cs="Times New Roman" w:ascii="Times New Roman" w:hAnsi="Times New Roman"/>
          <w:sz w:val="28"/>
          <w:lang w:val="en-US"/>
        </w:rPr>
        <w:t xml:space="preserve">Mahmood // ESGClarity. </w:t>
      </w:r>
      <w:r>
        <w:rPr>
          <w:rFonts w:eastAsia="Symbol" w:cs="Symbol" w:ascii="Symbol" w:hAnsi="Symbol"/>
          <w:spacing w:val="-1"/>
          <w:sz w:val="28"/>
          <w:szCs w:val="28"/>
          <w:shd w:fill="FFFFFF" w:val="clear"/>
        </w:rPr>
        <w:t></w:t>
      </w:r>
      <w:r>
        <w:rPr>
          <w:rFonts w:cs="Times New Roman" w:ascii="Times New Roman" w:hAnsi="Times New Roman"/>
          <w:spacing w:val="-1"/>
          <w:sz w:val="28"/>
          <w:szCs w:val="28"/>
          <w:shd w:fill="FFFFFF" w:val="clear"/>
          <w:lang w:val="uk-UA"/>
        </w:rPr>
        <w:t xml:space="preserve"> 20</w:t>
      </w:r>
      <w:r>
        <w:rPr>
          <w:rFonts w:cs="Times New Roman" w:ascii="Times New Roman" w:hAnsi="Times New Roman"/>
          <w:spacing w:val="-1"/>
          <w:sz w:val="28"/>
          <w:szCs w:val="28"/>
          <w:shd w:fill="FFFFFF" w:val="clear"/>
        </w:rPr>
        <w:t>20</w:t>
      </w:r>
      <w:r>
        <w:rPr>
          <w:rFonts w:cs="Times New Roman" w:ascii="Times New Roman" w:hAnsi="Times New Roman"/>
          <w:spacing w:val="-1"/>
          <w:sz w:val="28"/>
          <w:szCs w:val="28"/>
          <w:shd w:fill="FFFFFF" w:val="clear"/>
          <w:lang w:val="uk-UA"/>
        </w:rPr>
        <w:t xml:space="preserve">. </w:t>
      </w:r>
      <w:r>
        <w:rPr>
          <w:rFonts w:eastAsia="Symbol" w:cs="Symbol" w:ascii="Symbol" w:hAnsi="Symbol"/>
          <w:spacing w:val="-1"/>
          <w:sz w:val="28"/>
          <w:szCs w:val="28"/>
          <w:shd w:fill="FFFFFF" w:val="clear"/>
          <w:lang w:val="uk-UA"/>
        </w:rPr>
        <w:t></w:t>
      </w:r>
      <w:r>
        <w:rPr>
          <w:rFonts w:cs="Times New Roman" w:ascii="Times New Roman" w:hAnsi="Times New Roman"/>
          <w:spacing w:val="-1"/>
          <w:sz w:val="28"/>
          <w:szCs w:val="28"/>
          <w:shd w:fill="FFFFFF" w:val="clear"/>
        </w:rPr>
        <w:t xml:space="preserve"> </w:t>
      </w:r>
      <w:r>
        <w:rPr>
          <w:rFonts w:cs="Times New Roman" w:ascii="Times New Roman" w:hAnsi="Times New Roman"/>
          <w:spacing w:val="-1"/>
          <w:sz w:val="28"/>
          <w:szCs w:val="28"/>
          <w:shd w:fill="FFFFFF" w:val="clear"/>
          <w:lang w:val="uk-UA"/>
        </w:rPr>
        <w:t xml:space="preserve">Режим доступу: </w:t>
      </w:r>
      <w:r>
        <w:rPr>
          <w:rFonts w:cs="Times New Roman" w:ascii="Times New Roman" w:hAnsi="Times New Roman"/>
          <w:sz w:val="28"/>
          <w:szCs w:val="28"/>
          <w:lang w:val="uk-UA"/>
        </w:rPr>
        <w:t xml:space="preserve"> </w:t>
      </w:r>
      <w:hyperlink r:id="rId36">
        <w:r>
          <w:rPr>
            <w:rFonts w:cs="Times New Roman" w:ascii="Times New Roman" w:hAnsi="Times New Roman"/>
            <w:sz w:val="28"/>
            <w:szCs w:val="28"/>
            <w:lang w:val="uk-UA"/>
          </w:rPr>
          <w:t>https://esgclarity.com/how-do-different-regions-score-on-esg-attributes/</w:t>
        </w:r>
      </w:hyperlink>
      <w:r>
        <w:rPr>
          <w:rStyle w:val="Style12"/>
          <w:rFonts w:cs="Times New Roman" w:ascii="Times New Roman" w:hAnsi="Times New Roman"/>
          <w:color w:val="auto"/>
          <w:sz w:val="28"/>
          <w:szCs w:val="28"/>
          <w:u w:val="none"/>
        </w:rPr>
        <w:t>.</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lang w:val="en-US"/>
        </w:rPr>
        <w:t>The ESG Risk Atlas: Sector And Regional Rationales And Scores</w:t>
      </w:r>
      <w:r>
        <w:rPr>
          <w:sz w:val="28"/>
          <w:lang w:val="en-US"/>
        </w:rPr>
        <w:t xml:space="preserve"> </w:t>
      </w:r>
      <w:r>
        <w:rPr>
          <w:rFonts w:cs="Times New Roman" w:ascii="Times New Roman" w:hAnsi="Times New Roman"/>
          <w:spacing w:val="-1"/>
          <w:sz w:val="28"/>
          <w:szCs w:val="28"/>
          <w:shd w:fill="FFFFFF" w:val="clear"/>
          <w:lang w:val="uk-UA"/>
        </w:rPr>
        <w:t>[Електронний ресурс]</w:t>
      </w:r>
      <w:r>
        <w:rPr>
          <w:rFonts w:cs="Times New Roman" w:ascii="Times New Roman" w:hAnsi="Times New Roman"/>
          <w:spacing w:val="-1"/>
          <w:sz w:val="28"/>
          <w:szCs w:val="28"/>
          <w:shd w:fill="FFFFFF" w:val="clear"/>
          <w:lang w:val="en-US"/>
        </w:rPr>
        <w:t xml:space="preserve"> // S&amp;P Global Ratings. </w:t>
      </w:r>
      <w:r>
        <w:rPr>
          <w:rFonts w:eastAsia="Symbol" w:cs="Symbol" w:ascii="Symbol" w:hAnsi="Symbol"/>
          <w:spacing w:val="-1"/>
          <w:sz w:val="28"/>
          <w:szCs w:val="28"/>
          <w:shd w:fill="FFFFFF" w:val="clear"/>
        </w:rPr>
        <w:t></w:t>
      </w:r>
      <w:r>
        <w:rPr>
          <w:rFonts w:cs="Times New Roman" w:ascii="Times New Roman" w:hAnsi="Times New Roman"/>
          <w:spacing w:val="-1"/>
          <w:sz w:val="28"/>
          <w:szCs w:val="28"/>
          <w:shd w:fill="FFFFFF" w:val="clear"/>
          <w:lang w:val="uk-UA"/>
        </w:rPr>
        <w:t xml:space="preserve"> 20</w:t>
      </w:r>
      <w:r>
        <w:rPr>
          <w:rFonts w:cs="Times New Roman" w:ascii="Times New Roman" w:hAnsi="Times New Roman"/>
          <w:spacing w:val="-1"/>
          <w:sz w:val="28"/>
          <w:szCs w:val="28"/>
          <w:shd w:fill="FFFFFF" w:val="clear"/>
        </w:rPr>
        <w:t>19</w:t>
      </w:r>
      <w:r>
        <w:rPr>
          <w:rFonts w:cs="Times New Roman" w:ascii="Times New Roman" w:hAnsi="Times New Roman"/>
          <w:spacing w:val="-1"/>
          <w:sz w:val="28"/>
          <w:szCs w:val="28"/>
          <w:shd w:fill="FFFFFF" w:val="clear"/>
          <w:lang w:val="uk-UA"/>
        </w:rPr>
        <w:t xml:space="preserve">. </w:t>
      </w:r>
      <w:r>
        <w:rPr>
          <w:rFonts w:eastAsia="Symbol" w:cs="Symbol" w:ascii="Symbol" w:hAnsi="Symbol"/>
          <w:spacing w:val="-1"/>
          <w:sz w:val="28"/>
          <w:szCs w:val="28"/>
          <w:shd w:fill="FFFFFF" w:val="clear"/>
          <w:lang w:val="uk-UA"/>
        </w:rPr>
        <w:t></w:t>
      </w:r>
      <w:r>
        <w:rPr>
          <w:rFonts w:cs="Times New Roman" w:ascii="Times New Roman" w:hAnsi="Times New Roman"/>
          <w:spacing w:val="-1"/>
          <w:sz w:val="28"/>
          <w:szCs w:val="28"/>
          <w:shd w:fill="FFFFFF" w:val="clear"/>
        </w:rPr>
        <w:t xml:space="preserve"> </w:t>
      </w:r>
      <w:r>
        <w:rPr>
          <w:rFonts w:cs="Times New Roman" w:ascii="Times New Roman" w:hAnsi="Times New Roman"/>
          <w:spacing w:val="-1"/>
          <w:sz w:val="28"/>
          <w:szCs w:val="28"/>
          <w:shd w:fill="FFFFFF" w:val="clear"/>
          <w:lang w:val="uk-UA"/>
        </w:rPr>
        <w:t xml:space="preserve">Режим доступу: </w:t>
      </w:r>
      <w:r>
        <w:rPr>
          <w:rFonts w:cs="Times New Roman" w:ascii="Times New Roman" w:hAnsi="Times New Roman"/>
          <w:sz w:val="28"/>
          <w:szCs w:val="28"/>
          <w:lang w:val="uk-UA"/>
        </w:rPr>
        <w:t xml:space="preserve"> </w:t>
      </w:r>
      <w:hyperlink r:id="rId37">
        <w:r>
          <w:rPr>
            <w:rFonts w:cs="Times New Roman" w:ascii="Times New Roman" w:hAnsi="Times New Roman"/>
            <w:sz w:val="28"/>
            <w:szCs w:val="28"/>
            <w:lang w:val="uk-UA"/>
          </w:rPr>
          <w:t>https://www.spglobal.com/_media/documents/ratingsdirect_theesgriskatlassectorandregionalrationalesandscores_41534468_may-15-2019.pdf</w:t>
        </w:r>
      </w:hyperlink>
      <w:r>
        <w:rPr>
          <w:rStyle w:val="Style12"/>
          <w:rFonts w:cs="Times New Roman" w:ascii="Times New Roman" w:hAnsi="Times New Roman"/>
          <w:color w:val="auto"/>
          <w:sz w:val="28"/>
          <w:szCs w:val="28"/>
          <w:u w:val="none"/>
          <w:lang w:val="uk-UA"/>
        </w:rPr>
        <w:t>.</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lang w:val="en-US"/>
        </w:rPr>
        <w:t xml:space="preserve">Mahmood R. What’s in a score? How different regions fare for ESG </w:t>
      </w:r>
      <w:r>
        <w:rPr>
          <w:rFonts w:cs="Times New Roman" w:ascii="Times New Roman" w:hAnsi="Times New Roman"/>
          <w:spacing w:val="-1"/>
          <w:sz w:val="28"/>
          <w:szCs w:val="28"/>
          <w:shd w:fill="FFFFFF" w:val="clear"/>
          <w:lang w:val="uk-UA"/>
        </w:rPr>
        <w:t xml:space="preserve">[Електронний ресурс] / </w:t>
      </w:r>
      <w:r>
        <w:rPr>
          <w:rFonts w:cs="Times New Roman" w:ascii="Times New Roman" w:hAnsi="Times New Roman"/>
          <w:spacing w:val="-1"/>
          <w:sz w:val="28"/>
          <w:szCs w:val="28"/>
          <w:shd w:fill="FFFFFF" w:val="clear"/>
          <w:lang w:val="en-US"/>
        </w:rPr>
        <w:t xml:space="preserve">R. </w:t>
      </w:r>
      <w:r>
        <w:rPr>
          <w:rFonts w:cs="Times New Roman" w:ascii="Times New Roman" w:hAnsi="Times New Roman"/>
          <w:sz w:val="28"/>
          <w:lang w:val="en-US"/>
        </w:rPr>
        <w:t xml:space="preserve">Mahmood // Nutmeg. </w:t>
      </w:r>
      <w:r>
        <w:rPr>
          <w:rFonts w:eastAsia="Symbol" w:cs="Symbol" w:ascii="Symbol" w:hAnsi="Symbol"/>
          <w:spacing w:val="-1"/>
          <w:sz w:val="28"/>
          <w:szCs w:val="28"/>
          <w:shd w:fill="FFFFFF" w:val="clear"/>
        </w:rPr>
        <w:t></w:t>
      </w:r>
      <w:r>
        <w:rPr>
          <w:rFonts w:cs="Times New Roman" w:ascii="Times New Roman" w:hAnsi="Times New Roman"/>
          <w:spacing w:val="-1"/>
          <w:sz w:val="28"/>
          <w:szCs w:val="28"/>
          <w:shd w:fill="FFFFFF" w:val="clear"/>
          <w:lang w:val="uk-UA"/>
        </w:rPr>
        <w:t xml:space="preserve"> 20</w:t>
      </w:r>
      <w:r>
        <w:rPr>
          <w:rFonts w:cs="Times New Roman" w:ascii="Times New Roman" w:hAnsi="Times New Roman"/>
          <w:spacing w:val="-1"/>
          <w:sz w:val="28"/>
          <w:szCs w:val="28"/>
          <w:shd w:fill="FFFFFF" w:val="clear"/>
        </w:rPr>
        <w:t>19</w:t>
      </w:r>
      <w:r>
        <w:rPr>
          <w:rFonts w:cs="Times New Roman" w:ascii="Times New Roman" w:hAnsi="Times New Roman"/>
          <w:spacing w:val="-1"/>
          <w:sz w:val="28"/>
          <w:szCs w:val="28"/>
          <w:shd w:fill="FFFFFF" w:val="clear"/>
          <w:lang w:val="uk-UA"/>
        </w:rPr>
        <w:t xml:space="preserve">. </w:t>
      </w:r>
      <w:r>
        <w:rPr>
          <w:rFonts w:eastAsia="Symbol" w:cs="Symbol" w:ascii="Symbol" w:hAnsi="Symbol"/>
          <w:spacing w:val="-1"/>
          <w:sz w:val="28"/>
          <w:szCs w:val="28"/>
          <w:shd w:fill="FFFFFF" w:val="clear"/>
          <w:lang w:val="uk-UA"/>
        </w:rPr>
        <w:t></w:t>
      </w:r>
      <w:r>
        <w:rPr>
          <w:rFonts w:cs="Times New Roman" w:ascii="Times New Roman" w:hAnsi="Times New Roman"/>
          <w:spacing w:val="-1"/>
          <w:sz w:val="28"/>
          <w:szCs w:val="28"/>
          <w:shd w:fill="FFFFFF" w:val="clear"/>
        </w:rPr>
        <w:t xml:space="preserve"> </w:t>
      </w:r>
      <w:r>
        <w:rPr>
          <w:rFonts w:cs="Times New Roman" w:ascii="Times New Roman" w:hAnsi="Times New Roman"/>
          <w:spacing w:val="-1"/>
          <w:sz w:val="28"/>
          <w:szCs w:val="28"/>
          <w:shd w:fill="FFFFFF" w:val="clear"/>
          <w:lang w:val="uk-UA"/>
        </w:rPr>
        <w:t>Режим доступу:</w:t>
      </w:r>
      <w:r>
        <w:rPr>
          <w:rFonts w:cs="Times New Roman" w:ascii="Times New Roman" w:hAnsi="Times New Roman"/>
          <w:spacing w:val="-1"/>
          <w:sz w:val="28"/>
          <w:szCs w:val="28"/>
          <w:shd w:fill="FFFFFF" w:val="clear"/>
        </w:rPr>
        <w:t xml:space="preserve"> </w:t>
      </w:r>
      <w:hyperlink r:id="rId38">
        <w:r>
          <w:rPr>
            <w:rFonts w:cs="Times New Roman" w:ascii="Times New Roman" w:hAnsi="Times New Roman"/>
            <w:sz w:val="28"/>
            <w:szCs w:val="28"/>
            <w:lang w:val="uk-UA"/>
          </w:rPr>
          <w:t>https://www.nutmeg.com/nutmegonomics/different-regions-esg/</w:t>
        </w:r>
      </w:hyperlink>
      <w:r>
        <w:rPr>
          <w:rStyle w:val="Style12"/>
          <w:rFonts w:cs="Times New Roman" w:ascii="Times New Roman" w:hAnsi="Times New Roman"/>
          <w:color w:val="auto"/>
          <w:sz w:val="28"/>
          <w:szCs w:val="28"/>
          <w:u w:val="none"/>
        </w:rPr>
        <w:t>.</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lang w:val="en-US"/>
        </w:rPr>
        <w:t xml:space="preserve">McGrath J. </w:t>
      </w:r>
      <w:r>
        <w:rPr>
          <w:rFonts w:cs="Times New Roman" w:ascii="Times New Roman" w:hAnsi="Times New Roman"/>
          <w:sz w:val="28"/>
          <w:szCs w:val="28"/>
          <w:lang w:val="uk-UA"/>
        </w:rPr>
        <w:t>Which country does ESG best?</w:t>
      </w:r>
      <w:r>
        <w:rPr>
          <w:rFonts w:cs="Times New Roman" w:ascii="Times New Roman" w:hAnsi="Times New Roman"/>
          <w:sz w:val="28"/>
          <w:lang w:val="en-US"/>
        </w:rPr>
        <w:t xml:space="preserve"> </w:t>
      </w:r>
      <w:r>
        <w:rPr>
          <w:rFonts w:cs="Times New Roman" w:ascii="Times New Roman" w:hAnsi="Times New Roman"/>
          <w:spacing w:val="-1"/>
          <w:sz w:val="28"/>
          <w:szCs w:val="28"/>
          <w:shd w:fill="FFFFFF" w:val="clear"/>
          <w:lang w:val="uk-UA"/>
        </w:rPr>
        <w:t xml:space="preserve">[Електронний ресурс] / </w:t>
      </w:r>
      <w:r>
        <w:rPr>
          <w:rFonts w:cs="Times New Roman" w:ascii="Times New Roman" w:hAnsi="Times New Roman"/>
          <w:spacing w:val="-1"/>
          <w:sz w:val="28"/>
          <w:szCs w:val="28"/>
          <w:shd w:fill="FFFFFF" w:val="clear"/>
          <w:lang w:val="en-US"/>
        </w:rPr>
        <w:t xml:space="preserve">J. </w:t>
      </w:r>
      <w:r>
        <w:rPr>
          <w:rFonts w:cs="Times New Roman" w:ascii="Times New Roman" w:hAnsi="Times New Roman"/>
          <w:sz w:val="28"/>
          <w:lang w:val="en-US"/>
        </w:rPr>
        <w:t xml:space="preserve">McGrath // ESGClarity. </w:t>
      </w:r>
      <w:r>
        <w:rPr>
          <w:rFonts w:eastAsia="Symbol" w:cs="Symbol" w:ascii="Symbol" w:hAnsi="Symbol"/>
          <w:spacing w:val="-1"/>
          <w:sz w:val="28"/>
          <w:szCs w:val="28"/>
          <w:shd w:fill="FFFFFF" w:val="clear"/>
        </w:rPr>
        <w:t></w:t>
      </w:r>
      <w:r>
        <w:rPr>
          <w:rFonts w:cs="Times New Roman" w:ascii="Times New Roman" w:hAnsi="Times New Roman"/>
          <w:spacing w:val="-1"/>
          <w:sz w:val="28"/>
          <w:szCs w:val="28"/>
          <w:shd w:fill="FFFFFF" w:val="clear"/>
          <w:lang w:val="uk-UA"/>
        </w:rPr>
        <w:t xml:space="preserve"> 20</w:t>
      </w:r>
      <w:r>
        <w:rPr>
          <w:rFonts w:cs="Times New Roman" w:ascii="Times New Roman" w:hAnsi="Times New Roman"/>
          <w:spacing w:val="-1"/>
          <w:sz w:val="28"/>
          <w:szCs w:val="28"/>
          <w:shd w:fill="FFFFFF" w:val="clear"/>
        </w:rPr>
        <w:t>19</w:t>
      </w:r>
      <w:r>
        <w:rPr>
          <w:rFonts w:cs="Times New Roman" w:ascii="Times New Roman" w:hAnsi="Times New Roman"/>
          <w:spacing w:val="-1"/>
          <w:sz w:val="28"/>
          <w:szCs w:val="28"/>
          <w:shd w:fill="FFFFFF" w:val="clear"/>
          <w:lang w:val="uk-UA"/>
        </w:rPr>
        <w:t xml:space="preserve">. </w:t>
      </w:r>
      <w:r>
        <w:rPr>
          <w:rFonts w:eastAsia="Symbol" w:cs="Symbol" w:ascii="Symbol" w:hAnsi="Symbol"/>
          <w:spacing w:val="-1"/>
          <w:sz w:val="28"/>
          <w:szCs w:val="28"/>
          <w:shd w:fill="FFFFFF" w:val="clear"/>
          <w:lang w:val="uk-UA"/>
        </w:rPr>
        <w:t></w:t>
      </w:r>
      <w:r>
        <w:rPr>
          <w:rFonts w:cs="Times New Roman" w:ascii="Times New Roman" w:hAnsi="Times New Roman"/>
          <w:spacing w:val="-1"/>
          <w:sz w:val="28"/>
          <w:szCs w:val="28"/>
          <w:shd w:fill="FFFFFF" w:val="clear"/>
        </w:rPr>
        <w:t xml:space="preserve"> </w:t>
      </w:r>
      <w:r>
        <w:rPr>
          <w:rFonts w:cs="Times New Roman" w:ascii="Times New Roman" w:hAnsi="Times New Roman"/>
          <w:spacing w:val="-1"/>
          <w:sz w:val="28"/>
          <w:szCs w:val="28"/>
          <w:shd w:fill="FFFFFF" w:val="clear"/>
          <w:lang w:val="uk-UA"/>
        </w:rPr>
        <w:t xml:space="preserve">Режим доступу: </w:t>
      </w:r>
      <w:r>
        <w:rPr>
          <w:rFonts w:cs="Times New Roman" w:ascii="Times New Roman" w:hAnsi="Times New Roman"/>
          <w:sz w:val="28"/>
          <w:szCs w:val="28"/>
          <w:lang w:val="uk-UA"/>
        </w:rPr>
        <w:t xml:space="preserve"> </w:t>
      </w:r>
      <w:r>
        <w:rPr>
          <w:rFonts w:cs="Times New Roman" w:ascii="Times New Roman" w:hAnsi="Times New Roman"/>
          <w:sz w:val="28"/>
          <w:szCs w:val="28"/>
        </w:rPr>
        <w:t xml:space="preserve"> </w:t>
      </w:r>
      <w:hyperlink r:id="rId39">
        <w:r>
          <w:rPr>
            <w:rFonts w:cs="Times New Roman" w:ascii="Times New Roman" w:hAnsi="Times New Roman"/>
            <w:sz w:val="28"/>
            <w:szCs w:val="28"/>
            <w:lang w:val="uk-UA"/>
          </w:rPr>
          <w:t>https://esgclarity.com/which-country-does-esg-best/</w:t>
        </w:r>
      </w:hyperlink>
      <w:r>
        <w:rPr>
          <w:rStyle w:val="Style12"/>
          <w:rFonts w:cs="Times New Roman" w:ascii="Times New Roman" w:hAnsi="Times New Roman"/>
          <w:color w:val="auto"/>
          <w:sz w:val="28"/>
          <w:szCs w:val="28"/>
          <w:u w:val="none"/>
        </w:rPr>
        <w:t>.</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en-US"/>
        </w:rPr>
        <w:t xml:space="preserve">Human T. Asset owners up focus on ESG amid pandemic, but regional differences to sustainability remain stark </w:t>
      </w:r>
      <w:r>
        <w:rPr>
          <w:rFonts w:cs="Times New Roman" w:ascii="Times New Roman" w:hAnsi="Times New Roman"/>
          <w:spacing w:val="-1"/>
          <w:sz w:val="28"/>
          <w:szCs w:val="28"/>
          <w:shd w:fill="FFFFFF" w:val="clear"/>
          <w:lang w:val="uk-UA"/>
        </w:rPr>
        <w:t xml:space="preserve">[Електронний ресурс] / </w:t>
      </w:r>
      <w:r>
        <w:rPr>
          <w:rFonts w:cs="Times New Roman" w:ascii="Times New Roman" w:hAnsi="Times New Roman"/>
          <w:spacing w:val="-1"/>
          <w:sz w:val="28"/>
          <w:szCs w:val="28"/>
          <w:shd w:fill="FFFFFF" w:val="clear"/>
          <w:lang w:val="en-US"/>
        </w:rPr>
        <w:t xml:space="preserve">T. Human // IR Magazine. </w:t>
      </w:r>
      <w:r>
        <w:rPr>
          <w:rFonts w:eastAsia="Symbol" w:cs="Symbol" w:ascii="Symbol" w:hAnsi="Symbol"/>
          <w:spacing w:val="-1"/>
          <w:sz w:val="28"/>
          <w:szCs w:val="28"/>
          <w:shd w:fill="FFFFFF" w:val="clear"/>
        </w:rPr>
        <w:t></w:t>
      </w:r>
      <w:r>
        <w:rPr>
          <w:rFonts w:cs="Times New Roman" w:ascii="Times New Roman" w:hAnsi="Times New Roman"/>
          <w:spacing w:val="-1"/>
          <w:sz w:val="28"/>
          <w:szCs w:val="28"/>
          <w:shd w:fill="FFFFFF" w:val="clear"/>
          <w:lang w:val="uk-UA"/>
        </w:rPr>
        <w:t xml:space="preserve"> 20</w:t>
      </w:r>
      <w:r>
        <w:rPr>
          <w:rFonts w:cs="Times New Roman" w:ascii="Times New Roman" w:hAnsi="Times New Roman"/>
          <w:spacing w:val="-1"/>
          <w:sz w:val="28"/>
          <w:szCs w:val="28"/>
          <w:shd w:fill="FFFFFF" w:val="clear"/>
        </w:rPr>
        <w:t>21</w:t>
      </w:r>
      <w:r>
        <w:rPr>
          <w:rFonts w:cs="Times New Roman" w:ascii="Times New Roman" w:hAnsi="Times New Roman"/>
          <w:spacing w:val="-1"/>
          <w:sz w:val="28"/>
          <w:szCs w:val="28"/>
          <w:shd w:fill="FFFFFF" w:val="clear"/>
          <w:lang w:val="uk-UA"/>
        </w:rPr>
        <w:t xml:space="preserve">. </w:t>
      </w:r>
      <w:r>
        <w:rPr>
          <w:rFonts w:eastAsia="Symbol" w:cs="Symbol" w:ascii="Symbol" w:hAnsi="Symbol"/>
          <w:spacing w:val="-1"/>
          <w:sz w:val="28"/>
          <w:szCs w:val="28"/>
          <w:shd w:fill="FFFFFF" w:val="clear"/>
          <w:lang w:val="uk-UA"/>
        </w:rPr>
        <w:t></w:t>
      </w:r>
      <w:r>
        <w:rPr>
          <w:rFonts w:cs="Times New Roman" w:ascii="Times New Roman" w:hAnsi="Times New Roman"/>
          <w:spacing w:val="-1"/>
          <w:sz w:val="28"/>
          <w:szCs w:val="28"/>
          <w:shd w:fill="FFFFFF" w:val="clear"/>
        </w:rPr>
        <w:t xml:space="preserve"> </w:t>
      </w:r>
      <w:r>
        <w:rPr>
          <w:rFonts w:cs="Times New Roman" w:ascii="Times New Roman" w:hAnsi="Times New Roman"/>
          <w:spacing w:val="-1"/>
          <w:sz w:val="28"/>
          <w:szCs w:val="28"/>
          <w:shd w:fill="FFFFFF" w:val="clear"/>
          <w:lang w:val="uk-UA"/>
        </w:rPr>
        <w:t xml:space="preserve">Режим доступу: </w:t>
      </w:r>
      <w:r>
        <w:rPr>
          <w:rFonts w:cs="Times New Roman" w:ascii="Times New Roman" w:hAnsi="Times New Roman"/>
          <w:sz w:val="28"/>
          <w:szCs w:val="28"/>
          <w:lang w:val="uk-UA"/>
        </w:rPr>
        <w:t xml:space="preserve"> </w:t>
      </w:r>
      <w:r>
        <w:rPr>
          <w:rFonts w:cs="Times New Roman" w:ascii="Times New Roman" w:hAnsi="Times New Roman"/>
          <w:sz w:val="28"/>
          <w:szCs w:val="28"/>
        </w:rPr>
        <w:t xml:space="preserve"> </w:t>
      </w:r>
      <w:hyperlink r:id="rId40">
        <w:r>
          <w:rPr>
            <w:rFonts w:cs="Times New Roman" w:ascii="Times New Roman" w:hAnsi="Times New Roman"/>
            <w:sz w:val="28"/>
            <w:szCs w:val="28"/>
            <w:lang w:val="uk-UA"/>
          </w:rPr>
          <w:t>https://www.irmagazine.com/buy-side/asset-owners-focus-esg-amid-pandemic-regional-differences-sustainability-remain-stark</w:t>
        </w:r>
      </w:hyperlink>
      <w:r>
        <w:rPr>
          <w:rStyle w:val="Style12"/>
          <w:rFonts w:cs="Times New Roman" w:ascii="Times New Roman" w:hAnsi="Times New Roman"/>
          <w:color w:val="auto"/>
          <w:sz w:val="28"/>
          <w:szCs w:val="28"/>
          <w:u w:val="none"/>
        </w:rPr>
        <w:t>.</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en-US"/>
        </w:rPr>
        <w:t xml:space="preserve">ESG Influences Vary by Region in International Public Finance </w:t>
      </w:r>
      <w:r>
        <w:rPr>
          <w:rFonts w:cs="Times New Roman" w:ascii="Times New Roman" w:hAnsi="Times New Roman"/>
          <w:spacing w:val="-1"/>
          <w:sz w:val="28"/>
          <w:szCs w:val="28"/>
          <w:shd w:fill="FFFFFF" w:val="clear"/>
          <w:lang w:val="uk-UA"/>
        </w:rPr>
        <w:t>[Електронний ресурс] /</w:t>
      </w:r>
      <w:r>
        <w:rPr>
          <w:rFonts w:cs="Times New Roman" w:ascii="Times New Roman" w:hAnsi="Times New Roman"/>
          <w:spacing w:val="-1"/>
          <w:sz w:val="28"/>
          <w:szCs w:val="28"/>
          <w:shd w:fill="FFFFFF" w:val="clear"/>
          <w:lang w:val="en-US"/>
        </w:rPr>
        <w:t xml:space="preserve">/ FitchRatings. </w:t>
      </w:r>
      <w:r>
        <w:rPr>
          <w:rFonts w:eastAsia="Symbol" w:cs="Symbol" w:ascii="Symbol" w:hAnsi="Symbol"/>
          <w:spacing w:val="-1"/>
          <w:sz w:val="28"/>
          <w:szCs w:val="28"/>
          <w:shd w:fill="FFFFFF" w:val="clear"/>
        </w:rPr>
        <w:t></w:t>
      </w:r>
      <w:r>
        <w:rPr>
          <w:rFonts w:cs="Times New Roman" w:ascii="Times New Roman" w:hAnsi="Times New Roman"/>
          <w:spacing w:val="-1"/>
          <w:sz w:val="28"/>
          <w:szCs w:val="28"/>
          <w:shd w:fill="FFFFFF" w:val="clear"/>
          <w:lang w:val="uk-UA"/>
        </w:rPr>
        <w:t xml:space="preserve"> 20</w:t>
      </w:r>
      <w:r>
        <w:rPr>
          <w:rFonts w:cs="Times New Roman" w:ascii="Times New Roman" w:hAnsi="Times New Roman"/>
          <w:spacing w:val="-1"/>
          <w:sz w:val="28"/>
          <w:szCs w:val="28"/>
          <w:shd w:fill="FFFFFF" w:val="clear"/>
        </w:rPr>
        <w:t>21</w:t>
      </w:r>
      <w:r>
        <w:rPr>
          <w:rFonts w:cs="Times New Roman" w:ascii="Times New Roman" w:hAnsi="Times New Roman"/>
          <w:spacing w:val="-1"/>
          <w:sz w:val="28"/>
          <w:szCs w:val="28"/>
          <w:shd w:fill="FFFFFF" w:val="clear"/>
          <w:lang w:val="uk-UA"/>
        </w:rPr>
        <w:t xml:space="preserve">. </w:t>
      </w:r>
      <w:r>
        <w:rPr>
          <w:rFonts w:eastAsia="Symbol" w:cs="Symbol" w:ascii="Symbol" w:hAnsi="Symbol"/>
          <w:spacing w:val="-1"/>
          <w:sz w:val="28"/>
          <w:szCs w:val="28"/>
          <w:shd w:fill="FFFFFF" w:val="clear"/>
          <w:lang w:val="uk-UA"/>
        </w:rPr>
        <w:t></w:t>
      </w:r>
      <w:r>
        <w:rPr>
          <w:rFonts w:cs="Times New Roman" w:ascii="Times New Roman" w:hAnsi="Times New Roman"/>
          <w:spacing w:val="-1"/>
          <w:sz w:val="28"/>
          <w:szCs w:val="28"/>
          <w:shd w:fill="FFFFFF" w:val="clear"/>
        </w:rPr>
        <w:t xml:space="preserve"> </w:t>
      </w:r>
      <w:r>
        <w:rPr>
          <w:rFonts w:cs="Times New Roman" w:ascii="Times New Roman" w:hAnsi="Times New Roman"/>
          <w:spacing w:val="-1"/>
          <w:sz w:val="28"/>
          <w:szCs w:val="28"/>
          <w:shd w:fill="FFFFFF" w:val="clear"/>
          <w:lang w:val="uk-UA"/>
        </w:rPr>
        <w:t xml:space="preserve">Режим доступу: </w:t>
      </w:r>
      <w:r>
        <w:rPr>
          <w:rFonts w:cs="Times New Roman" w:ascii="Times New Roman" w:hAnsi="Times New Roman"/>
          <w:sz w:val="28"/>
          <w:szCs w:val="28"/>
          <w:lang w:val="uk-UA"/>
        </w:rPr>
        <w:t xml:space="preserve"> </w:t>
      </w:r>
      <w:r>
        <w:rPr>
          <w:rFonts w:cs="Times New Roman" w:ascii="Times New Roman" w:hAnsi="Times New Roman"/>
          <w:sz w:val="28"/>
          <w:szCs w:val="28"/>
        </w:rPr>
        <w:t xml:space="preserve"> </w:t>
      </w:r>
      <w:hyperlink r:id="rId41">
        <w:r>
          <w:rPr>
            <w:rFonts w:cs="Times New Roman" w:ascii="Times New Roman" w:hAnsi="Times New Roman"/>
            <w:sz w:val="28"/>
            <w:szCs w:val="28"/>
            <w:lang w:val="uk-UA"/>
          </w:rPr>
          <w:t>https://www.fitchratings.com/research/international-public-finance/esg-influences-vary-by-region-in-international-public-finance-17-11-2021</w:t>
        </w:r>
      </w:hyperlink>
      <w:r>
        <w:rPr>
          <w:rStyle w:val="Style12"/>
          <w:rFonts w:cs="Times New Roman" w:ascii="Times New Roman" w:hAnsi="Times New Roman"/>
          <w:color w:val="auto"/>
          <w:sz w:val="28"/>
          <w:szCs w:val="28"/>
          <w:u w:val="none"/>
        </w:rPr>
        <w:t>.</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lang w:val="en-US"/>
        </w:rPr>
        <w:t>United Nations Sustainable Development Summit 2015</w:t>
      </w:r>
      <w:r>
        <w:rPr>
          <w:sz w:val="28"/>
          <w:lang w:val="en-US"/>
        </w:rPr>
        <w:t xml:space="preserve"> </w:t>
      </w:r>
      <w:r>
        <w:rPr>
          <w:rFonts w:cs="Times New Roman" w:ascii="Times New Roman" w:hAnsi="Times New Roman"/>
          <w:sz w:val="28"/>
          <w:szCs w:val="28"/>
          <w:lang w:val="en-US"/>
        </w:rPr>
        <w:t xml:space="preserve">Finance </w:t>
      </w:r>
      <w:r>
        <w:rPr>
          <w:rFonts w:cs="Times New Roman" w:ascii="Times New Roman" w:hAnsi="Times New Roman"/>
          <w:spacing w:val="-1"/>
          <w:sz w:val="28"/>
          <w:szCs w:val="28"/>
          <w:shd w:fill="FFFFFF" w:val="clear"/>
          <w:lang w:val="uk-UA"/>
        </w:rPr>
        <w:t>[Електронний ресурс] /</w:t>
      </w:r>
      <w:r>
        <w:rPr>
          <w:rFonts w:cs="Times New Roman" w:ascii="Times New Roman" w:hAnsi="Times New Roman"/>
          <w:spacing w:val="-1"/>
          <w:sz w:val="28"/>
          <w:szCs w:val="28"/>
          <w:shd w:fill="FFFFFF" w:val="clear"/>
          <w:lang w:val="en-US"/>
        </w:rPr>
        <w:t xml:space="preserve">/ United Nations Sustainable Development Goals Knowledge Platform. </w:t>
      </w:r>
      <w:r>
        <w:rPr>
          <w:rFonts w:eastAsia="Symbol" w:cs="Symbol" w:ascii="Symbol" w:hAnsi="Symbol"/>
          <w:spacing w:val="-1"/>
          <w:sz w:val="28"/>
          <w:szCs w:val="28"/>
          <w:shd w:fill="FFFFFF" w:val="clear"/>
          <w:lang w:val="uk-UA"/>
        </w:rPr>
        <w:t></w:t>
      </w:r>
      <w:r>
        <w:rPr>
          <w:rFonts w:cs="Times New Roman" w:ascii="Times New Roman" w:hAnsi="Times New Roman"/>
          <w:spacing w:val="-1"/>
          <w:sz w:val="28"/>
          <w:szCs w:val="28"/>
          <w:shd w:fill="FFFFFF" w:val="clear"/>
          <w:lang w:val="en-US"/>
        </w:rPr>
        <w:t xml:space="preserve"> </w:t>
      </w:r>
      <w:r>
        <w:rPr>
          <w:rFonts w:cs="Times New Roman" w:ascii="Times New Roman" w:hAnsi="Times New Roman"/>
          <w:spacing w:val="-1"/>
          <w:sz w:val="28"/>
          <w:szCs w:val="28"/>
          <w:shd w:fill="FFFFFF" w:val="clear"/>
          <w:lang w:val="uk-UA"/>
        </w:rPr>
        <w:t xml:space="preserve">Режим доступу: </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 xml:space="preserve"> </w:t>
      </w:r>
      <w:hyperlink r:id="rId42">
        <w:r>
          <w:rPr>
            <w:rFonts w:cs="Times New Roman" w:ascii="Times New Roman" w:hAnsi="Times New Roman"/>
            <w:sz w:val="28"/>
            <w:szCs w:val="28"/>
            <w:lang w:val="uk-UA"/>
          </w:rPr>
          <w:t>https://sustainabledevelopment.un.org/post2015/summit</w:t>
        </w:r>
      </w:hyperlink>
      <w:r>
        <w:rPr>
          <w:rStyle w:val="Style12"/>
          <w:rFonts w:cs="Times New Roman" w:ascii="Times New Roman" w:hAnsi="Times New Roman"/>
          <w:color w:val="auto"/>
          <w:sz w:val="28"/>
          <w:szCs w:val="28"/>
          <w:u w:val="none"/>
          <w:lang w:val="en-US"/>
        </w:rPr>
        <w:t>.</w:t>
      </w:r>
      <w:r>
        <w:rPr>
          <w:rFonts w:cs="Times New Roman" w:ascii="Times New Roman" w:hAnsi="Times New Roman"/>
          <w:sz w:val="28"/>
          <w:szCs w:val="28"/>
          <w:lang w:val="uk-UA"/>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en-US"/>
        </w:rPr>
        <w:t xml:space="preserve">Resolution adopted by the General Assembly on 25 September 2015 </w:t>
      </w:r>
      <w:r>
        <w:rPr>
          <w:rFonts w:cs="Times New Roman" w:ascii="Times New Roman" w:hAnsi="Times New Roman"/>
          <w:sz w:val="28"/>
          <w:szCs w:val="28"/>
          <w:lang w:val="uk-UA"/>
        </w:rPr>
        <w:t xml:space="preserve">[Електронний ресурс] </w:t>
      </w:r>
      <w:r>
        <w:rPr>
          <w:rFonts w:cs="Times New Roman" w:ascii="Times New Roman" w:hAnsi="Times New Roman"/>
          <w:sz w:val="28"/>
          <w:szCs w:val="28"/>
          <w:lang w:val="en-US"/>
        </w:rPr>
        <w:t xml:space="preserve">// </w:t>
      </w:r>
      <w:r>
        <w:rPr>
          <w:rFonts w:cs="Times New Roman" w:ascii="Times New Roman" w:hAnsi="Times New Roman"/>
          <w:spacing w:val="-1"/>
          <w:sz w:val="28"/>
          <w:szCs w:val="28"/>
          <w:shd w:fill="FFFFFF" w:val="clear"/>
          <w:lang w:val="en-US"/>
        </w:rPr>
        <w:t xml:space="preserve">United Nations </w:t>
      </w:r>
      <w:r>
        <w:rPr>
          <w:rFonts w:cs="Times New Roman" w:ascii="Times New Roman" w:hAnsi="Times New Roman"/>
          <w:sz w:val="28"/>
          <w:szCs w:val="28"/>
          <w:lang w:val="en-US"/>
        </w:rPr>
        <w:t xml:space="preserve">General Assembly. </w:t>
      </w:r>
      <w:r>
        <w:rPr>
          <w:rFonts w:eastAsia="Symbol" w:cs="Symbol" w:ascii="Symbol" w:hAnsi="Symbol"/>
          <w:spacing w:val="-1"/>
          <w:sz w:val="28"/>
          <w:szCs w:val="28"/>
          <w:shd w:fill="FFFFFF" w:val="clear"/>
        </w:rPr>
        <w:t></w:t>
      </w:r>
      <w:r>
        <w:rPr>
          <w:rFonts w:cs="Times New Roman" w:ascii="Times New Roman" w:hAnsi="Times New Roman"/>
          <w:spacing w:val="-1"/>
          <w:sz w:val="28"/>
          <w:szCs w:val="28"/>
          <w:shd w:fill="FFFFFF" w:val="clear"/>
          <w:lang w:val="uk-UA"/>
        </w:rPr>
        <w:t xml:space="preserve"> 20</w:t>
      </w:r>
      <w:r>
        <w:rPr>
          <w:rFonts w:cs="Times New Roman" w:ascii="Times New Roman" w:hAnsi="Times New Roman"/>
          <w:spacing w:val="-1"/>
          <w:sz w:val="28"/>
          <w:szCs w:val="28"/>
          <w:shd w:fill="FFFFFF" w:val="clear"/>
        </w:rPr>
        <w:t>15</w:t>
      </w:r>
      <w:r>
        <w:rPr>
          <w:rFonts w:cs="Times New Roman" w:ascii="Times New Roman" w:hAnsi="Times New Roman"/>
          <w:spacing w:val="-1"/>
          <w:sz w:val="28"/>
          <w:szCs w:val="28"/>
          <w:shd w:fill="FFFFFF" w:val="clear"/>
          <w:lang w:val="uk-UA"/>
        </w:rPr>
        <w:t xml:space="preserve">. </w:t>
      </w:r>
      <w:r>
        <w:rPr>
          <w:rFonts w:eastAsia="Symbol" w:cs="Symbol" w:ascii="Symbol" w:hAnsi="Symbol"/>
          <w:spacing w:val="-1"/>
          <w:sz w:val="28"/>
          <w:szCs w:val="28"/>
          <w:shd w:fill="FFFFFF" w:val="clear"/>
          <w:lang w:val="uk-UA"/>
        </w:rPr>
        <w:t></w:t>
      </w:r>
      <w:r>
        <w:rPr>
          <w:rFonts w:cs="Times New Roman" w:ascii="Times New Roman" w:hAnsi="Times New Roman"/>
          <w:spacing w:val="-1"/>
          <w:sz w:val="28"/>
          <w:szCs w:val="28"/>
          <w:shd w:fill="FFFFFF" w:val="clear"/>
        </w:rPr>
        <w:t xml:space="preserve"> </w:t>
      </w:r>
      <w:r>
        <w:rPr>
          <w:rFonts w:cs="Times New Roman" w:ascii="Times New Roman" w:hAnsi="Times New Roman"/>
          <w:spacing w:val="-1"/>
          <w:sz w:val="28"/>
          <w:szCs w:val="28"/>
          <w:shd w:fill="FFFFFF" w:val="clear"/>
          <w:lang w:val="uk-UA"/>
        </w:rPr>
        <w:t xml:space="preserve">Режим доступу: </w:t>
      </w:r>
      <w:r>
        <w:rPr>
          <w:rFonts w:cs="Times New Roman" w:ascii="Times New Roman" w:hAnsi="Times New Roman"/>
          <w:sz w:val="28"/>
          <w:szCs w:val="28"/>
          <w:lang w:val="uk-UA"/>
        </w:rPr>
        <w:t xml:space="preserve"> </w:t>
      </w:r>
      <w:r>
        <w:rPr>
          <w:rFonts w:cs="Times New Roman" w:ascii="Times New Roman" w:hAnsi="Times New Roman"/>
          <w:sz w:val="28"/>
          <w:szCs w:val="28"/>
        </w:rPr>
        <w:t xml:space="preserve"> </w:t>
      </w:r>
      <w:hyperlink r:id="rId43">
        <w:r>
          <w:rPr>
            <w:rFonts w:cs="Times New Roman" w:ascii="Times New Roman" w:hAnsi="Times New Roman"/>
            <w:sz w:val="28"/>
            <w:szCs w:val="28"/>
            <w:lang w:val="uk-UA"/>
          </w:rPr>
          <w:t>https://www.un.org/ga/search/view_doc.asp?symbol=A/RES/70/1&amp;Lang=E</w:t>
        </w:r>
      </w:hyperlink>
      <w:r>
        <w:rPr>
          <w:rStyle w:val="Style12"/>
          <w:rFonts w:cs="Times New Roman" w:ascii="Times New Roman" w:hAnsi="Times New Roman"/>
          <w:color w:val="auto"/>
          <w:sz w:val="28"/>
          <w:szCs w:val="28"/>
          <w:u w:val="none"/>
        </w:rPr>
        <w:t>.</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Офіційний сайт Центру «Розвиток КСВ» [Електронний ресурс] – Режим доступу:  </w:t>
      </w:r>
      <w:hyperlink r:id="rId44">
        <w:r>
          <w:rPr>
            <w:rFonts w:cs="Times New Roman" w:ascii="Times New Roman" w:hAnsi="Times New Roman"/>
            <w:sz w:val="28"/>
            <w:szCs w:val="28"/>
            <w:lang w:val="uk-UA"/>
          </w:rPr>
          <w:t>https://csr-ukraine.org</w:t>
        </w:r>
      </w:hyperlink>
      <w:r>
        <w:rPr>
          <w:rStyle w:val="Style12"/>
          <w:rFonts w:cs="Times New Roman" w:ascii="Times New Roman" w:hAnsi="Times New Roman"/>
          <w:color w:val="auto"/>
          <w:sz w:val="28"/>
          <w:szCs w:val="28"/>
          <w:u w:val="none"/>
        </w:rPr>
        <w:t>.</w:t>
      </w:r>
      <w:r>
        <w:rPr>
          <w:rFonts w:cs="Times New Roman" w:ascii="Times New Roman" w:hAnsi="Times New Roman"/>
          <w:sz w:val="28"/>
          <w:szCs w:val="28"/>
          <w:lang w:val="uk-UA"/>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rPr>
        <w:t>Внесок українського бізнесу в реалізацію Україною Цілей сталого розвитку 2016-2020 рр</w:t>
      </w:r>
      <w:r>
        <w:rPr>
          <w:rFonts w:cs="Times New Roman" w:ascii="Times New Roman" w:hAnsi="Times New Roman"/>
          <w:sz w:val="28"/>
          <w:szCs w:val="28"/>
          <w:lang w:val="uk-UA"/>
        </w:rPr>
        <w:t xml:space="preserve"> [Електронний ресурс] </w:t>
      </w:r>
      <w:r>
        <w:rPr>
          <w:rFonts w:cs="Times New Roman" w:ascii="Times New Roman" w:hAnsi="Times New Roman"/>
          <w:sz w:val="28"/>
          <w:szCs w:val="28"/>
        </w:rPr>
        <w:t xml:space="preserve">// </w:t>
      </w:r>
      <w:r>
        <w:rPr>
          <w:rFonts w:cs="Times New Roman" w:ascii="Times New Roman" w:hAnsi="Times New Roman"/>
          <w:sz w:val="28"/>
          <w:szCs w:val="28"/>
          <w:lang w:val="uk-UA"/>
        </w:rPr>
        <w:t>Центр «Розвиток КСВ»</w:t>
      </w:r>
      <w:r>
        <w:rPr>
          <w:rFonts w:cs="Times New Roman" w:ascii="Times New Roman" w:hAnsi="Times New Roman"/>
          <w:sz w:val="28"/>
          <w:szCs w:val="28"/>
        </w:rPr>
        <w:t xml:space="preserve">. </w:t>
      </w:r>
      <w:r>
        <w:rPr>
          <w:rFonts w:cs="Times New Roman" w:ascii="Times New Roman" w:hAnsi="Times New Roman"/>
          <w:sz w:val="28"/>
          <w:szCs w:val="28"/>
          <w:lang w:val="uk-UA"/>
        </w:rPr>
        <w:t xml:space="preserve">– </w:t>
      </w:r>
      <w:r>
        <w:rPr>
          <w:rFonts w:cs="Times New Roman" w:ascii="Times New Roman" w:hAnsi="Times New Roman"/>
          <w:sz w:val="28"/>
          <w:szCs w:val="28"/>
        </w:rPr>
        <w:t xml:space="preserve">2020. </w:t>
      </w:r>
      <w:r>
        <w:rPr>
          <w:rFonts w:eastAsia="Symbol" w:cs="Symbol" w:ascii="Symbol" w:hAnsi="Symbol"/>
          <w:sz w:val="28"/>
          <w:szCs w:val="28"/>
        </w:rPr>
        <w:t></w:t>
      </w:r>
      <w:r>
        <w:rPr>
          <w:rFonts w:cs="Times New Roman" w:ascii="Times New Roman" w:hAnsi="Times New Roman"/>
          <w:sz w:val="28"/>
          <w:szCs w:val="28"/>
        </w:rPr>
        <w:t xml:space="preserve"> </w:t>
      </w:r>
      <w:r>
        <w:rPr>
          <w:rFonts w:cs="Times New Roman" w:ascii="Times New Roman" w:hAnsi="Times New Roman"/>
          <w:sz w:val="28"/>
          <w:szCs w:val="28"/>
          <w:lang w:val="uk-UA"/>
        </w:rPr>
        <w:t>Режим доступу:</w:t>
      </w:r>
      <w:r>
        <w:rPr>
          <w:rFonts w:cs="Times New Roman" w:ascii="Times New Roman" w:hAnsi="Times New Roman"/>
          <w:sz w:val="28"/>
          <w:szCs w:val="28"/>
        </w:rPr>
        <w:t xml:space="preserve"> </w:t>
      </w:r>
      <w:r>
        <w:rPr>
          <w:rFonts w:cs="Times New Roman" w:ascii="Times New Roman" w:hAnsi="Times New Roman"/>
          <w:sz w:val="28"/>
          <w:szCs w:val="28"/>
          <w:lang w:val="uk-UA"/>
        </w:rPr>
        <w:t xml:space="preserve"> </w:t>
      </w:r>
      <w:hyperlink r:id="rId45">
        <w:r>
          <w:rPr>
            <w:rFonts w:cs="Times New Roman" w:ascii="Times New Roman" w:hAnsi="Times New Roman"/>
            <w:sz w:val="28"/>
            <w:szCs w:val="28"/>
            <w:lang w:val="uk-UA"/>
          </w:rPr>
          <w:t>https://csr-ukraine.org/wp-content/uploads/2020/12/Vpliv-biznesu-na-CSR.pdf</w:t>
        </w:r>
      </w:hyperlink>
      <w:r>
        <w:rPr>
          <w:rStyle w:val="Style12"/>
          <w:rFonts w:cs="Times New Roman" w:ascii="Times New Roman" w:hAnsi="Times New Roman"/>
          <w:color w:val="auto"/>
          <w:sz w:val="28"/>
          <w:szCs w:val="28"/>
          <w:u w:val="none"/>
        </w:rPr>
        <w:t>.</w:t>
      </w:r>
      <w:r>
        <w:rPr>
          <w:rFonts w:cs="Times New Roman" w:ascii="Times New Roman" w:hAnsi="Times New Roman"/>
          <w:sz w:val="28"/>
          <w:szCs w:val="28"/>
          <w:lang w:val="uk-UA"/>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rPr>
        <w:t xml:space="preserve">Практики </w:t>
      </w:r>
      <w:r>
        <w:rPr>
          <w:rFonts w:cs="Times New Roman" w:ascii="Times New Roman" w:hAnsi="Times New Roman"/>
          <w:sz w:val="28"/>
          <w:szCs w:val="28"/>
          <w:lang w:val="uk-UA"/>
        </w:rPr>
        <w:t>КСВ</w:t>
      </w:r>
      <w:r>
        <w:rPr>
          <w:rFonts w:cs="Times New Roman" w:ascii="Times New Roman" w:hAnsi="Times New Roman"/>
          <w:sz w:val="28"/>
          <w:szCs w:val="28"/>
        </w:rPr>
        <w:t xml:space="preserve"> в </w:t>
      </w:r>
      <w:r>
        <w:rPr>
          <w:rFonts w:cs="Times New Roman" w:ascii="Times New Roman" w:hAnsi="Times New Roman"/>
          <w:sz w:val="28"/>
          <w:szCs w:val="28"/>
          <w:lang w:val="uk-UA"/>
        </w:rPr>
        <w:t>У</w:t>
      </w:r>
      <w:r>
        <w:rPr>
          <w:rFonts w:cs="Times New Roman" w:ascii="Times New Roman" w:hAnsi="Times New Roman"/>
          <w:sz w:val="28"/>
          <w:szCs w:val="28"/>
        </w:rPr>
        <w:t>країні</w:t>
      </w:r>
      <w:r>
        <w:rPr>
          <w:rFonts w:cs="Times New Roman" w:ascii="Times New Roman" w:hAnsi="Times New Roman"/>
          <w:sz w:val="28"/>
          <w:szCs w:val="28"/>
          <w:lang w:val="uk-UA"/>
        </w:rPr>
        <w:t>.</w:t>
      </w:r>
      <w:r>
        <w:rPr>
          <w:rFonts w:cs="Times New Roman" w:ascii="Times New Roman" w:hAnsi="Times New Roman"/>
          <w:sz w:val="28"/>
          <w:szCs w:val="28"/>
        </w:rPr>
        <w:t xml:space="preserve"> X конкурс кейсів з КСВ</w:t>
      </w:r>
      <w:r>
        <w:rPr/>
        <w:t xml:space="preserve"> </w:t>
      </w:r>
      <w:r>
        <w:rPr>
          <w:rFonts w:cs="Times New Roman" w:ascii="Times New Roman" w:hAnsi="Times New Roman"/>
          <w:sz w:val="28"/>
          <w:szCs w:val="28"/>
          <w:lang w:val="uk-UA"/>
        </w:rPr>
        <w:t xml:space="preserve">[Електронний ресурс] </w:t>
      </w:r>
      <w:r>
        <w:rPr>
          <w:rFonts w:cs="Times New Roman" w:ascii="Times New Roman" w:hAnsi="Times New Roman"/>
          <w:sz w:val="28"/>
          <w:szCs w:val="28"/>
        </w:rPr>
        <w:t xml:space="preserve">// </w:t>
      </w:r>
      <w:r>
        <w:rPr>
          <w:rFonts w:cs="Times New Roman" w:ascii="Times New Roman" w:hAnsi="Times New Roman"/>
          <w:sz w:val="28"/>
          <w:szCs w:val="28"/>
          <w:lang w:val="uk-UA"/>
        </w:rPr>
        <w:t>Центр «Розвиток КСВ»</w:t>
      </w:r>
      <w:r>
        <w:rPr>
          <w:rFonts w:cs="Times New Roman" w:ascii="Times New Roman" w:hAnsi="Times New Roman"/>
          <w:sz w:val="28"/>
          <w:szCs w:val="28"/>
        </w:rPr>
        <w:t xml:space="preserve">. </w:t>
      </w:r>
      <w:r>
        <w:rPr>
          <w:rFonts w:cs="Times New Roman" w:ascii="Times New Roman" w:hAnsi="Times New Roman"/>
          <w:sz w:val="28"/>
          <w:szCs w:val="28"/>
          <w:lang w:val="uk-UA"/>
        </w:rPr>
        <w:t xml:space="preserve">– </w:t>
      </w:r>
      <w:r>
        <w:rPr>
          <w:rFonts w:cs="Times New Roman" w:ascii="Times New Roman" w:hAnsi="Times New Roman"/>
          <w:sz w:val="28"/>
          <w:szCs w:val="28"/>
        </w:rPr>
        <w:t xml:space="preserve">2019. </w:t>
      </w:r>
      <w:r>
        <w:rPr>
          <w:rFonts w:eastAsia="Symbol" w:cs="Symbol" w:ascii="Symbol" w:hAnsi="Symbol"/>
          <w:sz w:val="28"/>
          <w:szCs w:val="28"/>
        </w:rPr>
        <w:t></w:t>
      </w:r>
      <w:r>
        <w:rPr>
          <w:rFonts w:cs="Times New Roman" w:ascii="Times New Roman" w:hAnsi="Times New Roman"/>
          <w:sz w:val="28"/>
          <w:szCs w:val="28"/>
        </w:rPr>
        <w:t xml:space="preserve"> </w:t>
      </w:r>
      <w:r>
        <w:rPr>
          <w:rFonts w:cs="Times New Roman" w:ascii="Times New Roman" w:hAnsi="Times New Roman"/>
          <w:sz w:val="28"/>
          <w:szCs w:val="28"/>
          <w:lang w:val="uk-UA"/>
        </w:rPr>
        <w:t>Режим доступу:</w:t>
      </w:r>
      <w:r>
        <w:rPr>
          <w:rFonts w:cs="Times New Roman" w:ascii="Times New Roman" w:hAnsi="Times New Roman"/>
          <w:sz w:val="28"/>
          <w:szCs w:val="28"/>
        </w:rPr>
        <w:t xml:space="preserve"> </w:t>
      </w:r>
      <w:r>
        <w:rPr/>
        <w:t xml:space="preserve"> </w:t>
      </w:r>
      <w:hyperlink r:id="rId46" w:tgtFrame="blank">
        <w:r>
          <w:rPr>
            <w:rFonts w:cs="Times New Roman" w:ascii="Times New Roman" w:hAnsi="Times New Roman"/>
            <w:sz w:val="28"/>
            <w:szCs w:val="28"/>
          </w:rPr>
          <w:t>https://cutt.ly/YYZZexE</w:t>
        </w:r>
      </w:hyperlink>
      <w:r>
        <w:rPr>
          <w:rStyle w:val="Style12"/>
          <w:rFonts w:cs="Times New Roman" w:ascii="Times New Roman" w:hAnsi="Times New Roman"/>
          <w:color w:val="auto"/>
          <w:sz w:val="28"/>
          <w:szCs w:val="28"/>
          <w:u w:val="none"/>
        </w:rPr>
        <w:t>.</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pacing w:val="-1"/>
          <w:sz w:val="28"/>
          <w:szCs w:val="28"/>
          <w:shd w:fill="FFFFFF" w:val="clear"/>
          <w:lang w:val="uk-UA"/>
        </w:rPr>
        <w:t xml:space="preserve">Зінченко А.Г.,  Саприкіна М.А. Розвиток КСВ в Україні: 2010–2018 [Електронний ресурс]  / А.Г. Зінченко, М.А. Саприкіна // Юстон. </w:t>
      </w:r>
      <w:r>
        <w:rPr>
          <w:rFonts w:eastAsia="Symbol" w:cs="Symbol" w:ascii="Symbol" w:hAnsi="Symbol"/>
          <w:spacing w:val="-1"/>
          <w:shd w:fill="FFFFFF" w:val="clear"/>
          <w:lang w:val="uk-UA"/>
        </w:rPr>
        <w:t></w:t>
      </w:r>
      <w:r>
        <w:rPr>
          <w:rFonts w:cs="Times New Roman" w:ascii="Times New Roman" w:hAnsi="Times New Roman"/>
          <w:spacing w:val="-1"/>
          <w:sz w:val="28"/>
          <w:szCs w:val="28"/>
          <w:shd w:fill="FFFFFF" w:val="clear"/>
          <w:lang w:val="uk-UA"/>
        </w:rPr>
        <w:t xml:space="preserve"> 2019.</w:t>
      </w:r>
      <w:r>
        <w:rPr>
          <w:rFonts w:cs="Times New Roman" w:ascii="Times New Roman" w:hAnsi="Times New Roman"/>
          <w:spacing w:val="-1"/>
          <w:sz w:val="28"/>
          <w:szCs w:val="28"/>
          <w:shd w:fill="FFFFFF" w:val="clear"/>
        </w:rPr>
        <w:t xml:space="preserve"> </w:t>
      </w:r>
      <w:r>
        <w:rPr>
          <w:rFonts w:cs="Times New Roman" w:ascii="Times New Roman" w:hAnsi="Times New Roman"/>
          <w:spacing w:val="-1"/>
          <w:sz w:val="28"/>
          <w:szCs w:val="28"/>
          <w:shd w:fill="FFFFFF" w:val="clear"/>
          <w:lang w:val="uk-UA"/>
        </w:rPr>
        <w:t xml:space="preserve">– Режим доступу: </w:t>
      </w:r>
      <w:hyperlink r:id="rId47">
        <w:r>
          <w:rPr>
            <w:rFonts w:cs="Times New Roman" w:ascii="Times New Roman" w:hAnsi="Times New Roman"/>
            <w:spacing w:val="-1"/>
            <w:sz w:val="28"/>
            <w:szCs w:val="28"/>
            <w:shd w:fill="FFFFFF" w:val="clear"/>
            <w:lang w:val="uk-UA"/>
          </w:rPr>
          <w:t>http://csr-ua.info/csr-ukraine/wp-content/uploads/2018/10/CSR_2017_reserch-1.pdf</w:t>
        </w:r>
      </w:hyperlink>
      <w:r>
        <w:rPr>
          <w:rStyle w:val="Style12"/>
          <w:rFonts w:cs="Times New Roman" w:ascii="Times New Roman" w:hAnsi="Times New Roman"/>
          <w:color w:val="000000"/>
          <w:spacing w:val="-1"/>
          <w:sz w:val="28"/>
          <w:szCs w:val="28"/>
          <w:u w:val="none"/>
          <w:shd w:fill="FFFFFF" w:val="clear"/>
        </w:rPr>
        <w:t>.</w:t>
      </w:r>
      <w:r>
        <w:rPr>
          <w:rFonts w:cs="Times New Roman" w:ascii="Times New Roman" w:hAnsi="Times New Roman"/>
          <w:spacing w:val="-1"/>
          <w:sz w:val="28"/>
          <w:szCs w:val="28"/>
          <w:shd w:fill="FFFFFF" w:val="clear"/>
          <w:lang w:val="uk-UA"/>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Офіційний сайт </w:t>
      </w:r>
      <w:r>
        <w:rPr>
          <w:rFonts w:cs="Times New Roman" w:ascii="Times New Roman" w:hAnsi="Times New Roman"/>
          <w:sz w:val="28"/>
          <w:szCs w:val="28"/>
          <w:lang w:val="en-US"/>
        </w:rPr>
        <w:t>Kernel</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Holding</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SA</w:t>
      </w:r>
      <w:r>
        <w:rPr>
          <w:rFonts w:cs="Times New Roman" w:ascii="Times New Roman" w:hAnsi="Times New Roman"/>
          <w:sz w:val="28"/>
          <w:szCs w:val="28"/>
          <w:lang w:val="uk-UA"/>
        </w:rPr>
        <w:t xml:space="preserve"> [Електронний ресурс] – Режим доступу:</w:t>
      </w:r>
      <w:r>
        <w:rPr>
          <w:rFonts w:cs="Times New Roman" w:ascii="Times New Roman" w:hAnsi="Times New Roman"/>
          <w:sz w:val="28"/>
          <w:szCs w:val="28"/>
        </w:rPr>
        <w:t xml:space="preserve"> </w:t>
      </w:r>
      <w:hyperlink r:id="rId48">
        <w:r>
          <w:rPr>
            <w:rFonts w:cs="Times New Roman" w:ascii="Times New Roman" w:hAnsi="Times New Roman"/>
            <w:sz w:val="28"/>
            <w:szCs w:val="28"/>
            <w:lang w:val="uk-UA"/>
          </w:rPr>
          <w:t>https://www.kernel.ua/ua/about/</w:t>
        </w:r>
      </w:hyperlink>
      <w:r>
        <w:rPr>
          <w:rStyle w:val="Style12"/>
          <w:rFonts w:cs="Times New Roman" w:ascii="Times New Roman" w:hAnsi="Times New Roman"/>
          <w:color w:val="auto"/>
          <w:sz w:val="28"/>
          <w:szCs w:val="28"/>
          <w:u w:val="none"/>
        </w:rPr>
        <w:t>.</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z w:val="28"/>
          <w:szCs w:val="28"/>
          <w:lang w:val="en-US"/>
        </w:rPr>
        <w:t>Kernel</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Holding</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SA</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Business</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summary</w:t>
      </w:r>
      <w:r>
        <w:rPr>
          <w:rFonts w:cs="Times New Roman" w:ascii="Times New Roman" w:hAnsi="Times New Roman"/>
          <w:sz w:val="28"/>
          <w:szCs w:val="28"/>
          <w:lang w:val="uk-UA"/>
        </w:rPr>
        <w:t xml:space="preserve"> [Електронний ресурс] // </w:t>
      </w:r>
      <w:r>
        <w:rPr>
          <w:rFonts w:cs="Times New Roman" w:ascii="Times New Roman" w:hAnsi="Times New Roman"/>
          <w:sz w:val="28"/>
          <w:szCs w:val="28"/>
          <w:lang w:val="en-US"/>
        </w:rPr>
        <w:t>Refinitiv</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Thompson</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Reuters</w:t>
      </w:r>
      <w:r>
        <w:rPr>
          <w:rFonts w:cs="Times New Roman" w:ascii="Times New Roman" w:hAnsi="Times New Roman"/>
          <w:sz w:val="28"/>
          <w:szCs w:val="28"/>
          <w:lang w:val="uk-UA"/>
        </w:rPr>
        <w:t>.</w:t>
      </w:r>
      <w:r>
        <w:rPr>
          <w:lang w:val="uk-UA"/>
        </w:rPr>
        <w:t xml:space="preserve"> </w:t>
      </w:r>
      <w:r>
        <w:rPr>
          <w:rFonts w:cs="Times New Roman" w:ascii="Times New Roman" w:hAnsi="Times New Roman"/>
          <w:sz w:val="28"/>
          <w:szCs w:val="28"/>
          <w:lang w:val="uk-UA"/>
        </w:rPr>
        <w:t xml:space="preserve">– Режим доступу: </w:t>
      </w:r>
      <w:hyperlink r:id="rId49">
        <w:r>
          <w:rPr>
            <w:rFonts w:cs="Times New Roman" w:ascii="Times New Roman" w:hAnsi="Times New Roman"/>
            <w:sz w:val="28"/>
            <w:szCs w:val="28"/>
            <w:lang w:val="en-US"/>
          </w:rPr>
          <w:t>https</w:t>
        </w:r>
        <w:r>
          <w:rPr>
            <w:rFonts w:cs="Times New Roman" w:ascii="Times New Roman" w:hAnsi="Times New Roman"/>
            <w:sz w:val="28"/>
            <w:szCs w:val="28"/>
            <w:lang w:val="uk-UA"/>
          </w:rPr>
          <w:t>://</w:t>
        </w:r>
        <w:r>
          <w:rPr>
            <w:rFonts w:cs="Times New Roman" w:ascii="Times New Roman" w:hAnsi="Times New Roman"/>
            <w:sz w:val="28"/>
            <w:szCs w:val="28"/>
            <w:lang w:val="en-US"/>
          </w:rPr>
          <w:t>emea</w:t>
        </w:r>
        <w:r>
          <w:rPr>
            <w:rFonts w:cs="Times New Roman" w:ascii="Times New Roman" w:hAnsi="Times New Roman"/>
            <w:sz w:val="28"/>
            <w:szCs w:val="28"/>
            <w:lang w:val="uk-UA"/>
          </w:rPr>
          <w:t>1.</w:t>
        </w:r>
        <w:r>
          <w:rPr>
            <w:rFonts w:cs="Times New Roman" w:ascii="Times New Roman" w:hAnsi="Times New Roman"/>
            <w:sz w:val="28"/>
            <w:szCs w:val="28"/>
            <w:lang w:val="en-US"/>
          </w:rPr>
          <w:t>apps</w:t>
        </w:r>
        <w:r>
          <w:rPr>
            <w:rFonts w:cs="Times New Roman" w:ascii="Times New Roman" w:hAnsi="Times New Roman"/>
            <w:sz w:val="28"/>
            <w:szCs w:val="28"/>
            <w:lang w:val="uk-UA"/>
          </w:rPr>
          <w:t>.</w:t>
        </w:r>
        <w:r>
          <w:rPr>
            <w:rFonts w:cs="Times New Roman" w:ascii="Times New Roman" w:hAnsi="Times New Roman"/>
            <w:sz w:val="28"/>
            <w:szCs w:val="28"/>
            <w:lang w:val="en-US"/>
          </w:rPr>
          <w:t>cp</w:t>
        </w:r>
        <w:r>
          <w:rPr>
            <w:rFonts w:cs="Times New Roman" w:ascii="Times New Roman" w:hAnsi="Times New Roman"/>
            <w:sz w:val="28"/>
            <w:szCs w:val="28"/>
            <w:lang w:val="uk-UA"/>
          </w:rPr>
          <w:t>.</w:t>
        </w:r>
        <w:r>
          <w:rPr>
            <w:rFonts w:cs="Times New Roman" w:ascii="Times New Roman" w:hAnsi="Times New Roman"/>
            <w:sz w:val="28"/>
            <w:szCs w:val="28"/>
            <w:lang w:val="en-US"/>
          </w:rPr>
          <w:t>thomsonreuters</w:t>
        </w:r>
        <w:r>
          <w:rPr>
            <w:rFonts w:cs="Times New Roman" w:ascii="Times New Roman" w:hAnsi="Times New Roman"/>
            <w:sz w:val="28"/>
            <w:szCs w:val="28"/>
            <w:lang w:val="uk-UA"/>
          </w:rPr>
          <w:t>.</w:t>
        </w:r>
        <w:r>
          <w:rPr>
            <w:rFonts w:cs="Times New Roman" w:ascii="Times New Roman" w:hAnsi="Times New Roman"/>
            <w:sz w:val="28"/>
            <w:szCs w:val="28"/>
            <w:lang w:val="en-US"/>
          </w:rPr>
          <w:t>com</w:t>
        </w:r>
        <w:r>
          <w:rPr>
            <w:rFonts w:cs="Times New Roman" w:ascii="Times New Roman" w:hAnsi="Times New Roman"/>
            <w:sz w:val="28"/>
            <w:szCs w:val="28"/>
            <w:lang w:val="uk-UA"/>
          </w:rPr>
          <w:t>/</w:t>
        </w:r>
        <w:r>
          <w:rPr>
            <w:rFonts w:cs="Times New Roman" w:ascii="Times New Roman" w:hAnsi="Times New Roman"/>
            <w:sz w:val="28"/>
            <w:szCs w:val="28"/>
            <w:lang w:val="en-US"/>
          </w:rPr>
          <w:t>web</w:t>
        </w:r>
        <w:r>
          <w:rPr>
            <w:rFonts w:cs="Times New Roman" w:ascii="Times New Roman" w:hAnsi="Times New Roman"/>
            <w:sz w:val="28"/>
            <w:szCs w:val="28"/>
            <w:lang w:val="uk-UA"/>
          </w:rPr>
          <w:t>/</w:t>
        </w:r>
        <w:r>
          <w:rPr>
            <w:rFonts w:cs="Times New Roman" w:ascii="Times New Roman" w:hAnsi="Times New Roman"/>
            <w:sz w:val="28"/>
            <w:szCs w:val="28"/>
            <w:lang w:val="en-US"/>
          </w:rPr>
          <w:t>Apps</w:t>
        </w:r>
        <w:r>
          <w:rPr>
            <w:rFonts w:cs="Times New Roman" w:ascii="Times New Roman" w:hAnsi="Times New Roman"/>
            <w:sz w:val="28"/>
            <w:szCs w:val="28"/>
            <w:lang w:val="uk-UA"/>
          </w:rPr>
          <w:t>/</w:t>
        </w:r>
        <w:r>
          <w:rPr>
            <w:rFonts w:cs="Times New Roman" w:ascii="Times New Roman" w:hAnsi="Times New Roman"/>
            <w:sz w:val="28"/>
            <w:szCs w:val="28"/>
            <w:lang w:val="en-US"/>
          </w:rPr>
          <w:t>Corp</w:t>
        </w:r>
        <w:r>
          <w:rPr>
            <w:rFonts w:cs="Times New Roman" w:ascii="Times New Roman" w:hAnsi="Times New Roman"/>
            <w:sz w:val="28"/>
            <w:szCs w:val="28"/>
            <w:lang w:val="uk-UA"/>
          </w:rPr>
          <w:t>?</w:t>
        </w:r>
        <w:r>
          <w:rPr>
            <w:rFonts w:cs="Times New Roman" w:ascii="Times New Roman" w:hAnsi="Times New Roman"/>
            <w:sz w:val="28"/>
            <w:szCs w:val="28"/>
            <w:lang w:val="en-US"/>
          </w:rPr>
          <w:t>s</w:t>
        </w:r>
        <w:r>
          <w:rPr>
            <w:rFonts w:cs="Times New Roman" w:ascii="Times New Roman" w:hAnsi="Times New Roman"/>
            <w:sz w:val="28"/>
            <w:szCs w:val="28"/>
            <w:lang w:val="uk-UA"/>
          </w:rPr>
          <w:t>=</w:t>
        </w:r>
        <w:r>
          <w:rPr>
            <w:rFonts w:cs="Times New Roman" w:ascii="Times New Roman" w:hAnsi="Times New Roman"/>
            <w:sz w:val="28"/>
            <w:szCs w:val="28"/>
            <w:lang w:val="en-US"/>
          </w:rPr>
          <w:t>KER</w:t>
        </w:r>
        <w:r>
          <w:rPr>
            <w:rFonts w:cs="Times New Roman" w:ascii="Times New Roman" w:hAnsi="Times New Roman"/>
            <w:sz w:val="28"/>
            <w:szCs w:val="28"/>
            <w:lang w:val="uk-UA"/>
          </w:rPr>
          <w:t>.</w:t>
        </w:r>
        <w:r>
          <w:rPr>
            <w:rFonts w:cs="Times New Roman" w:ascii="Times New Roman" w:hAnsi="Times New Roman"/>
            <w:sz w:val="28"/>
            <w:szCs w:val="28"/>
            <w:lang w:val="en-US"/>
          </w:rPr>
          <w:t>WA</w:t>
        </w:r>
        <w:r>
          <w:rPr>
            <w:rFonts w:cs="Times New Roman" w:ascii="Times New Roman" w:hAnsi="Times New Roman"/>
            <w:sz w:val="28"/>
            <w:szCs w:val="28"/>
            <w:lang w:val="uk-UA"/>
          </w:rPr>
          <w:t>&amp;</w:t>
        </w:r>
        <w:r>
          <w:rPr>
            <w:rFonts w:cs="Times New Roman" w:ascii="Times New Roman" w:hAnsi="Times New Roman"/>
            <w:sz w:val="28"/>
            <w:szCs w:val="28"/>
            <w:lang w:val="en-US"/>
          </w:rPr>
          <w:t>st</w:t>
        </w:r>
        <w:r>
          <w:rPr>
            <w:rFonts w:cs="Times New Roman" w:ascii="Times New Roman" w:hAnsi="Times New Roman"/>
            <w:sz w:val="28"/>
            <w:szCs w:val="28"/>
            <w:lang w:val="uk-UA"/>
          </w:rPr>
          <w:t>=</w:t>
        </w:r>
        <w:r>
          <w:rPr>
            <w:rFonts w:cs="Times New Roman" w:ascii="Times New Roman" w:hAnsi="Times New Roman"/>
            <w:sz w:val="28"/>
            <w:szCs w:val="28"/>
            <w:lang w:val="en-US"/>
          </w:rPr>
          <w:t>RIC</w:t>
        </w:r>
        <w:r>
          <w:rPr>
            <w:rFonts w:cs="Times New Roman" w:ascii="Times New Roman" w:hAnsi="Times New Roman"/>
            <w:sz w:val="28"/>
            <w:szCs w:val="28"/>
            <w:lang w:val="uk-UA"/>
          </w:rPr>
          <w:t>&amp;</w:t>
        </w:r>
        <w:r>
          <w:rPr>
            <w:rFonts w:cs="Times New Roman" w:ascii="Times New Roman" w:hAnsi="Times New Roman"/>
            <w:sz w:val="28"/>
            <w:szCs w:val="28"/>
            <w:lang w:val="en-US"/>
          </w:rPr>
          <w:t>app</w:t>
        </w:r>
        <w:r>
          <w:rPr>
            <w:rFonts w:cs="Times New Roman" w:ascii="Times New Roman" w:hAnsi="Times New Roman"/>
            <w:sz w:val="28"/>
            <w:szCs w:val="28"/>
            <w:lang w:val="uk-UA"/>
          </w:rPr>
          <w:t>=</w:t>
        </w:r>
        <w:r>
          <w:rPr>
            <w:rFonts w:cs="Times New Roman" w:ascii="Times New Roman" w:hAnsi="Times New Roman"/>
            <w:sz w:val="28"/>
            <w:szCs w:val="28"/>
            <w:lang w:val="en-US"/>
          </w:rPr>
          <w:t>true</w:t>
        </w:r>
      </w:hyperlink>
      <w:r>
        <w:rPr>
          <w:rStyle w:val="Style12"/>
          <w:rFonts w:cs="Times New Roman" w:ascii="Times New Roman" w:hAnsi="Times New Roman"/>
          <w:color w:val="auto"/>
          <w:sz w:val="28"/>
          <w:szCs w:val="28"/>
          <w:u w:val="none"/>
          <w:lang w:val="uk-UA"/>
        </w:rPr>
        <w:t>.</w:t>
      </w:r>
      <w:r>
        <w:rPr>
          <w:rFonts w:cs="Times New Roman" w:ascii="Times New Roman" w:hAnsi="Times New Roman"/>
          <w:sz w:val="28"/>
          <w:szCs w:val="28"/>
          <w:lang w:val="uk-UA"/>
        </w:rPr>
        <w:t xml:space="preserve"> </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color w:val="000000" w:themeColor="text1"/>
          <w:sz w:val="28"/>
          <w:szCs w:val="28"/>
          <w:lang w:val="uk-UA"/>
        </w:rPr>
        <w:t xml:space="preserve">Шишкіна В.І., Родіонова Т.А. </w:t>
      </w:r>
      <w:r>
        <w:rPr>
          <w:rFonts w:cs="Times New Roman" w:ascii="Times New Roman" w:hAnsi="Times New Roman"/>
          <w:sz w:val="28"/>
          <w:szCs w:val="28"/>
        </w:rPr>
        <w:t>Non</w:t>
      </w:r>
      <w:r>
        <w:rPr>
          <w:rFonts w:cs="Times New Roman" w:ascii="Times New Roman" w:hAnsi="Times New Roman"/>
          <w:sz w:val="28"/>
          <w:szCs w:val="28"/>
          <w:lang w:val="uk-UA"/>
        </w:rPr>
        <w:t>-</w:t>
      </w:r>
      <w:r>
        <w:rPr>
          <w:rFonts w:cs="Times New Roman" w:ascii="Times New Roman" w:hAnsi="Times New Roman"/>
          <w:sz w:val="28"/>
          <w:szCs w:val="28"/>
        </w:rPr>
        <w:t>Financial</w:t>
      </w:r>
      <w:r>
        <w:rPr>
          <w:rFonts w:cs="Times New Roman" w:ascii="Times New Roman" w:hAnsi="Times New Roman"/>
          <w:sz w:val="28"/>
          <w:szCs w:val="28"/>
          <w:lang w:val="uk-UA"/>
        </w:rPr>
        <w:t xml:space="preserve"> </w:t>
      </w:r>
      <w:r>
        <w:rPr>
          <w:rFonts w:cs="Times New Roman" w:ascii="Times New Roman" w:hAnsi="Times New Roman"/>
          <w:sz w:val="28"/>
          <w:szCs w:val="28"/>
        </w:rPr>
        <w:t>CSR</w:t>
      </w:r>
      <w:r>
        <w:rPr>
          <w:rFonts w:cs="Times New Roman" w:ascii="Times New Roman" w:hAnsi="Times New Roman"/>
          <w:sz w:val="28"/>
          <w:szCs w:val="28"/>
          <w:lang w:val="uk-UA"/>
        </w:rPr>
        <w:t xml:space="preserve"> </w:t>
      </w:r>
      <w:r>
        <w:rPr>
          <w:rFonts w:cs="Times New Roman" w:ascii="Times New Roman" w:hAnsi="Times New Roman"/>
          <w:sz w:val="28"/>
          <w:szCs w:val="28"/>
        </w:rPr>
        <w:t>Reports</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o</w:t>
      </w:r>
      <w:r>
        <w:rPr>
          <w:rFonts w:cs="Times New Roman" w:ascii="Times New Roman" w:hAnsi="Times New Roman"/>
          <w:sz w:val="28"/>
          <w:szCs w:val="28"/>
        </w:rPr>
        <w:t>n</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t</w:t>
      </w:r>
      <w:r>
        <w:rPr>
          <w:rFonts w:cs="Times New Roman" w:ascii="Times New Roman" w:hAnsi="Times New Roman"/>
          <w:sz w:val="28"/>
          <w:szCs w:val="28"/>
        </w:rPr>
        <w:t>he</w:t>
      </w:r>
      <w:r>
        <w:rPr>
          <w:rFonts w:cs="Times New Roman" w:ascii="Times New Roman" w:hAnsi="Times New Roman"/>
          <w:sz w:val="28"/>
          <w:szCs w:val="28"/>
          <w:lang w:val="uk-UA"/>
        </w:rPr>
        <w:t xml:space="preserve"> </w:t>
      </w:r>
      <w:r>
        <w:rPr>
          <w:rFonts w:cs="Times New Roman" w:ascii="Times New Roman" w:hAnsi="Times New Roman"/>
          <w:sz w:val="28"/>
          <w:szCs w:val="28"/>
        </w:rPr>
        <w:t>Example</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o</w:t>
      </w:r>
      <w:r>
        <w:rPr>
          <w:rFonts w:cs="Times New Roman" w:ascii="Times New Roman" w:hAnsi="Times New Roman"/>
          <w:sz w:val="28"/>
          <w:szCs w:val="28"/>
        </w:rPr>
        <w:t>f</w:t>
      </w:r>
      <w:r>
        <w:rPr>
          <w:rFonts w:cs="Times New Roman" w:ascii="Times New Roman" w:hAnsi="Times New Roman"/>
          <w:sz w:val="28"/>
          <w:szCs w:val="28"/>
          <w:lang w:val="uk-UA"/>
        </w:rPr>
        <w:t xml:space="preserve"> </w:t>
      </w:r>
      <w:r>
        <w:rPr>
          <w:rFonts w:cs="Times New Roman" w:ascii="Times New Roman" w:hAnsi="Times New Roman"/>
          <w:sz w:val="28"/>
          <w:szCs w:val="28"/>
        </w:rPr>
        <w:t>PJSC</w:t>
      </w:r>
      <w:r>
        <w:rPr>
          <w:rFonts w:cs="Times New Roman" w:ascii="Times New Roman" w:hAnsi="Times New Roman"/>
          <w:sz w:val="28"/>
          <w:szCs w:val="28"/>
          <w:lang w:val="uk-UA"/>
        </w:rPr>
        <w:t xml:space="preserve"> «</w:t>
      </w:r>
      <w:r>
        <w:rPr>
          <w:rFonts w:cs="Times New Roman" w:ascii="Times New Roman" w:hAnsi="Times New Roman"/>
          <w:sz w:val="28"/>
          <w:szCs w:val="28"/>
        </w:rPr>
        <w:t>MTB</w:t>
      </w:r>
      <w:r>
        <w:rPr>
          <w:rFonts w:cs="Times New Roman" w:ascii="Times New Roman" w:hAnsi="Times New Roman"/>
          <w:sz w:val="28"/>
          <w:szCs w:val="28"/>
          <w:lang w:val="uk-UA"/>
        </w:rPr>
        <w:t xml:space="preserve"> </w:t>
      </w:r>
      <w:r>
        <w:rPr>
          <w:rFonts w:cs="Times New Roman" w:ascii="Times New Roman" w:hAnsi="Times New Roman"/>
          <w:sz w:val="28"/>
          <w:szCs w:val="28"/>
        </w:rPr>
        <w:t>Bank</w:t>
      </w:r>
      <w:r>
        <w:rPr>
          <w:rFonts w:cs="Times New Roman" w:ascii="Times New Roman" w:hAnsi="Times New Roman"/>
          <w:sz w:val="28"/>
          <w:szCs w:val="28"/>
          <w:lang w:val="uk-UA"/>
        </w:rPr>
        <w:t xml:space="preserve">» / В.І. </w:t>
      </w:r>
      <w:r>
        <w:rPr>
          <w:rFonts w:cs="Times New Roman" w:ascii="Times New Roman" w:hAnsi="Times New Roman"/>
          <w:color w:val="000000" w:themeColor="text1"/>
          <w:sz w:val="28"/>
          <w:szCs w:val="28"/>
          <w:lang w:val="uk-UA"/>
        </w:rPr>
        <w:t>Шишкіна, Т.А. Родіонова // Соціально-компетентне управління корпораціями в умовах поведінкової</w:t>
      </w:r>
      <w:r>
        <w:rPr>
          <w:rFonts w:cs="Times New Roman" w:ascii="Times New Roman" w:hAnsi="Times New Roman"/>
          <w:sz w:val="28"/>
          <w:szCs w:val="28"/>
          <w:lang w:val="uk-UA"/>
        </w:rPr>
        <w:t xml:space="preserve"> </w:t>
      </w:r>
      <w:r>
        <w:rPr>
          <w:rFonts w:cs="Times New Roman" w:ascii="Times New Roman" w:hAnsi="Times New Roman"/>
          <w:color w:val="000000" w:themeColor="text1"/>
          <w:sz w:val="28"/>
          <w:szCs w:val="28"/>
          <w:lang w:val="uk-UA"/>
        </w:rPr>
        <w:t>економіки: [матеріали міжнар. наук.-практ. конф. (18 лютого 2021 р.)] / відп.</w:t>
      </w:r>
      <w:r>
        <w:rPr>
          <w:rFonts w:cs="Times New Roman" w:ascii="Times New Roman" w:hAnsi="Times New Roman"/>
          <w:sz w:val="28"/>
          <w:szCs w:val="28"/>
          <w:lang w:val="uk-UA"/>
        </w:rPr>
        <w:t xml:space="preserve"> </w:t>
      </w:r>
      <w:r>
        <w:rPr>
          <w:rFonts w:cs="Times New Roman" w:ascii="Times New Roman" w:hAnsi="Times New Roman"/>
          <w:color w:val="000000" w:themeColor="text1"/>
          <w:sz w:val="28"/>
          <w:szCs w:val="28"/>
          <w:lang w:val="uk-UA"/>
        </w:rPr>
        <w:t>ред. О.М. Павлова, К. В. Павлов, Л. В. Шостак, А. М. Лялюк – Луцьк, 2021.</w:t>
      </w:r>
    </w:p>
    <w:p>
      <w:pPr>
        <w:pStyle w:val="Normal"/>
        <w:numPr>
          <w:ilvl w:val="0"/>
          <w:numId w:val="1"/>
        </w:numPr>
        <w:spacing w:lineRule="auto" w:line="360" w:before="0" w:after="0"/>
        <w:ind w:left="0" w:hanging="0"/>
        <w:jc w:val="both"/>
        <w:rPr>
          <w:rFonts w:ascii="Times New Roman" w:hAnsi="Times New Roman" w:cs="Times New Roman"/>
          <w:sz w:val="28"/>
          <w:szCs w:val="28"/>
          <w:lang w:val="uk-UA"/>
        </w:rPr>
      </w:pPr>
      <w:r>
        <w:rPr>
          <w:rFonts w:cs="Times New Roman" w:ascii="Times New Roman" w:hAnsi="Times New Roman"/>
          <w:spacing w:val="-1"/>
          <w:sz w:val="28"/>
          <w:szCs w:val="28"/>
          <w:shd w:fill="FFFFFF" w:val="clear"/>
          <w:lang w:val="uk-UA"/>
        </w:rPr>
        <w:t xml:space="preserve">Концепція реалізації державної політики у сфері сприяння розвитку соціально відповідального бізнесу в Україні на період до 2030 року від 24 січня 2020 р. № 66-р. [Електронний ресурс] – Режим доступу: </w:t>
      </w:r>
      <w:hyperlink r:id="rId50">
        <w:r>
          <w:rPr>
            <w:rFonts w:cs="Times New Roman" w:ascii="Times New Roman" w:hAnsi="Times New Roman"/>
            <w:spacing w:val="-1"/>
            <w:sz w:val="28"/>
            <w:szCs w:val="28"/>
            <w:shd w:fill="FFFFFF" w:val="clear"/>
            <w:lang w:val="uk-UA"/>
          </w:rPr>
          <w:t>https://zakon.rada.gov.ua/laws/show/66-2020-р</w:t>
        </w:r>
      </w:hyperlink>
      <w:r>
        <w:rPr>
          <w:rStyle w:val="Style12"/>
          <w:rFonts w:cs="Times New Roman" w:ascii="Times New Roman" w:hAnsi="Times New Roman"/>
          <w:color w:val="000000"/>
          <w:spacing w:val="-1"/>
          <w:sz w:val="28"/>
          <w:szCs w:val="28"/>
          <w:u w:val="none"/>
          <w:shd w:fill="FFFFFF" w:val="clear"/>
        </w:rPr>
        <w:t>.</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center"/>
        <w:rPr>
          <w:rFonts w:ascii="Times New Roman" w:hAnsi="Times New Roman" w:cs="Times New Roman"/>
          <w:sz w:val="28"/>
          <w:szCs w:val="28"/>
          <w:lang w:val="uk-UA"/>
        </w:rPr>
      </w:pPr>
      <w:r>
        <w:rPr>
          <w:rFonts w:cs="Times New Roman" w:ascii="Times New Roman" w:hAnsi="Times New Roman"/>
          <w:sz w:val="28"/>
          <w:szCs w:val="28"/>
          <w:lang w:val="uk-UA"/>
        </w:rPr>
        <w:t>ДОДАТКИ</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jc w:val="both"/>
        <w:rPr>
          <w:rFonts w:ascii="Times New Roman" w:hAnsi="Times New Roman" w:cs="Times New Roman"/>
          <w:sz w:val="16"/>
          <w:szCs w:val="16"/>
          <w:lang w:val="uk-UA"/>
        </w:rPr>
      </w:pPr>
      <w:r>
        <w:rPr>
          <w:rFonts w:cs="Times New Roman" w:ascii="Times New Roman" w:hAnsi="Times New Roman"/>
          <w:sz w:val="16"/>
          <w:szCs w:val="16"/>
          <w:lang w:val="uk-UA"/>
        </w:rPr>
      </w:r>
    </w:p>
    <w:p>
      <w:pPr>
        <w:pStyle w:val="Normal"/>
        <w:jc w:val="right"/>
        <w:rPr>
          <w:rFonts w:ascii="Times New Roman" w:hAnsi="Times New Roman" w:cs="Times New Roman"/>
          <w:sz w:val="16"/>
          <w:szCs w:val="16"/>
          <w:lang w:val="uk-UA"/>
        </w:rPr>
      </w:pPr>
      <w:r>
        <w:rPr>
          <w:rFonts w:cs="Times New Roman" w:ascii="Times New Roman" w:hAnsi="Times New Roman"/>
          <w:sz w:val="16"/>
          <w:szCs w:val="16"/>
          <w:lang w:val="uk-UA"/>
        </w:rPr>
      </w:r>
    </w:p>
    <w:p>
      <w:pPr>
        <w:pStyle w:val="Normal"/>
        <w:rPr>
          <w:rFonts w:ascii="Times New Roman" w:hAnsi="Times New Roman" w:cs="Times New Roman"/>
          <w:sz w:val="16"/>
          <w:szCs w:val="16"/>
          <w:lang w:val="uk-UA"/>
        </w:rPr>
      </w:pPr>
      <w:r>
        <w:rPr>
          <w:rFonts w:cs="Times New Roman" w:ascii="Times New Roman" w:hAnsi="Times New Roman"/>
          <w:sz w:val="16"/>
          <w:szCs w:val="16"/>
          <w:lang w:val="uk-UA"/>
        </w:rPr>
      </w:r>
      <w:r>
        <w:br w:type="page"/>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ДОДАТОК А</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 xml:space="preserve">Вибірка даних для провідних компаній Азії </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tbl>
      <w:tblPr>
        <w:tblStyle w:val="a8"/>
        <w:tblW w:w="9644" w:type="dxa"/>
        <w:jc w:val="center"/>
        <w:tblInd w:w="0" w:type="dxa"/>
        <w:tblLayout w:type="fixed"/>
        <w:tblCellMar>
          <w:top w:w="0" w:type="dxa"/>
          <w:left w:w="108" w:type="dxa"/>
          <w:bottom w:w="0" w:type="dxa"/>
          <w:right w:w="108" w:type="dxa"/>
        </w:tblCellMar>
        <w:tblLook w:firstRow="1" w:noVBand="1" w:lastRow="0" w:firstColumn="1" w:lastColumn="0" w:noHBand="0" w:val="04a0"/>
      </w:tblPr>
      <w:tblGrid>
        <w:gridCol w:w="567"/>
        <w:gridCol w:w="1247"/>
        <w:gridCol w:w="584"/>
        <w:gridCol w:w="1519"/>
        <w:gridCol w:w="906"/>
        <w:gridCol w:w="1474"/>
        <w:gridCol w:w="625"/>
        <w:gridCol w:w="624"/>
        <w:gridCol w:w="624"/>
        <w:gridCol w:w="624"/>
        <w:gridCol w:w="848"/>
      </w:tblGrid>
      <w:tr>
        <w:trPr>
          <w:trHeight w:val="567" w:hRule="atLeast"/>
          <w:cantSplit w:val="true"/>
        </w:trPr>
        <w:tc>
          <w:tcPr>
            <w:tcW w:w="567"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Інду-стрія</w:t>
            </w:r>
          </w:p>
        </w:tc>
        <w:tc>
          <w:tcPr>
            <w:tcW w:w="1247"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Компанія</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Рік</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Ринкова капіталізація, дол. США</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Рентабель-ність активів, %</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Співвідношення позикового капіталу до власного</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ESG</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S</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G</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Прибуток на акцію, дол. США</w:t>
            </w:r>
          </w:p>
        </w:tc>
      </w:tr>
      <w:tr>
        <w:trPr>
          <w:trHeight w:val="20" w:hRule="atLeast"/>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Енергетика</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Turkiye Petrol Rafinerileri AS</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3 709 196 096,77</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6,86</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147,25</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59,81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56,04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81,20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27,19</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2,03</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6 372 884 514,34</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12,90</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142,35</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63,95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54,22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84,85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40,97</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4,02</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4 941 245 067,16</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9,53</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178,49</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57,10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48,95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70,49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45,15</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2,80</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5 338 548 825,64</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-0,65</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143,34</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61,38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45,19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69,95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69,82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0,35</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3 639 030 355,22</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-6,51</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247,65</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70,07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58,10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78,99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71,72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-1,34</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China Petroleum &amp; Chemical Corp</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92 105 106 647,35</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23,86</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41,68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31,19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38,61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62,57</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0,06</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108 277 637 328,65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21,89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35,35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61,59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0,06</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87 944 214 969,51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18,90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45,44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41,72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60,23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0,08</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85 118 064 081,37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39,74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69,68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74,50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0,07</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70 438 869 781,38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35,03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61,93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72,66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71,76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0,04</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Inner Mongolia Yitai Coal Co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2 978 272 130,15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119,33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43,19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19,07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58,95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0,09</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4 599 393 376,70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100,88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65,19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73,05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79,47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0,23</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3 693 178 329,06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99,64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55,70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50,22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0,18</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2 588 460 007,70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62,18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45,50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75,81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0,17</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1 864 242 694,94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83,37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76,16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95,03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-0,03</w:t>
            </w:r>
          </w:p>
        </w:tc>
      </w:tr>
      <w:tr>
        <w:trPr>
          <w:trHeight w:val="20" w:hRule="atLeast"/>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Базові матеріали</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China Petrochemical Development Corp</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695 014 161,70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22,11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36,71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30,56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55,89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-0,02</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1 282 483 999,54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59,85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0,08</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949 415 202,05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41,25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39,34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49,63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0,05</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963 994 568,90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24,88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49,54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48,16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52,39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47,16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0,02</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1 414 627 218,47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31,70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84,51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55,63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0,01</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Asian Paints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12 557 396 472,53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25,53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39,85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47,08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51,27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0,31</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17 409 221 991,46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23,42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57,77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0,32</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18 933 676 330,64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22,03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13,42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46,27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48,39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73,55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0,33</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23 996 077 018,37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22,41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10,62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51,31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32,16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58,08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73,66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0,35</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36 306 684 773,51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23,57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56,13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36,61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59,34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85,17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0,45</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UPL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4 827 114 973,25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10,29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85,61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34,17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28,16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30,73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50,60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0,35</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6 070 506 934,16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10,62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72,25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65,60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39,40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0,41</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5 552 174 709,93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160,38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57,30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66,44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42,28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66,62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0,28</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6 259 068 942,28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130,06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66,25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38,64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53,89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0,31</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4 878 575 260,02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99,29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55,18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60,52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0,50</w:t>
            </w:r>
          </w:p>
        </w:tc>
      </w:tr>
      <w:tr>
        <w:trPr>
          <w:trHeight w:val="20" w:hRule="atLeast"/>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Промисловість</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Cathay Pacific Airways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5 174 708 685,34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126,37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50,34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15,23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-0,02</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6 102 730 037,46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127,94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42,61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46,38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16,23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-0,04</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5 595 738 367,35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115,57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47,34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60,22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59,80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14,83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0,07</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5 817 443 511,92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154,93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49,08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60,31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65,15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13,10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0,05</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5 953 681 546,83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-10,04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127,12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55,12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70,34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23,93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-0,55</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Johnson Electric Holdings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2 323 456 545,89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18,96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60,33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55,51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0,27</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3 684 069 428,07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20,80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57,17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0,30</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1 791 018 310,13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26,80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62,24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57,85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57,61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0,32</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2 045 469 090,89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-12,19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25,01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73,04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71,07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56,28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-0,56</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2 235 573 107,54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20,57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80,96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76,16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68,40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0,24</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Daifuku Co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2 636 775 237,11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29,02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62,71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43,16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59,68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1,24</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6 899 670 478,21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12,14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20,54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55,25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2,22</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5 764 398 571,92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14,13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18,51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34,64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60,06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2,84</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7 745 940 775,49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15,70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65,33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67,10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2,07</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15 659 053 819,13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10,54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15,11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69,12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64,52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49,06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2,32</w:t>
            </w:r>
          </w:p>
        </w:tc>
      </w:tr>
      <w:tr>
        <w:trPr>
          <w:trHeight w:val="20" w:hRule="atLeast"/>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Споживчі товари вибіркового попиту</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Geely Automobile Holdings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8 488 671 027,12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11,31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48,14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53,16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70,01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0,08</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31 116 522 544,86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16,69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49,28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60,06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39,18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51,42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0,18</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15 826 630 026,43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16,45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52,27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72,06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0,20</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17 933 895 059,00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49,17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65,77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0,13</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33 556 570 735,14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69,93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77,72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55,51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0,09</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Melco International Development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2 068 505 459,50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16,53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57,31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49,08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17,09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55,40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0,87</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4 462 361 784,48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80,25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45,24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28,75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56,00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0,04</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3 096 884 096,00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100,87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32,31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93,19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0,04</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4 257 052 879,91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107,12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73,25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90,33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0,06</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2 948 507 852,56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-12,60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175,94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72,93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71,22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87,93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-0,54</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Citizen Watch Co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1 916 037 584,42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21,97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35,27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30,75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0,47</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2 351 403 213,30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19,21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54,37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54,74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0,57</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1 574 748 453,46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19,62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55,66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32,55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0,38</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1 723 950 247,78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24,53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49,35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54,09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34,71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-0,49</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895 803 235,88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35,70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52,79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29,08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-0,73</w:t>
            </w:r>
          </w:p>
        </w:tc>
      </w:tr>
      <w:tr>
        <w:trPr>
          <w:trHeight w:val="20" w:hRule="atLeast"/>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Споживчі товари повсякденного попиту</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Genting Plantations Bhd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1 851 057 780,37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51,69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45,81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29,71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0,09</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2 038 901 864,49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69,95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56,61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71,31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60,22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34,20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0,10</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1 900 933 365,28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64,61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54,42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66,73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38,14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0,05</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2 294 592 835,66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51,33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64,16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26,54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0,04</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2 172 937 551,53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51,67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61,93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32,42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0,07</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Hap Seng Consolidated Bhd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4 918 849 108,12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10,21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64,80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36,96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37,81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26,84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0,09</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5 879 440 929,19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10,38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63,02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39,42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60,50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41,09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0,11</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5 937 860 434,03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65,44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25,25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0,11</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6 076 552 261,76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75,64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42,37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52,81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28,25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0,11</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5 326 184 481,04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76,44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19,06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0,07</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PPB Group Bhd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4 156 833 612,82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18,61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16,24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19,23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0,16</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5 010 713 654,00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39,63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23,18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47,80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43,62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0,21</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6 003 761 579,04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37,39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28,20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35,88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0,18</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6 498 579 118,76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30,46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0,20</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6 497 848 050,80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41,52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42,57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29,61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0,23</w:t>
            </w:r>
          </w:p>
        </w:tc>
      </w:tr>
      <w:tr>
        <w:trPr>
          <w:trHeight w:val="20" w:hRule="atLeast"/>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Фінанси</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AMMB Holdings Bhd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2 896 897 464,07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87,99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55,71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54,80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70,86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0,10</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3 286 981 988,64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76,67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58,16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70,90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0,10</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3 167 448 480,14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98,66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75,68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81,04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0,12</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2 882 235 935,45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94,56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36,24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77,37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0,10</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2 736 759 870,80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94,53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74,15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73,13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-0,31</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Bank of Ayudhya PCL</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8 209 555 550,22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76,82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15,51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38,53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0,08</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8 982 842 718,18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63,23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29,15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0,10</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8 646 523 903,42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64,23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50,18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16,56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46,52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0,10</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7 370 502 778,56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64,83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62,05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52,73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76,05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46,49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0,15</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7 677 607 061,00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51,60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52,28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69,03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0,10</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Bank of East Asia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10 219 887 523,24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32,04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42,12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27,79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39,57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51,38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0,14</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11 829 124 163,09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13,26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32,56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22,49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0,22</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8 931 651 583,00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12,48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39,71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30,10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0,26</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6 491 989 868,09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13,25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51,72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43,48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0,11</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6 230 240 917,83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14,33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42,15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56,55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0,12</w:t>
            </w:r>
          </w:p>
        </w:tc>
      </w:tr>
      <w:tr>
        <w:trPr>
          <w:trHeight w:val="20" w:hRule="atLeast"/>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Охорона здоров</w:t>
            </w:r>
            <w:r>
              <w:rPr>
                <w:rFonts w:eastAsia="Calibri" w:cs="Times New Roman" w:ascii="Times New Roman" w:hAnsi="Times New Roman"/>
                <w:i/>
                <w:iCs/>
                <w:kern w:val="0"/>
                <w:sz w:val="14"/>
                <w:szCs w:val="14"/>
                <w:lang w:val="uk-UA" w:eastAsia="en-US" w:bidi="ar-SA"/>
              </w:rPr>
              <w:t>'</w:t>
            </w:r>
            <w:r>
              <w:rPr>
                <w:rFonts w:eastAsia="Calibri" w:cs="Times New Roman" w:ascii="Times New Roman" w:hAnsi="Times New Roman"/>
                <w:kern w:val="0"/>
                <w:sz w:val="14"/>
                <w:szCs w:val="14"/>
                <w:lang w:val="uk-UA" w:eastAsia="en-US" w:bidi="ar-SA"/>
              </w:rPr>
              <w:t>я</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Dr Reddy's Laboratories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7 464 766 003,93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40,11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81,28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66,64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79,68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94,40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1,19</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6 274 488 931,24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40,34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82,14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64,39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81,25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96,48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0,99</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6 238 779 741,26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10,18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27,37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66,18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83,08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94,67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1,70</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6 678 439 718,58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14,17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84,68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71,20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94,10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1,62</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11 825 870 720,56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11,57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17,18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89,43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1,58</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Chugai Pharmaceutical Co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16 066 948 574,05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47,38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43,22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61,56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0,28</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28 662 326 707,57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11,70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48,64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47,33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58,50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0,39</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32 385 202 258,52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13,71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58,63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63,22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44,09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76,98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0,51</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51 824 619 874,02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21,02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65,12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71,93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75,44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0,88</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89 559 507 041,79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25,99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77,36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1,26</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Sumitomo Dainippon Pharma Co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6 843 324 288,01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17,09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41,54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52,98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0,71</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5 911 820 873,31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10,68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10,95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61,25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45,30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47,40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1,27</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12 612 561 565,66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46,69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48,86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1,10</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7 785 479 772,37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49,83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50,69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49,25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0,95</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5 873 819 274,42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44,98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72,38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47,13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1,28</w:t>
            </w:r>
          </w:p>
        </w:tc>
      </w:tr>
      <w:tr>
        <w:trPr>
          <w:trHeight w:val="20" w:hRule="atLeast"/>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Технології</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KCE Electronics PCL</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1 995 111 198,55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18,47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45,16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56,95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13,31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85,15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0,07</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1 490 762 981,09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15,02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31,22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58,39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86,36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0,07</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946 091 945,14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11,58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25,31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51,15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14,57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71,85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0,05</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959 700 838,41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17,52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54,08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16,50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70,63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71,89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0,03</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1 632 918 402,94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19,52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26,44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59,24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0,03</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ASM Pacific Technology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4 325 095 454,79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12,15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26,80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60,55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77,34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55,24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0,46</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5 702 217 225,21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19,13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19,68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69,50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78,37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76,32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0,81</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3 917 940 633,96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14,99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28,66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77,57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0,69</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5 674 147 255,11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39,50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49,54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82,50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0,22</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5 420 900 172,32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34,64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68,50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78,79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75,08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0,20</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DiGi.Com Bhd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8 374 010 480,54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44,06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439,44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42,64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70,15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0,05</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9 805 267 062,31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35,04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521,35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74,42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54,20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0,05</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8 471 549 636,80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34,54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400,19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65,75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76,75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59,38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0,05</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8 480 435 314,26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26,36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780,29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45,91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76,52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0,05</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8 007 089 552,24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19,86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899,89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65,18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65,27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74,81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0,04</w:t>
            </w:r>
          </w:p>
        </w:tc>
      </w:tr>
      <w:tr>
        <w:trPr>
          <w:trHeight w:val="20" w:hRule="atLeast"/>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Комунальні послуги</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CLP Holdings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23 214 764 203,78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48,83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81,04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89,54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85,55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0,65</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25 854 353 617,43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47,19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79,17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66,95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89,41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0,72</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28 550 197 975,48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44,26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80,71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78,13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87,00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0,68</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26 561 784 554,94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43,95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77,30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88,62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0,24</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23 366 808 027,17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43,32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75,85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84,31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0,58</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Kunlun Energy Company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4 288 340 100,44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58,42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24,20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21,63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37,58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0,01</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5 973 397 304,27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68,09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36,13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24,19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48,11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0,09</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6 076 240 174,35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55,27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37,04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0,08</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5 431 242 819,33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44,35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34,64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45,59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0,04</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5 314 867 718,10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33,52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29,44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39,19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0,06</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Guangdong Investment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8 273 416 354,06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10,49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14,19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33,51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27,09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13,92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68,02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0,09</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8 753 246 328,03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12,67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10,84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27,72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63,30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0,11</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12 639 036 787,54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17,91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52,54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51,05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58,60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0,10</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13 679 908 789,73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17,38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50,06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55,61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50,95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0,10</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11 773 020 561,95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20,96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49,39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59,57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51,60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0,09</w:t>
            </w:r>
          </w:p>
        </w:tc>
      </w:tr>
      <w:tr>
        <w:trPr>
          <w:trHeight w:val="20" w:hRule="atLeast"/>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Нерухомість</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City Developments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5 311 123 715,23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51,50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82,18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74,37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0,47</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8 706 059 652,46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44,18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88,25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65,67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0,40</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5 581 252 936,36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53,45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89,66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90,05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63,98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0,42</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7 679 586 286,83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90,04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85,68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81,21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0,44</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5 728 570 571,35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130,28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88,18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85,18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85,90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-1,61</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Hang Lung Properties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9 535 619 093,74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20,49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76,28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65,84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0,18</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10 995 532 255,20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17,69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43,63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66,05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0,23</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8 568 724 070,28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19,20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38,48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51,64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0,23</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9 873 040 982,93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60,80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62,05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0,18</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11 864 866 330,19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25,81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51,67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-0,07</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Hang Lung Group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4 669 858 012,68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22,55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54,85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80,92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0,35</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4 935 300 224,17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18,97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80,69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0,50</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3 414 691 837,50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20,55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66,64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53,31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59,66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0,50</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3 315 813 791,66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19,85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68,56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57,47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62,43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0,64</w:t>
            </w:r>
          </w:p>
        </w:tc>
      </w:tr>
      <w:tr>
        <w:trPr>
          <w:trHeight w:val="20"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3 386 349 819,51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24,54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69,14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61,71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60,22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-0,15</w:t>
            </w:r>
          </w:p>
        </w:tc>
      </w:tr>
    </w:tbl>
    <w:p>
      <w:pPr>
        <w:pStyle w:val="Normal"/>
        <w:rPr>
          <w:rFonts w:ascii="Times New Roman" w:hAnsi="Times New Roman" w:cs="Times New Roman"/>
          <w:sz w:val="28"/>
          <w:szCs w:val="28"/>
          <w:lang w:val="uk-UA"/>
        </w:rPr>
      </w:pPr>
      <w:r>
        <w:rPr>
          <w:rFonts w:cs="Times New Roman" w:ascii="Times New Roman" w:hAnsi="Times New Roman"/>
          <w:sz w:val="28"/>
          <w:szCs w:val="28"/>
          <w:lang w:val="uk-UA"/>
        </w:rPr>
        <w:t>Джерело: складено автором.</w:t>
      </w:r>
      <w:r>
        <w:br w:type="page"/>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ДОДАТОК Б</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 xml:space="preserve">Вибірка даних для провідних компаній Європи </w:t>
      </w:r>
    </w:p>
    <w:p>
      <w:pPr>
        <w:pStyle w:val="Normal"/>
        <w:spacing w:lineRule="auto" w:line="360" w:before="0" w:after="0"/>
        <w:jc w:val="both"/>
        <w:rPr>
          <w:rFonts w:ascii="Times New Roman" w:hAnsi="Times New Roman" w:cs="Times New Roman"/>
          <w:b/>
          <w:b/>
          <w:sz w:val="28"/>
          <w:szCs w:val="28"/>
          <w:lang w:val="uk-UA"/>
        </w:rPr>
      </w:pPr>
      <w:r>
        <w:rPr>
          <w:rFonts w:cs="Times New Roman" w:ascii="Times New Roman" w:hAnsi="Times New Roman"/>
          <w:b/>
          <w:sz w:val="28"/>
          <w:szCs w:val="28"/>
          <w:lang w:val="uk-UA"/>
        </w:rPr>
      </w:r>
    </w:p>
    <w:tbl>
      <w:tblPr>
        <w:tblStyle w:val="a8"/>
        <w:tblW w:w="9644" w:type="dxa"/>
        <w:jc w:val="center"/>
        <w:tblInd w:w="0" w:type="dxa"/>
        <w:tblLayout w:type="fixed"/>
        <w:tblCellMar>
          <w:top w:w="0" w:type="dxa"/>
          <w:left w:w="108" w:type="dxa"/>
          <w:bottom w:w="0" w:type="dxa"/>
          <w:right w:w="108" w:type="dxa"/>
        </w:tblCellMar>
        <w:tblLook w:firstRow="1" w:noVBand="1" w:lastRow="0" w:firstColumn="1" w:lastColumn="0" w:noHBand="0" w:val="04a0"/>
      </w:tblPr>
      <w:tblGrid>
        <w:gridCol w:w="567"/>
        <w:gridCol w:w="1247"/>
        <w:gridCol w:w="584"/>
        <w:gridCol w:w="1519"/>
        <w:gridCol w:w="906"/>
        <w:gridCol w:w="1474"/>
        <w:gridCol w:w="625"/>
        <w:gridCol w:w="624"/>
        <w:gridCol w:w="624"/>
        <w:gridCol w:w="624"/>
        <w:gridCol w:w="848"/>
      </w:tblGrid>
      <w:tr>
        <w:trPr>
          <w:trHeight w:val="567" w:hRule="atLeast"/>
          <w:cantSplit w:val="true"/>
        </w:trPr>
        <w:tc>
          <w:tcPr>
            <w:tcW w:w="567"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Інду-стрія</w:t>
            </w:r>
          </w:p>
        </w:tc>
        <w:tc>
          <w:tcPr>
            <w:tcW w:w="1247"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Компанія</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Рік</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Ринкова капіталізація, дол. США</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Рентабель-ність активів, %</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Співвідношення позикового капіталу до власного</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ESG</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S</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G</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Прибуток на акцію, дол. США</w:t>
            </w:r>
          </w:p>
        </w:tc>
      </w:tr>
      <w:tr>
        <w:trPr>
          <w:trHeight w:val="23" w:hRule="atLeast"/>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Енергетика</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Saipem SpA</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5 686 760 605,29</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-10,68</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69,60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85,68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82,77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90,71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81,91</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-2,63</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4 616 264 468,47</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-0,79</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67,80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86,41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86,80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90,34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80,37</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-0,39</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3 775 294 369,89</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-1,78</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73,12</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90,96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89,23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94,57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87,82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-0,54</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4 931 381 340,72</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1,85</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89,79</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90,75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85,29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94,25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92,15</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0,01</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2 741 361 293,44</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-8,03</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117,23</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89,19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87,32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93,71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84,93</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-1,40</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Rubis SCA</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3 739 695 223,68</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8,06</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53,58</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51,32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55,58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47,71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51,51</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2,43</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6 641 236 723,65</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72,76</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54,92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57,74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54,26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51,95</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3,41</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5 205 179 222,31</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6,57</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62,18</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59,37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58,78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60,63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57,99</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3,01</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6 142 578 314,24</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64,68</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67,77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67,23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63,47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76,24</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3,46</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4 803 388 720,35</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4,78</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54,59</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70,49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66,03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67,89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81,65</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2,12</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TotalEnergies SE</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124 367 528 839,02</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3,15</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52,51</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89,71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94,13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95,92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72,13</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2,51</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139 544 078 744,09</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4,78</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45,03</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89,82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92,57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93,73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78,83</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3,34</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139 744 679 597,30</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7,24</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43,65</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84,96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91,77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84,50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75,80</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4,24</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143 502 173 497,30</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6,53</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51,04</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85,72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91,39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83,63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81,12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4,17</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114 381 140 794,46</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-2,60</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71,35</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90,21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90,89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92,49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85,13</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-2,90</w:t>
            </w:r>
          </w:p>
        </w:tc>
      </w:tr>
      <w:tr>
        <w:trPr>
          <w:trHeight w:val="23" w:hRule="atLeast"/>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Базові матеріали</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Anglo American PLC</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19 625 549 519,70</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5,14</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54,14</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79,87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86,48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76,32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76,22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1,23</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28 763 312 711,54</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10,51</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41,45</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76,06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86,14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79,15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56,55</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2,45</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30 638 100 932,27</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11,59</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30,07</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81,94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82,90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80,76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82,50</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2,74</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38 642 219 380,82</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11,34</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34,20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80,57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82,83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81,90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75,17</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2,76</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44 196 490 677,00</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9,21</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41,23</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84,11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81,37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86,31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84,41</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1,67</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RHI Magnesita NV</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5,88</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91,39</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43,71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57,35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46,31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15,90</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1,95</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2 364 857 141,05</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144,12</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48,32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47,98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54,62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39,92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-0,51</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2 441 887 867,02</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6,98</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130,84</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49,00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48,48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44,62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56,18</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4,03</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2 503 991 101,03</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124,04</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49,46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50,25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50,98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45,89</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3,15</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2 349 363 471,70</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1,30</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175,03</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46,94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43,11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44,51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57,18</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0,61</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Wienerberger AG</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2 038 061 366,88</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4,33</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47,67</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62,62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79,74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41,08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63,12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0,74</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2 843 673 696,19</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3,97</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42,63</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64,55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75,15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41,26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79,07</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1,26</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2 419 269 412,07</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5,28</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43,19</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71,79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84,94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44,24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87,89</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1,32</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3 441 951 096,54</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8,01</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49,91</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71,04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84,69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45,69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83,13</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2,44</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3 693 538 459,39</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91,34</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62,76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69,08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54,40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63,52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0,96</w:t>
            </w:r>
          </w:p>
        </w:tc>
      </w:tr>
      <w:tr>
        <w:trPr>
          <w:trHeight w:val="23" w:hRule="atLeast"/>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Промисловість</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Ackermans &amp; Van Haaren NV</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4 651 956 495,37</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3,35</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163,57</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38,41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40,25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11,10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73,45</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7,09</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5 832 554 330,68</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3,89</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160,51</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40,22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49,96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19,30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55,40</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10,91</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5 063 414 014,13</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165,98</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38,67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49,36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64,24</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9,99</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5 245 742 986,79</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3,91</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176,38</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39,78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52,92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17,97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51,42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13,33</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5 031 899 355,15</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2,06</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189,11</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34,34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49,94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20,37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31,74</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8,46</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NV Bekaert SA</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2 441 625 840,65</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3,64</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91,32</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46,36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35,99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68,92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29,21</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1,94</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2 639 513 243,90</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5,14</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103,27</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50,97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46,61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69,85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31,44</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3,42</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1 459 080 841,66</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107,43</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52,39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50,03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71,76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29,81</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0,71</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1 794 524 680,51</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1,61</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105,02</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54,25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55,92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67,39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35,03</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0,82</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2 003 990 084,95</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3,96</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104,86</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58,98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52,37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68,79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54,06</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2,77</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Leonardo SpA</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8 108 206 759,15</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2,58</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120,70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74,80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85,60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74,10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67,82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0,92</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6 880 018 136,06</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1,63</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111,13</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72,23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87,75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68,79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65,50</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0,58</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5 076 494 096,51</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1,93</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102,28</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76,85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95,22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74,89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66,04</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0,84</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6 764 832 188,72</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93,85</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76,28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96,16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81,35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54,82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1,41</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4 201 033 804,37</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0,94</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108,07</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88,12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98,03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92,89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74,39</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0,51</w:t>
            </w:r>
          </w:p>
        </w:tc>
      </w:tr>
      <w:tr>
        <w:trPr>
          <w:trHeight w:val="23" w:hRule="atLeast"/>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Споживчі товари вибіркового попиту</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Schibsted ASA</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5 538 575 890,42</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5,99</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22,22</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41,09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29,38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51,58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31,17</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0,24</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7 149 539 939,47</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13,09</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28,17</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48,54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32,08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61,29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37,25</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1,14</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8 248 618 978,80</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28,80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64,35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55,48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74,07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54,53</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0,31</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10 236 360 290,53</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6,48</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49,53</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64,87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61,13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71,81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56,98</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0,45</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14 161 140 097,25</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35,05</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71,80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65,13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76,51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67,84</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0,43</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Stellantis NV</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11 187 520 976,28</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2,81</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124,26</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88,19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97,55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95,94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61,88</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1,17</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25 380 300 679,44</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5,86</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85,63</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93,24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97,85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94,69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84,32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2,52</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20 680 886 393,73</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4,25</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58,34</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90,34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98,74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94,20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72,00</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2,47</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23 335 328 139,28</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4,13</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44,99</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90,49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98,91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95,75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69,75</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1,91</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29 062 071 010,46</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1,37</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81,66</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88,78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97,70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93,42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68,38</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0,45</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Electrolux AB</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7 750 117 973,12</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6,59</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53,70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76,99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81,58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83,44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61,17</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1,56</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10 056 907 830,03</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7,94</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44,33</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72,59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82,29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82,67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44,50</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2,22</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6 516 725 575,27</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45,90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80,18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81,72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83,60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72,98</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1,02</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7 668 535 770,31</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2,41</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62,63</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86,09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82,92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84,24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93,11</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0,62</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8 817 781 857,72</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4,94</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96,37</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87,28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85,02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85,75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92,61</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2,55</w:t>
            </w:r>
          </w:p>
        </w:tc>
      </w:tr>
      <w:tr>
        <w:trPr>
          <w:trHeight w:val="23" w:hRule="atLeast"/>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Споживчі товари повсякденного попиту</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Etablissementen Franz Colruyt NV</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7 409 311 078,08</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12,60</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45,07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63,88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15,94</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2,77</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7 812 422 862,87</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12,70</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60,07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89,66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58,37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39,11</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3,21</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10 247 135 151,85</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12,70</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57,63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84,35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57,64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36,23</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3,11</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7 212 907 977,31</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12,90</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57,25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83,04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58,37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34,82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3,46</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8 059 881 425,50</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10,70</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19,10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57,88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57,13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34,82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3,59</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Beiersdorf AG</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21 353 238 015,14</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14,40</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58,54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55,38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59,35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60,15</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3,29</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29 595 134 415,37</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13,00</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68,64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63,79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45,55</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3,55</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26 271 193 806,25</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12,30</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61,85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65,14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60,58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61,02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3,68</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30 092 710 782,67</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11,00</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62,18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71,92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57,13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62,25</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3,55</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29 260 678 191,16</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8,10</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62,98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70,96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58,78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63,19</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3,02</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Kesko Oyj</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4 871 459 724,09</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3,40</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24,20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67,33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80,99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26,36</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0,26</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5 385 487 482,10</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7,70</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23,90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62,85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80,68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76,38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27,02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0,82</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5 260 399 111,08</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5,40</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133,60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61,88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81,56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72,85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28,63</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0,62</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6 912 340 797,45</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6,10</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141,90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76,96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82,52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0,93</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10 187 174 341,85</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7,80</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119,50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74,13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78,05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81,22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59,7</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1,33</w:t>
            </w:r>
          </w:p>
        </w:tc>
      </w:tr>
      <w:tr>
        <w:trPr>
          <w:trHeight w:val="23" w:hRule="atLeast"/>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Фінанси</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Assicurazioni Generali SpA</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23 155 546 211,69</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0,61</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59,00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84,54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93,84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86,58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79,05</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1,36</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28 477 928 026,78</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0,66</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58,26</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85,37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98,20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89,51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76,27</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1,65</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26 132 925 808,13</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0,66</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58,98</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91,37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96,02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87,03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94,88</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1,55</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32 332 305 170,96</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0,70</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47,50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91,81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93,87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90,06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93,17</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1,55</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27 632 358 165,37</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0,64</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42,22</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91,59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93,81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88,42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94,55</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1,48</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Intesa Sanpaolo SpA</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40 449 792 110,19</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0,46</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296,46</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77,65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89,12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89,29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57,02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0,19</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52 700 434 064,43</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1,03</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268,51</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74,64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89,01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89,69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48,17</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0,52</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38 842 046 410,40</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0,68</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279,95</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77,25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88,26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93,79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50,05</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0,27</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46 043 664 993,97</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0,71</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256,48</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72,49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88,29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93,35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37,42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0,26</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45 691 474 804,07</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0,24</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193,11</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87,98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97,44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93,65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76,37</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0,14</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UniCredit SpA</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17 768 092 446,93</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-1,31</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450,81</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80,63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82,23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82,92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76,84</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-10,99</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41 624 063 064,96</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0,44</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283,38</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77,88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82,85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79,37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73,82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1,69</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25 234 001 490,70</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0,44</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302,02</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87,25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84,30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89,27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85,64</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2,12</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32 559 138 375,14</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0,36</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304,91</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86,98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84,87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88,82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85,29</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0,96</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21 037 423 794,90</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-0,28</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303,07</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86,78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94,30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86,33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84,39</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-1,59</w:t>
            </w:r>
          </w:p>
        </w:tc>
      </w:tr>
      <w:tr>
        <w:trPr>
          <w:trHeight w:val="23" w:hRule="atLeast"/>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Охорона здоров'я</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Recordati Industria Chimica e Farmaceutica SpA</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5 918 470 562,99</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20,95</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38,69</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37,22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24,28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34,20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51,23</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1,19</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9 297 127 291,37</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21,52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66,27</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66,29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53,30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66,26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75,87</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1,66</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7 244 034 371,24</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19,82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81,79</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74,75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57,68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77,36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83,37</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1,71</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8 797 259 109,75</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17,87</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91,80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65,48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70,96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75,28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46,80</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1,98</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11 655 203 631,30</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16,51</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83,14</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71,99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69,04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86,04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53,15</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2,07</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Ucb SA</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12 455 150 997,46</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29,23</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69,07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59,69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60,40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88,91</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3,03</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15 441 734 679,81</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9,82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27,42</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79,91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72,65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83,41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80,01</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4,79</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15 905 419 551,56</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9,94</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23,96</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79,51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73,10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82,94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79,07</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4,82</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15 459 107 181,36</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8,89</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18,28</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84,43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74,01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88,57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85,87</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4,72</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20 068 194 904,54</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7,21</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37,78</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87,35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80,03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91,31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86,81</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4,60</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Bayer AG</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86 180 971 000,59</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6,11</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57,26</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82,61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79,94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96,01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64,54</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4,65</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103 168 839 045,53</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35,83</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83,73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80,24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96,52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67,18</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4,40</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64 585 326 372,43</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1,87</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88,12</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88,68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83,28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95,93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81,79</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1,68</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80 092 148 035,40</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2,26</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81,97</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88,29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85,12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96,37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78,54</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2,73</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58 165 873 642,89</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-14,20</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136,16</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87,67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82,20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96,47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78,52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-19,35</w:t>
            </w:r>
          </w:p>
        </w:tc>
      </w:tr>
      <w:tr>
        <w:trPr>
          <w:trHeight w:val="23" w:hRule="atLeast"/>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Технології</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Telecom Italia SpA</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17 731 398 758,60</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3,95</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138,22</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77,25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65,41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86,67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67,42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0,09</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17 449 903 040,58</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2,55</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129,80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88,21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74,77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88,83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97,29</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0,06</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11 277 355 857,93</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-1,16</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134,31</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85,04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74,63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88,90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85,27</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-0,08</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13 155 286 210,39</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2,56</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142,67</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83,62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79,59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86,69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80,53</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0,05</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10 253 914 448,60</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1,95</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104,91</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87,01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78,96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89,25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88,69</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0,42</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Telefonaktiebolaget LM Ericsson</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19 553 316 406,01</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19,73</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80,49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89,29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87,83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68,24</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0,03</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21 871 931 104,52</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-13,22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33,87</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82,84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91,28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89,42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71,54</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-1,21</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28 967 735 790,63</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-0,55</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37,74</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85,98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91,06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84,43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84,64</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-0,22</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29 199 409 298,98</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3,21</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58,11</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83,84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82,43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90,91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77,64</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0,07</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39 966 058 493,18</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9,93</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46,33</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86,63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65,75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90,92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94,22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0,64</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SAP SE</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106 951 677 304,37</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11,37</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29,85</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91,20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79,45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98,24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88,65</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3,19</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137 718 741 954,15</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11,59</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24,69</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92,38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77,55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96,27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93,49</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4,01</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122 129 699 218,65</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11,92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39,14</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93,25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77,19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96,09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95,63</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3,92</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165 506 246 998,37</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8,23</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51,33</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93,79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78,38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95,58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96,86</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3,12</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161 949 767 323,68</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12,17</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53,30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92,69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77,00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96,44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94,18</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5,32</w:t>
            </w:r>
          </w:p>
        </w:tc>
      </w:tr>
      <w:tr>
        <w:trPr>
          <w:trHeight w:val="23" w:hRule="atLeast"/>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Комунальні послуги</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E.ON SE</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14 094 512 195,12</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-1,94</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1105,44</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75,58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71,91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81,75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73,36</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2,90</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23 925 046 531,35</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8,29</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194,11</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69,24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62,14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75,43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73,16</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2,20</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21 715 724 612,60</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5,96</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116,06</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75,52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59,00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84,56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92,31</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1,55</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28 166 969 265,70</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1,01</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237,12</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76,64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66,60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85,67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81,78</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0,24</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29 435 308 239,11</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2,25</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362,68</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72,73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60,97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81,34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81,55</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0,50</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Naturgy Energy Group SA</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18 841 827 267,99</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4,09</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97,82</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77,98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88,26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93,10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40,06</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1,21</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23 108 251 837,49</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3,03</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105,67</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78,12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95,03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90,52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34,88</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1,09</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25 547 463 908,00</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-6,49</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114,18</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80,40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97,13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95,16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33,78</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-3,23</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24 711 719 021,59</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5,01</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127,79</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79,26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92,51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96,22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34,28</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1,51</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22 452 219 915,68</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-0,18</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154,10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81,36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93,16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95,92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42,12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-0,46</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Iberdrola SA</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41 695 982 849,13</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3,63</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76,04</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84,91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88,82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90,80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70,59</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0,38</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48 957 131 388,72</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1,89</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85,01</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89,24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93,20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92,15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78,75</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0,49</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51 493 921 784,34</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3,84</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85,28</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86,07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94,07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90,22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67,06</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0,49</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65 470 737 164,73</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4,06</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85,87</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82,67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90,05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91,79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58,28</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0,56</w:t>
            </w:r>
          </w:p>
        </w:tc>
      </w:tr>
      <w:tr>
        <w:trPr>
          <w:trHeight w:val="23" w:hRule="atLeast"/>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90 737 302 385,31</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4,13</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85,05</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83,81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92,42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93,21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56,95</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0,67</w:t>
            </w:r>
          </w:p>
        </w:tc>
      </w:tr>
      <w:tr>
        <w:trPr>
          <w:trHeight w:val="23" w:hRule="atLeast"/>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Нерухомість</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Icade SA</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5 281 746 529,58</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0,98</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118,26</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63,00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88,80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47,04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47,87</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0,64</w:t>
            </w:r>
          </w:p>
        </w:tc>
      </w:tr>
      <w:tr>
        <w:trPr>
          <w:trHeight w:val="23" w:hRule="atLeast"/>
        </w:trPr>
        <w:tc>
          <w:tcPr>
            <w:tcW w:w="567" w:type="dxa"/>
            <w:vMerge w:val="continue"/>
            <w:tcBorders/>
          </w:tcPr>
          <w:p>
            <w:pPr>
              <w:pStyle w:val="Normal"/>
              <w:widowControl/>
              <w:spacing w:lineRule="auto" w:line="240" w:before="0" w:after="0"/>
              <w:jc w:val="both"/>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7 283 897 108,94</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1,84</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144,92</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75,89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95,30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69,46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59,28</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2,68</w:t>
            </w:r>
          </w:p>
        </w:tc>
      </w:tr>
      <w:tr>
        <w:trPr>
          <w:trHeight w:val="23" w:hRule="atLeast"/>
        </w:trPr>
        <w:tc>
          <w:tcPr>
            <w:tcW w:w="567" w:type="dxa"/>
            <w:vMerge w:val="continue"/>
            <w:tcBorders/>
          </w:tcPr>
          <w:p>
            <w:pPr>
              <w:pStyle w:val="Normal"/>
              <w:widowControl/>
              <w:spacing w:lineRule="auto" w:line="240" w:before="0" w:after="0"/>
              <w:jc w:val="both"/>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5 684 397 607,58</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1,89</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159,72</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79,14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96,04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68,01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69,87</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2,42</w:t>
            </w:r>
          </w:p>
        </w:tc>
      </w:tr>
      <w:tr>
        <w:trPr>
          <w:trHeight w:val="23" w:hRule="atLeast"/>
        </w:trPr>
        <w:tc>
          <w:tcPr>
            <w:tcW w:w="567" w:type="dxa"/>
            <w:vMerge w:val="continue"/>
            <w:tcBorders/>
          </w:tcPr>
          <w:p>
            <w:pPr>
              <w:pStyle w:val="Normal"/>
              <w:widowControl/>
              <w:spacing w:lineRule="auto" w:line="240" w:before="0" w:after="0"/>
              <w:jc w:val="both"/>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8 108 976 598,04</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2,83</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168,65</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67,54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94,54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66,77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36,78</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4,51</w:t>
            </w:r>
          </w:p>
        </w:tc>
      </w:tr>
      <w:tr>
        <w:trPr>
          <w:trHeight w:val="23" w:hRule="atLeast"/>
        </w:trPr>
        <w:tc>
          <w:tcPr>
            <w:tcW w:w="567" w:type="dxa"/>
            <w:vMerge w:val="continue"/>
            <w:tcBorders/>
          </w:tcPr>
          <w:p>
            <w:pPr>
              <w:pStyle w:val="Normal"/>
              <w:widowControl/>
              <w:spacing w:lineRule="auto" w:line="240" w:before="0" w:after="0"/>
              <w:jc w:val="both"/>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5 725 815 961,04</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205,85</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64,48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84,86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76,86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29,08</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0,35</w:t>
            </w:r>
          </w:p>
        </w:tc>
      </w:tr>
      <w:tr>
        <w:trPr>
          <w:trHeight w:val="23" w:hRule="atLeast"/>
        </w:trPr>
        <w:tc>
          <w:tcPr>
            <w:tcW w:w="567" w:type="dxa"/>
            <w:vMerge w:val="continue"/>
            <w:tcBorders/>
          </w:tcPr>
          <w:p>
            <w:pPr>
              <w:pStyle w:val="Normal"/>
              <w:widowControl/>
              <w:spacing w:lineRule="auto" w:line="240" w:before="0" w:after="0"/>
              <w:jc w:val="both"/>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Covivio SA</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5 995 349 290,24</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114,27</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60,23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92,34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46,24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35,91</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12,15</w:t>
            </w:r>
          </w:p>
        </w:tc>
      </w:tr>
      <w:tr>
        <w:trPr>
          <w:trHeight w:val="23" w:hRule="atLeast"/>
        </w:trPr>
        <w:tc>
          <w:tcPr>
            <w:tcW w:w="567" w:type="dxa"/>
            <w:vMerge w:val="continue"/>
            <w:tcBorders/>
          </w:tcPr>
          <w:p>
            <w:pPr>
              <w:pStyle w:val="Normal"/>
              <w:widowControl/>
              <w:spacing w:lineRule="auto" w:line="240" w:before="0" w:after="0"/>
              <w:jc w:val="both"/>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8 481 106 271,18</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7,10</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98,91</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62,48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97,72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44,01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38,70</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14,79</w:t>
            </w:r>
          </w:p>
        </w:tc>
      </w:tr>
      <w:tr>
        <w:trPr>
          <w:trHeight w:val="23" w:hRule="atLeast"/>
        </w:trPr>
        <w:tc>
          <w:tcPr>
            <w:tcW w:w="567" w:type="dxa"/>
            <w:vMerge w:val="continue"/>
            <w:tcBorders/>
          </w:tcPr>
          <w:p>
            <w:pPr>
              <w:pStyle w:val="Normal"/>
              <w:widowControl/>
              <w:spacing w:lineRule="auto" w:line="240" w:before="0" w:after="0"/>
              <w:jc w:val="both"/>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7 281 651 672,40</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5,46</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98,40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62,95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97,36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43,11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41,42</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10,57</w:t>
            </w:r>
          </w:p>
        </w:tc>
      </w:tr>
      <w:tr>
        <w:trPr>
          <w:trHeight w:val="23" w:hRule="atLeast"/>
        </w:trPr>
        <w:tc>
          <w:tcPr>
            <w:tcW w:w="567" w:type="dxa"/>
            <w:vMerge w:val="continue"/>
            <w:tcBorders/>
          </w:tcPr>
          <w:p>
            <w:pPr>
              <w:pStyle w:val="Normal"/>
              <w:widowControl/>
              <w:spacing w:lineRule="auto" w:line="240" w:before="0" w:after="0"/>
              <w:jc w:val="both"/>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9 894 687 002,22</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5,59</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89,90</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72,96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97,31</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44,19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71,57</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9,65</w:t>
            </w:r>
          </w:p>
        </w:tc>
      </w:tr>
      <w:tr>
        <w:trPr>
          <w:trHeight w:val="23" w:hRule="atLeast"/>
        </w:trPr>
        <w:tc>
          <w:tcPr>
            <w:tcW w:w="567" w:type="dxa"/>
            <w:vMerge w:val="continue"/>
            <w:tcBorders/>
          </w:tcPr>
          <w:p>
            <w:pPr>
              <w:pStyle w:val="Normal"/>
              <w:widowControl/>
              <w:spacing w:lineRule="auto" w:line="240" w:before="0" w:after="0"/>
              <w:jc w:val="both"/>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8 700 424 867,12</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1,71</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99,82</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68,54</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97,10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42,58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59,59</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4,67</w:t>
            </w:r>
          </w:p>
        </w:tc>
      </w:tr>
      <w:tr>
        <w:trPr>
          <w:trHeight w:val="23" w:hRule="atLeast"/>
        </w:trPr>
        <w:tc>
          <w:tcPr>
            <w:tcW w:w="567" w:type="dxa"/>
            <w:vMerge w:val="continue"/>
            <w:tcBorders/>
          </w:tcPr>
          <w:p>
            <w:pPr>
              <w:pStyle w:val="Normal"/>
              <w:widowControl/>
              <w:spacing w:lineRule="auto" w:line="240" w:before="0" w:after="0"/>
              <w:jc w:val="both"/>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Gecina SA</w:t>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8 763 809 618,83</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6,13</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43,49</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86,36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92,32</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90,97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75,09</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12,67</w:t>
            </w:r>
          </w:p>
        </w:tc>
      </w:tr>
      <w:tr>
        <w:trPr>
          <w:trHeight w:val="23" w:hRule="atLeast"/>
        </w:trPr>
        <w:tc>
          <w:tcPr>
            <w:tcW w:w="567" w:type="dxa"/>
            <w:vMerge w:val="continue"/>
            <w:tcBorders/>
          </w:tcPr>
          <w:p>
            <w:pPr>
              <w:pStyle w:val="Normal"/>
              <w:widowControl/>
              <w:spacing w:lineRule="auto" w:line="240" w:before="0" w:after="0"/>
              <w:jc w:val="both"/>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textDirection w:val="btLr"/>
          </w:tcPr>
          <w:p>
            <w:pPr>
              <w:pStyle w:val="Normal"/>
              <w:widowControl/>
              <w:spacing w:lineRule="auto" w:line="240" w:before="0" w:after="0"/>
              <w:ind w:left="113" w:right="113" w:hanging="0"/>
              <w:jc w:val="both"/>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13 897 894 628,42</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11,82</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76,94</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78,96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92,73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91,00</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51,59</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33,92</w:t>
            </w:r>
          </w:p>
        </w:tc>
      </w:tr>
      <w:tr>
        <w:trPr>
          <w:trHeight w:val="23" w:hRule="atLeast"/>
        </w:trPr>
        <w:tc>
          <w:tcPr>
            <w:tcW w:w="567" w:type="dxa"/>
            <w:vMerge w:val="continue"/>
            <w:tcBorders/>
          </w:tcPr>
          <w:p>
            <w:pPr>
              <w:pStyle w:val="Normal"/>
              <w:widowControl/>
              <w:spacing w:lineRule="auto" w:line="240" w:before="0" w:after="0"/>
              <w:jc w:val="both"/>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textDirection w:val="btLr"/>
          </w:tcPr>
          <w:p>
            <w:pPr>
              <w:pStyle w:val="Normal"/>
              <w:widowControl/>
              <w:spacing w:lineRule="auto" w:line="240" w:before="0" w:after="0"/>
              <w:ind w:left="113" w:right="113" w:hanging="0"/>
              <w:jc w:val="both"/>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9 883 934 989,45</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5,09</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63,11</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87,58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90,95</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93,36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78,23</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15,59</w:t>
            </w:r>
          </w:p>
        </w:tc>
      </w:tr>
      <w:tr>
        <w:trPr>
          <w:trHeight w:val="23" w:hRule="atLeast"/>
        </w:trPr>
        <w:tc>
          <w:tcPr>
            <w:tcW w:w="567" w:type="dxa"/>
            <w:vMerge w:val="continue"/>
            <w:tcBorders/>
          </w:tcPr>
          <w:p>
            <w:pPr>
              <w:pStyle w:val="Normal"/>
              <w:widowControl/>
              <w:spacing w:lineRule="auto" w:line="240" w:before="0" w:after="0"/>
              <w:jc w:val="both"/>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textDirection w:val="btLr"/>
          </w:tcPr>
          <w:p>
            <w:pPr>
              <w:pStyle w:val="Normal"/>
              <w:widowControl/>
              <w:spacing w:lineRule="auto" w:line="240" w:before="0" w:after="0"/>
              <w:ind w:left="113" w:right="113" w:hanging="0"/>
              <w:jc w:val="both"/>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13 644 791 295,65</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7,57</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57,17</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88,09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89,78</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92,97</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81,53</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23,00</w:t>
            </w:r>
          </w:p>
        </w:tc>
      </w:tr>
      <w:tr>
        <w:trPr>
          <w:trHeight w:val="23" w:hRule="atLeast"/>
        </w:trPr>
        <w:tc>
          <w:tcPr>
            <w:tcW w:w="567" w:type="dxa"/>
            <w:vMerge w:val="continue"/>
            <w:tcBorders/>
          </w:tcPr>
          <w:p>
            <w:pPr>
              <w:pStyle w:val="Normal"/>
              <w:widowControl/>
              <w:spacing w:lineRule="auto" w:line="240" w:before="0" w:after="0"/>
              <w:jc w:val="both"/>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textDirection w:val="btLr"/>
          </w:tcPr>
          <w:p>
            <w:pPr>
              <w:pStyle w:val="Normal"/>
              <w:widowControl/>
              <w:spacing w:lineRule="auto" w:line="240" w:before="0" w:after="0"/>
              <w:ind w:left="113" w:right="113" w:hanging="0"/>
              <w:jc w:val="both"/>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11 786 291 936,98</w:t>
            </w:r>
          </w:p>
        </w:tc>
        <w:tc>
          <w:tcPr>
            <w:tcW w:w="906"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0,71</w:t>
            </w:r>
          </w:p>
        </w:tc>
        <w:tc>
          <w:tcPr>
            <w:tcW w:w="147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57,73</w:t>
            </w:r>
          </w:p>
        </w:tc>
        <w:tc>
          <w:tcPr>
            <w:tcW w:w="625"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85,79</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89,96</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90,03</w:t>
            </w:r>
          </w:p>
        </w:tc>
        <w:tc>
          <w:tcPr>
            <w:tcW w:w="624"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76,95</w:t>
            </w:r>
          </w:p>
        </w:tc>
        <w:tc>
          <w:tcPr>
            <w:tcW w:w="848" w:type="dxa"/>
            <w:tcBorders/>
            <w:vAlign w:val="bottom"/>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2,57</w:t>
            </w:r>
          </w:p>
        </w:tc>
      </w:tr>
    </w:tbl>
    <w:p>
      <w:pPr>
        <w:pStyle w:val="Normal"/>
        <w:rPr>
          <w:rFonts w:ascii="Times New Roman" w:hAnsi="Times New Roman" w:cs="Times New Roman"/>
          <w:sz w:val="28"/>
          <w:szCs w:val="28"/>
          <w:lang w:val="uk-UA"/>
        </w:rPr>
      </w:pPr>
      <w:r>
        <w:rPr>
          <w:rFonts w:cs="Times New Roman" w:ascii="Times New Roman" w:hAnsi="Times New Roman"/>
          <w:sz w:val="28"/>
          <w:szCs w:val="28"/>
          <w:lang w:val="uk-UA"/>
        </w:rPr>
        <w:t>Джерело: складено автором.</w:t>
      </w:r>
      <w:r>
        <w:br w:type="page"/>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ДОДАТОК В</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 xml:space="preserve">Вибірка даних для провідних компаній Африки </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tbl>
      <w:tblPr>
        <w:tblStyle w:val="a8"/>
        <w:tblW w:w="9644" w:type="dxa"/>
        <w:jc w:val="center"/>
        <w:tblInd w:w="0" w:type="dxa"/>
        <w:tblLayout w:type="fixed"/>
        <w:tblCellMar>
          <w:top w:w="0" w:type="dxa"/>
          <w:left w:w="108" w:type="dxa"/>
          <w:bottom w:w="0" w:type="dxa"/>
          <w:right w:w="108" w:type="dxa"/>
        </w:tblCellMar>
        <w:tblLook w:firstRow="1" w:noVBand="1" w:lastRow="0" w:firstColumn="1" w:lastColumn="0" w:noHBand="0" w:val="04a0"/>
      </w:tblPr>
      <w:tblGrid>
        <w:gridCol w:w="567"/>
        <w:gridCol w:w="1247"/>
        <w:gridCol w:w="584"/>
        <w:gridCol w:w="1519"/>
        <w:gridCol w:w="906"/>
        <w:gridCol w:w="1474"/>
        <w:gridCol w:w="625"/>
        <w:gridCol w:w="624"/>
        <w:gridCol w:w="624"/>
        <w:gridCol w:w="624"/>
        <w:gridCol w:w="848"/>
      </w:tblGrid>
      <w:tr>
        <w:trPr>
          <w:trHeight w:val="567" w:hRule="atLeast"/>
        </w:trPr>
        <w:tc>
          <w:tcPr>
            <w:tcW w:w="567"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Інду-стрія</w:t>
            </w:r>
          </w:p>
        </w:tc>
        <w:tc>
          <w:tcPr>
            <w:tcW w:w="1247"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Компанія</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Рік</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Ринкова капіталізація, дол. США</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Рентабель-ність активів, %</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Співвідношення позикового капіталу до власного</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ESG</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S</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G</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Прибуток на акцію, дол. США</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Енергетика</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Exxaro Resources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1 934 906 016,37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18,76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60,30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80,51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25,77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3 910 072 946,10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16,77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79,07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37,87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3 123 332 871,28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14,45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71,56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34,21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3 258 299 319,59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19,83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76,42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69,31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28,93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3 288 015 476,60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29,41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62,51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78,42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28,13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1,96</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Базові матеріали</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Gold Fields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2 607 992 855,50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53,35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82,08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77,31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71,83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3 596 623 840,67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52,88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83,05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83,28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72,26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2 825 230 096,49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73,72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82,79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89,04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72,62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5 676 913 012,29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74,90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84,17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88,55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59,11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8 273 546 213,27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19,27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51,09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51,38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Harmony Gold Mining Company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1 009 860 126,61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71,47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74,59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816 580 144,84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-12,10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22,12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70,66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83,38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50,47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934 913 571,47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26,16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69,55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73,05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79,60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48,04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1 984 463 111,26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33,62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69,71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72,52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53,20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3 003 127 582,43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13,47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11,60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70,39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50,66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Impala Platinum Holdings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2 287 102 116,78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-14,11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19,22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72,52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54,63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70,78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1 928 901 757,84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-19,23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26,15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51,25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67,96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46,08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35,77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1 878 518 669,37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20,84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71,09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45,45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8 194 929 202,24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26,96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13,92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78,60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85,34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68,46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10 815 298 752,31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58,21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74,95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59,42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4,18</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Промисло-вість</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Barloworld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1 754 188 958,59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46,46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82,18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79,26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2 637 922 357,75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49,10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80,96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85,68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74,51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1 639 545 462,85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35,02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78,71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73,20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80,77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1 696 689 941,16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59,36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77,79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71,96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78,57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1 223 724 674,76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64,01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81,09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85,12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73,07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88,46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0,92</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Споживчі товари вибіркового попиту</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Mr Price Group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2 965 276 099,80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36,87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17,48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68,73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50,26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5 078 668 220,70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40,90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29,95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42,20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4 408 299 171,35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39,36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33,28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27,53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3 352 283 182,97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26,67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53,47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40,31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63,80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50,55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3 063 033 074,12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19,75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54,84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47,07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43,82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Delta Corp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12,37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42,12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50,00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10,98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42,51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42,08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50,00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8 976 618,73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25,72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19,16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41,54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34,52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50,00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264 861 035,54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12,82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20,51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41,63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45,39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33,80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50,00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378 995 615,19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29,20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12,02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50,00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Truworths International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2 564 898 333,35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23,58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40,05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45,60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53,34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33,93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3 379 461 310,82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20,67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69,44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70,63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2 718 697 023,45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69,57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90,52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61,67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1 557 402 863,83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103,38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72,95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88,56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52,68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1 111 345 684,31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20,49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63,90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72,92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70,80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58,98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0,34</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Споживчі товари повсякденного попиту</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Avi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2 192 843 817,20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23,01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34,85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56,51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75,83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2 958 651 678,59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24,18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31,33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56,33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49,75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82,91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2 407 993 647,86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22,61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58,97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60,81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42,02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76,93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2 057 381 653,91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26,83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58,69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76,64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1 616 361 573,10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24,77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43,59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61,51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82,53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Pick N Pay Stores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2 266 683 255,83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50,14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63,06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73,19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41,34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2 749 494 580,47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57,88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59,30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64,38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46,22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2 330 830 766,36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607,48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63,51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29,71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2 252 909 595,65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627,56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70,75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64,35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47,08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1 688 531 511,42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639,12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44,85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Clicks Group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2 070 403 072,33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19,55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55,12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52,92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63,07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3 605 318 203,98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19,06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56,35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80,07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3 388 680 238,82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17,48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48,93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62,39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60,42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70,55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4 805 590 345,16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17,02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51,71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63,69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60,05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71,08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4 277 672 014,70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16,31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60,83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68,55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67,15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69,57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68,05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0,53</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Фінанси</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Liberty Holdings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2 313 613 869,46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56,36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45,63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81,20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47,13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2 881 849 035,59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48,30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36,30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2 194 298 650,62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64,12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53,66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42,07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79,18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27,75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2 263 039 265,70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63,22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58,69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56,64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84,34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29,45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1 207 724 987,99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79,20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70,63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62,15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81,34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60,96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Nedbank Group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8 599 493 423,09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63,73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88,39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38,21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10 323 020 447,29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58,25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79,12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85,80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64,23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9 443 389 449,87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60,90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48,97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7 611 894 835,88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64,09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78,70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94,61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47,89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4 425 851 124,20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62,54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78,54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47,19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Standard Bank Group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18 218 418 427,40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14,49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66,06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65,19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90,33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32,98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25 963 174 945,61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12,78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67,50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60,38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88,52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41,39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20 474 812 100,99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13,24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83,66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37,01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19 816 102 821,68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13,80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66,28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64,44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40,55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14 268 861 413,40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15,99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83,91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32,92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0,53</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Охорона здоров'я</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Aspen Pharmacare Holdings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9 426 476 375,69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112,80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55,81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42,56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48,48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76,48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10 250 158 012,81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117,40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70,47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4 289 224 924,38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88,50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38,05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71,08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3 888 760 850,81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61,10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66,69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44,06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75,55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3 896 113 079,91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37,90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70,61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44,73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76,12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81,35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Netcare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3 380 721 064,47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11,50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100,60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71,94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2 986 372 998,72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59,30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64,48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56,57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49,48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2 704 649 441,72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15,60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66,90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50,87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2 037 466 258,04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121,60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68,96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73,24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68,67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1 252 612 720,25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102,80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59,07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71,56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47,55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Life Healthcare Group Holdings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2 580 224 187,53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17,10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114,90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84,03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3 254 776 579,82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93,50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77,61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49,52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84,64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83,23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2 700 021 458,87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101,50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53,12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74,89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2 584 745 767,26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73,50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78,35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88,15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78,26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1 680 361 449,97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89,70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85,35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72,01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Технології</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Naspers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42 434 382 831,59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31,26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28,30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60,73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16,61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80 920 362 821,85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27,51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17,03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36,51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60,34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19,18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25,85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58 412 880 121,53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11,60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27,71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63,70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18,05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72 792 789 955,68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12,78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31,50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17,66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89 527 384 153,67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20,07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35,27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62,72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12,38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12,39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MTN Group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17 650 296 857,69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81,48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48,35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62,84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20 828 916 191,33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83,62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53,39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36,96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11 688 610 990,36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147,75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63,19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59,42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69,20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54,05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11 107 384 918,74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163,31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57,89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7 721 659 930,96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137,19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71,06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74,17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61,29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Global Telecom Holding SAE</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2 095 361 975,43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546,16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36,24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11,75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34,81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57,89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1 969 580 389,94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4905,63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32,71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57,89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983 346 707,49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33,64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63,48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1 445 843 477,14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35,12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32,18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65,15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634 899 075,04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68,33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-0,03</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Нерухомість</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Growthpoint Properties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5 336 186 740,42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54,10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61,73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66,81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66,44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51,36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6 567 727 869,58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61,77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4 824 870 464,16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61,50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76,31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62,91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57,79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4 775 534 348,03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88,80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64,72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57,49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2 936 109 793,14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79,60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63,17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58,95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55,62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Redefine Properties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4 286 638 050,33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64,50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44,51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51,14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49,71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31,91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4 920 869 497,65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62,10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48,07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36,46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3 886 116 810,68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72,80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55,69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48,22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3 129 727 309,07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-17,10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94,80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54,33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41,69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1 313 423 390,79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78,40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52,35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54,91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52,37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49,34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Resilient Reit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2 999 904 393,64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61,60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23,06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24,25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57,93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4 664 169 917,02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69,50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34,51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19,17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64,79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1 688 288 249,36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11,90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40,50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33,56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45,86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1 945 513 375,46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-9,80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58,40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31,55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24,47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46,53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1 152 340 074,36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47,50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45,89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0,05</w:t>
            </w:r>
          </w:p>
        </w:tc>
      </w:tr>
    </w:tbl>
    <w:p>
      <w:pPr>
        <w:pStyle w:val="Normal"/>
        <w:rPr>
          <w:rFonts w:ascii="Times New Roman" w:hAnsi="Times New Roman" w:cs="Times New Roman"/>
          <w:sz w:val="28"/>
          <w:szCs w:val="28"/>
          <w:lang w:val="uk-UA"/>
        </w:rPr>
      </w:pPr>
      <w:r>
        <w:rPr>
          <w:rFonts w:cs="Times New Roman" w:ascii="Times New Roman" w:hAnsi="Times New Roman"/>
          <w:sz w:val="28"/>
          <w:szCs w:val="28"/>
          <w:lang w:val="uk-UA"/>
        </w:rPr>
        <w:t>Джерело: складено автором.</w:t>
      </w:r>
      <w:r>
        <w:br w:type="page"/>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ДОДАТОК Г</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 xml:space="preserve">Вибірка даних для провідних компаній Латинської Америки </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tbl>
      <w:tblPr>
        <w:tblStyle w:val="a8"/>
        <w:tblW w:w="9644" w:type="dxa"/>
        <w:jc w:val="center"/>
        <w:tblInd w:w="0" w:type="dxa"/>
        <w:tblLayout w:type="fixed"/>
        <w:tblCellMar>
          <w:top w:w="0" w:type="dxa"/>
          <w:left w:w="108" w:type="dxa"/>
          <w:bottom w:w="0" w:type="dxa"/>
          <w:right w:w="108" w:type="dxa"/>
        </w:tblCellMar>
        <w:tblLook w:firstRow="1" w:noVBand="1" w:lastRow="0" w:firstColumn="1" w:lastColumn="0" w:noHBand="0" w:val="04a0"/>
      </w:tblPr>
      <w:tblGrid>
        <w:gridCol w:w="567"/>
        <w:gridCol w:w="1247"/>
        <w:gridCol w:w="584"/>
        <w:gridCol w:w="1519"/>
        <w:gridCol w:w="906"/>
        <w:gridCol w:w="1474"/>
        <w:gridCol w:w="625"/>
        <w:gridCol w:w="624"/>
        <w:gridCol w:w="624"/>
        <w:gridCol w:w="624"/>
        <w:gridCol w:w="848"/>
      </w:tblGrid>
      <w:tr>
        <w:trPr>
          <w:trHeight w:val="567" w:hRule="atLeast"/>
        </w:trPr>
        <w:tc>
          <w:tcPr>
            <w:tcW w:w="567"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Інду-стрія</w:t>
            </w:r>
          </w:p>
        </w:tc>
        <w:tc>
          <w:tcPr>
            <w:tcW w:w="1247"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Компанія</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Рік</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Ринкова капіталізація, дол. США</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Рентабель-ність активів, %</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Співвідношення позикового капіталу до власного</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ESG</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S</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G</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Прибуток на акцію, дол. США</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Енергетика</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Petroleo Brasileiro SA Petrobras</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55 884 681 704,71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150,55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79,72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69,73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70,80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56 595 729 662,06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134,08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77,07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66,99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72 314 442 201,51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115,28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74,63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71,55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92 061 927 904,69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117,39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64,07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87,95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71,19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65 714 989 846,11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126,16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75,09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62,27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71,17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Quinenco SA</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3 070 359 662,25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137,75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31,80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4 643 047 561,72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140,81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15,64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10,14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11,92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30,34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3 514 680 480,39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153,12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18,48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38,83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2 819 992 596,49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172,44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18,61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9,95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17,57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33,17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2 507 769 711,38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194,06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19,24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15,04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33,13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Empresas Copec SA</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10 902 756 111,35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62,21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70,70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35,06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18 267 730 142,87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60,05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59,18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66,20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36,96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14 171 515 157,67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66,01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67,66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62,69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34,76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10 764 030 516,01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81,56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52,57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60,04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19,52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12 263 471 786,21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71,50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30,64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0,15</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Базові матеріали</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Companhia Siderurgica Nacional</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4 142 148 684,41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412,23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57,80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52,72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63,99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3 142 297 276,75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356,06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59,64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56,08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2 829 322 582,45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11,78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287,88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39,28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55,40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4 671 081 355,12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250,32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39,85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38,39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57,48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8 168 223 452,50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318,19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47,47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39,39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43,72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65,18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Industrias Penoles SAB de CV</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7 407 650 827,27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12,64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34,96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67,94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8 287 150 842,76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14,30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32,53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53,27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37,22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57,38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69,53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4 855 848 980,68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41,33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61,42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58,24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4 162 941 496,06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34,88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51,88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6 736 544 817,81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66,44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67,35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68,28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59,18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Cemex SAB de CV</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11 182 270 395,97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120,74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89,18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75,90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10 897 125 216,24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93,38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89,17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94,25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74,81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7 322 707 442,60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98,64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93,33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75,70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5 669 580 915,03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96,17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78,34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7 832 570 427,07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115,13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83,47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84,68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66,52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-0,10</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Промисловість</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WEG SA</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7 166 587 606,86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72,82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46,14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42,18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57,39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36,14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11 158 894 508,35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59,32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65,95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36,53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9 168 478 913,80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10,19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48,03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48,48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45,70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38,56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17 766 293 287,29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11,61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27,86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57,69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62,48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39,18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30 285 084 235,93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15,42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16,55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56,04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61,18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59,75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45,03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Embraer SA</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3 556 374 488,65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95,40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58,31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69,93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43,49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4 445 273 161,49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100,50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68,48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69,05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70,77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4 137 017 357,47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92,58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66,44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67,56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72,34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3 634 986 767,71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67,56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75,02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1 261 743 196,45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154,84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71,48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72,55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Promotora y Operadora de Infraestructura SAB de CV</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3 473 357 294,66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15,42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15,66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40,67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4 130 322 217,36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13,30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11,82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34,80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3 960 958 217,29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14,04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15,70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15,31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41,22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4 252 964 584,49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10,58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34,48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14,64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39,04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3 629 995 044,43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31,03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12,73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33,14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0,31</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Споживчі товари вибіркового попиту</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Lojas Renner SA</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4 332 478 979,16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14,14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71,14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88,12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7 323 716 763,97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14,32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58,04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85,61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73,06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87,67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7 642 450 497,00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16,74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48,64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89,20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81,08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89,02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10 942 817 773,02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14,65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72,15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93,02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92,64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6 618 454 974,47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95,38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93,15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87,93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Lojas Americanas SA</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2 689 346 259,20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367,92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50,25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44,14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49,55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3 040 630 558,75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255,88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51,57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55,28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44,51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55,57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3 012 694 065,30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248,55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57,85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50,61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51,92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3 916 571 489,41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241,58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73,08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60,14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79,48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77,75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3 555 147 755,23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138,68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74,79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Via SA</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722 288 527,01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140,28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40,92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18,35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1 568 860 127,17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366,39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32,17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1 464 279 947,54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431,47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62,19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44,24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3 612 034 064,83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1813,84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54,55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38,98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4 970 067 612,50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218,41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30,60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0,13</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Споживчі товари повсякденного попиту</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Grupo Nutresa SA</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3 817 752 117,36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37,27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75,79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54,58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4 294 074 002,54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33,87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68,34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43,23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3 332 172 962,40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33,45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40,44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3 560 155 428,12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47,22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66,07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68,27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41,43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3 234 137 645,92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51,18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65,12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85,55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43,97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Grupo Carso SAB de CV</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9 144 472 527,27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16,01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16,37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12,63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21,57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16,59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7 540 365 080,03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12,94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12,64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19,06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22,08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8 178 902 411,69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21,99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28,18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22,31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41,25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8 410 352 081,70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20,42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14,08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18,81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20,88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7 575 655 014,34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29,71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16,80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14,96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17,57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Kimberly-Clark de Mexico SAB de CV</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5 504 255 035,29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18,58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328,29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55,55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46,04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43,70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88,07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5 331 387 400,55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14,27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379,14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67,13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69,06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86,29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5 190 430 574,61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14,89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439,74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67,61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49,93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67,70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85,12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6 083 280 327,98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18,01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483,12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65,13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77,42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5 284 009 205,70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18,68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583,04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65,92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67,69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70,94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0,10</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Фінанси</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Popular Inc</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4 547 601 739,52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39,89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47,35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60,83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3 622 099 675,74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40,01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41,02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48,80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44,17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4 719 301 140,90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28,67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41,05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45,38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48,67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5 615 890 703,75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21,85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28,67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4 744 635 315,20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22,71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45,51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29,66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53,31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41,11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Bancolombia SA</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8 378 352 840,84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178,48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62,66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39,35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65,42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9 664 020 836,98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152,64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62,44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41,17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58,54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9 149 973 256,09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148,28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70,37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63,57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68,84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13 139 616 770,28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130,57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66,81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64,09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61,11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9 869 369 790,58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124,30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50,22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62,42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18,57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Banco Macro SA</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3 441 914 162,64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37,19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40,69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47,70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42,22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7 158 059 772,04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34,53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43,69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11,17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52,31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2 759 340 126,49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40,76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58,78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2 902 613 880,35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31,55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63,85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65,35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67,63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1 728 972 460,33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27,53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53,27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65,50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0,56</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Охорона здоров</w:t>
            </w:r>
            <w:r>
              <w:rPr>
                <w:rFonts w:eastAsia="Calibri" w:cs="Times New Roman" w:ascii="Times New Roman" w:hAnsi="Times New Roman"/>
                <w:i/>
                <w:iCs/>
                <w:kern w:val="0"/>
                <w:sz w:val="14"/>
                <w:szCs w:val="14"/>
                <w:lang w:val="uk-UA" w:eastAsia="en-US" w:bidi="ar-SA"/>
              </w:rPr>
              <w:t>'</w:t>
            </w:r>
            <w:r>
              <w:rPr>
                <w:rFonts w:eastAsia="Calibri" w:cs="Times New Roman" w:ascii="Times New Roman" w:hAnsi="Times New Roman"/>
                <w:kern w:val="0"/>
                <w:sz w:val="14"/>
                <w:szCs w:val="14"/>
                <w:lang w:val="uk-UA" w:eastAsia="en-US" w:bidi="ar-SA"/>
              </w:rPr>
              <w:t>я</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Diagnosticos da America SA</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1 620 295 604,72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47,32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15,81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17,79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29,53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2 491 015 633,58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54,10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10,71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25,54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2 097 859 801,19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76,64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12,93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6 814 891 697,52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114,61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13,23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6 690 501 918,57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192,97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14,10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Odontoprev SA</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1 762 688 548,86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23,99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30,96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26,86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2 276 522 389,88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54,39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23,61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42,12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29,69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1 714 350 992,88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26,80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36,28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55,61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28,42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36,06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2 075 869 522,67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23,75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30,39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26,44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29,13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1 438 520 570,36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28,19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38,93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50,68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33,18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Hypera SA</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4 053 212 670,05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10,42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27,07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58,02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5 874 157 201,66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11,28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11,91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64,79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4 455 431 824,20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11,89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49,16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64,62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5 266 405 866,90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16,63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60,09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80,23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4 062 039 061,18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60,51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72,30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52,66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82,72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0,40</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Технології</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Telecom Argentina SA</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1 403 280 976,40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12,96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59,16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22,16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64,57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3 972 400 308,37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44,84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48,26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55,41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1 826 436 218,42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33,04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72,96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70,37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78,52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1 835 159 838,29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47,90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65,54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78,04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62,03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1 467 882 213,41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50,72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61,14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42,28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America Movil SAB de CV</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28 412 012 330,86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261,16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46,92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65,04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39 193 176 532,23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267,76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33,07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61,08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70,85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32 328 695 561,64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259,86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57,24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75,18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36 234 965 622,94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328,26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43,75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55,24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77,35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33 765 216 072,96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234,11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56,58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Tim SA</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5 142 749 422,44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49,58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70,47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77,37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74,53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8 560 044 557,93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36,24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73,19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49,31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6 722 876 645,01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18,20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72,75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56,22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8 926 950 517,30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12,55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43,73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81,28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81,17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70,33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6 716 172 853,48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46,26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71,11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0,15</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Комунальні послуги</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Luz del Sur SAA</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1 464 107 470,67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12,44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71,90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16,34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42,50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1 473 207 363,75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12,34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72,80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16,34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43,13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1 372 259 181,07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13,21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74,72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15,56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44,74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3 478 956 344,01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12,96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66,65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12,72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36,61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3 235 010 504,50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73,39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12,36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Companhia Energetica de Minas Gerais CEMIG</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2 439 995 695,88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117,36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68,50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39,95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2 439 401 608,08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100,47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44,88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4 660 313 524,88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91,84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87,85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66,55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50,08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4 772 302 013,60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93,55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91,02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81,13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49,58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4 174 159 173,91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87,24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72,93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86,69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43,45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Engie Brasil Energia SA</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5 369 118 791,30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13,91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46,70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82,34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94,30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85,93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57,34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5 548 284 736,29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15,44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98,85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89,09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94,73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74,24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6 169 808 428,53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13,71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153,79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86,60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91,17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72,43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9 494 514 491,29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11,46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212,86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92,70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89,73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79,89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6 602 761 976,29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11,29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218,14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89,95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85,72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90,48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0,66</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Нерухомість</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Multiplan Empreendimentos Imobiliarios SA</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3 084 721 844,16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64,68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48,37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3 889 428 831,33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52,57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53,38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55,91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47,59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3 616 710 825,36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52,57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57,35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58,47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53,60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4 832 749 117,71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55,51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53,06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53,47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50,92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55,02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2 721 740 452,62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10,63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50,08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52,14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43,30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BR Malls Participacoes SA</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2 074 645 426,79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49,58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35,42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36,70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3 112 068 517,52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31,82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17,14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51,33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36,89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2 746 337 477,79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25,59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51,04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35,48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3 921 641 209,64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23,57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35,50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13,28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45,79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45,64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1 664 343 184,38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34,67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37,64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19,13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47,04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Fibra Uno Administracion SA de CV</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4 361 449 228,94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53,29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48,70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35,47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71,00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4 949 024 079,54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46,13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69,08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45,22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75,37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4 006 928 143,12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50,50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71,34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66,85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69,16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78,64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5 772 201 241,94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64,21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75,27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79,08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4 388 629 769,10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72,25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91,72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80,59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0,16</w:t>
            </w:r>
          </w:p>
        </w:tc>
      </w:tr>
    </w:tbl>
    <w:p>
      <w:pPr>
        <w:pStyle w:val="Normal"/>
        <w:rPr>
          <w:rFonts w:ascii="Times New Roman" w:hAnsi="Times New Roman" w:cs="Times New Roman"/>
          <w:sz w:val="28"/>
          <w:szCs w:val="28"/>
          <w:lang w:val="uk-UA"/>
        </w:rPr>
      </w:pPr>
      <w:r>
        <w:rPr>
          <w:rFonts w:cs="Times New Roman" w:ascii="Times New Roman" w:hAnsi="Times New Roman"/>
          <w:sz w:val="28"/>
          <w:szCs w:val="28"/>
          <w:lang w:val="uk-UA"/>
        </w:rPr>
        <w:t>Джерело: складено автором.</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ДОДАТОК Д</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 xml:space="preserve">Вибірка даних для провідних компаній Північної Америки </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tbl>
      <w:tblPr>
        <w:tblStyle w:val="a8"/>
        <w:tblW w:w="9644" w:type="dxa"/>
        <w:jc w:val="center"/>
        <w:tblInd w:w="0" w:type="dxa"/>
        <w:tblLayout w:type="fixed"/>
        <w:tblCellMar>
          <w:top w:w="0" w:type="dxa"/>
          <w:left w:w="108" w:type="dxa"/>
          <w:bottom w:w="0" w:type="dxa"/>
          <w:right w:w="108" w:type="dxa"/>
        </w:tblCellMar>
        <w:tblLook w:firstRow="1" w:noVBand="1" w:lastRow="0" w:firstColumn="1" w:lastColumn="0" w:noHBand="0" w:val="04a0"/>
      </w:tblPr>
      <w:tblGrid>
        <w:gridCol w:w="567"/>
        <w:gridCol w:w="1247"/>
        <w:gridCol w:w="584"/>
        <w:gridCol w:w="1519"/>
        <w:gridCol w:w="906"/>
        <w:gridCol w:w="1474"/>
        <w:gridCol w:w="625"/>
        <w:gridCol w:w="624"/>
        <w:gridCol w:w="624"/>
        <w:gridCol w:w="624"/>
        <w:gridCol w:w="848"/>
      </w:tblGrid>
      <w:tr>
        <w:trPr>
          <w:trHeight w:val="567" w:hRule="atLeast"/>
        </w:trPr>
        <w:tc>
          <w:tcPr>
            <w:tcW w:w="567"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Інду-стрія</w:t>
            </w:r>
          </w:p>
        </w:tc>
        <w:tc>
          <w:tcPr>
            <w:tcW w:w="1247"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Компанія</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Рік</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Ринкова капіталізація, дол. США</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Рентабель-ність активів, %</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Співвідношення позикового капіталу до власного</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ESG</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S</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G</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Прибуток на акцію, дол. США</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Енергетика</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Enerplus Corp</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3 063 752 515,46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52,64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52,54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37,24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87,96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2 980 607 312,95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12,07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50,15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43,91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37,92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81,11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2 588 311 922,40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16,71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34,83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42,63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39,12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80,62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2 051 129 234,25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41,22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44,19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69,08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885 739 448,00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-58,73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91,55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40,12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42,33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77,49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Weatherford International PLC</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-20,98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366,63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-23,70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71,15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80,06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41,10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-33,73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82,69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53,36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28 067 407 720,30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54,76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74,55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75,18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19,45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51,93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420 104 136,00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-28,51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278,98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49,06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49,73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75,79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10,25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-27,44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EOG Resources Inc</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57 548 285 692,45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49,97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42,19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40,04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63,00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61 612 384 809,66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39,22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47,44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42,79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73,32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49 938 497 091,18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13,30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31,42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45,06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40,69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35,68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68,17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48 116 871 138,92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9,98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23,92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86,52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28 727 877 644,77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28,65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52,69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44,19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47,50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74,41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-1,04</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Базові матеріали</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Ecolab Inc</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34 175 724 385,02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95,93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70,69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65,30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87,93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50,99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38 766 521 444,90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95,67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85,61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45,40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42 565 444 212,20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87,48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71,73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84,13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48,38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55 628 282 703,21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72,82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73,92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84,70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49,46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61 758 919 793,88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107,82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67,56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NewMarket Corp</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5 021 933 511,36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25,40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105,18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22,60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15,37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71,99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20,54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4 710 306 190,73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100,21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16,75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62,49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18,79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4 609 013 187,38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17,03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157,58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22,91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74,59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19,82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5 443 452 859,48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18,51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96,19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23,33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24,05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61,93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22,73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4 349 880 024,81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17,35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80,42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70,54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24,64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FMC Corp</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6 560 034 122,55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94,98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63,44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55,48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75,79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11 013 708 662,05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117,68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60,56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51,20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61,54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75,44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8 478 344 534,65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84,48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85,21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12 889 187 027,08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127,23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82,00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14 866 607 294,19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109,50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64,25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76,67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4,43</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Промисловість</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Emerson Electric Co</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35 928 089 897,25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11,30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53,09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67,17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68,24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84,04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43,78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44 728 424 510,22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13,34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52,95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69,51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57,14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37 412 976 230,50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13,98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69,15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66,66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73,34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60,39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46 454 071 457,10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10,77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88,62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80,17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48 064 431 962,79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12,24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67,17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71,08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67,91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71,93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Equifax Inc</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14 159 379 563,07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13,04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98,20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32,05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40,60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40,75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14 159 760 017,92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10,74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83,49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42,61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47,30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11 229 156 921,01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83,52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33,55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30,63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58,81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16 966 203 766,08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128,96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20,71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29,06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41,32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23 457 627 442,20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136,39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46,35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77,52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Expeditors International of Washington Inc</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9 552 641 411,04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25,65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49,37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76,45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11 495 597 366,50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24,33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55,54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48,70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72,44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11 751 658 274,84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25,45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55,35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54,57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58,76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13 286 903 134,90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22,72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55,19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57,81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16 098 859 966,12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22,20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54,92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60,84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4,07</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Споживчі товари вибіркового попиту</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Ford Motor Co</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47 663 280 339,34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489,84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91,34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45,81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49 060 410 787,77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433,32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78,50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44,97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30 430 960 895,25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428,77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89,28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90,68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61,15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36 873 542 053,50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467,37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81,80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89,08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56,60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34 347 586 746,36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524,76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79,72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88,05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46,61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G-III Apparel Group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1 437 787 847,08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45,22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26,14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55,48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1 810 596 356,17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34,89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38,27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1 376 527 321,43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32,51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21,39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19,91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33,78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1 602 150 833,00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30,80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38,31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1 148 035 253,12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38,34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27,52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23,14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47,04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Tegna Inc</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2 938 445 345,02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158,38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18,38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31,16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72,70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3 030 097 987,84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302,27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48,93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27,31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77,12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2 340 332 848,70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9,94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219,58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33,72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52,04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83,87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3 620 121 951,88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262,78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54,96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68,36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3 058 419 692,25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172,65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33,93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55,44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72,12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2,19</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Споживчі товари повсякденного попиту</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Constellation Brands Inc</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30 824 330 516,17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11,71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134,18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36,30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44,75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22,86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44 684 474 998,49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11,95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127,47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33,55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34,95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25,33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21,14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30 624 046 136,70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16,66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106,07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42,24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43,93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22,54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36 186 312 398,44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97,68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36,42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49,61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14,07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42 348 341 081,99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74,97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33,68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48,92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10,29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Empire Company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3 180 005 916,72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50,53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30,37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5 290 175 230,85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44,22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41,33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58,48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5 745 644 227,24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49,50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34,95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40,80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74,28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6 340 312 730,03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172,93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54,68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45,19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47,07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74,39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7 343 591 617,18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158,59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46,44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61,05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Archer-Daniels-Midland Co</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26 266 995 163,75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40,34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72,44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22 414 752 504,96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40,90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76,42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87,03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22 969 600 043,75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44,16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73,42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83,22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25 802 410 700,25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46,20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81,30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86,21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28 047 571 960,09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49,59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80,95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82,02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84,09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3,13</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Фінанси</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Fairfax Financial Holdings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11 855 626 388,31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40,33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21,19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19,80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-24,18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15 703 656 254,05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34,84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20,38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17,63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73,50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12 786 418 220,90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37,32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22,20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24,74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11,65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13 325 006 570,20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48,75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26,02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30,15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69,79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9 811 649 302,32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58,57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27,63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26,95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35,77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Fifth Third Bancorp</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20 378 896 580,46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108,61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45,92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59,42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62,12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21 407 335 671,12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115,27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64,31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62,30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70,45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15 426 635 515,07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102,16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65,73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63,33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73,40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21 815 175 783,78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73,79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70,44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63,07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65,17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19 641 417 194,40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68,96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71,36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Regions Financial Corp</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17 676 799 248,08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46,59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52,52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51,47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70,34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20 044 307 399,04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53,31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78,83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13 833 183 811,20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92,94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47,14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47,71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69,83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16 553 206 801,56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60,93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67,12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72,17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58,43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15 482 355 232,76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19,71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77,25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37,35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1,03</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Охорона здоров</w:t>
            </w:r>
            <w:r>
              <w:rPr>
                <w:rFonts w:eastAsia="Calibri" w:cs="Times New Roman" w:ascii="Times New Roman" w:hAnsi="Times New Roman"/>
                <w:i/>
                <w:iCs/>
                <w:kern w:val="0"/>
                <w:sz w:val="14"/>
                <w:szCs w:val="14"/>
                <w:lang w:val="uk-UA" w:eastAsia="en-US" w:bidi="ar-SA"/>
              </w:rPr>
              <w:t>'</w:t>
            </w:r>
            <w:r>
              <w:rPr>
                <w:rFonts w:eastAsia="Calibri" w:cs="Times New Roman" w:ascii="Times New Roman" w:hAnsi="Times New Roman"/>
                <w:kern w:val="0"/>
                <w:sz w:val="14"/>
                <w:szCs w:val="14"/>
                <w:lang w:val="uk-UA" w:eastAsia="en-US" w:bidi="ar-SA"/>
              </w:rPr>
              <w:t>я</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Abbott Laboratories</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56 551 408 778,43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104,03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58,20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81,04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99 336 081 207,09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89,79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84,29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127 035 568 204,56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63,69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76,04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81,22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74,77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153 608 062 536,30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56,21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81,54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85,33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79,40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194 055 869 503,69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56,80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77,61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88,69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42,96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DENTSPLY SIRONA Inc</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13 328 729 533,10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18,86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46,91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22,55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15 120 025 767,81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-14,62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24,77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11,25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55,08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24,90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8 280 997 126,25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-10,06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32,29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57,33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33,63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12 586 390 264,38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28,17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28,64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54,16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26,15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11 443 553 361,24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45,81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67,73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82,69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34,51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Amgen Inc</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108 768 904 777,33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12,29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115,80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66,33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77,42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64,65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10,24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126 235 848 992,50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12,18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140,02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74,75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78,80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67,86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10,99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124 047 470 229,48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13,04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271,43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77,13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81,72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53,67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12,62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143 239 826 228,87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14,49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309,14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76,38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62,73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12,88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133 852 207 271,04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13,26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350,58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74,70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76,81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81,79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62,54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12,31</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Технології</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Electronic Arts Inc</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23 766 263 888,84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16,39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24,38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32,73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50,30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54,86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32 350 648 092,18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17,78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21,65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31,96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65,57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23 840 975 401,36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12,30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18,70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51,57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58,26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31 390 652 936,63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15,03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13,35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62,42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10,30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41 655 126 271,60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23,93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49,50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51,02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52,24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Verizon Communications Inc</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217 610 720 357,76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449,73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57,68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51,63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215 924 803 449,48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262,03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59,09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64,44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232 301 888 978,22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206,66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61,40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253 937 150 432,60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177,43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72,96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243 113 044 061,25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186,31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79,55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Fair Isaac Corp</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3 687 288 497,58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12,22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141,79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32,20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37,64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36,79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4 597 451 416,80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12,14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265,78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34,92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42,79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5 414 590 236,00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15,64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284,64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55,82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10 851 336 784,16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16,91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253,62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19,35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48,63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50,50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14 870 332 374,08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29,81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35,05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13,40</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Комунальні послуги</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Nextera Energy Inc</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55 819 832 532,42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121,75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68,09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80,53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73 471 398 176,39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118,60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67,52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75,35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83 076 444 571,74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100,97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68,56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59,70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65,73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118 361 972 670,48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103,09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72,66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73,77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151 142 568 666,60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107,31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33,44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Fortis Inc</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16 577 115 484,08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138,35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51,31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70,52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19 347 702 051,30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131,75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35,27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72,45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19 420 108 799,43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134,30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59,85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52,70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48,48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86,79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24 669 379 287,72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115,05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73,24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87,87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24 159 596 240,00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122,41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73,50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64,37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90,66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AES Corp</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7 659 624 422,80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341,30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55,75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35,69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98,50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7 151 986 509,78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412,07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60,96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95,94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9 576 821 546,34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344,31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58,20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32,85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97,85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13 212 657 854,40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385,79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43,61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65,96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97,41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15 630 581 978,00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421,21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68,06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68,38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96,47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0,07</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Нерухомість</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Federal Realty Investment Trust</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10 201 579 515,00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134,81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69,45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9 634 949 804,70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137,35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55,13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43,19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71,14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8 718 805 281,68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130,88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59,42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52,33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51,04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75,57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9 724 367 698,92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130,06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57,18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70,21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6 439 084 727,04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171,20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81,48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Getty Realty Corp</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865 114 643,26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69,28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33,38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29,27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60,07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1 075 803 770,44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68,48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60,64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1 192 085 000,02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76,47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37,70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17,60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67,24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1 359 761 098,02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80,29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30,55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68,68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1 178 886 328,20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83,74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25,04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62,45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Alexander's Inc</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2 179 681 886,52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298,25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15,28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18,91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16,91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2 021 720 746,50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360,58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18,56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15,74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1 556 395 554,60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338,78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13,25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26,92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15,88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11,07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1 687 193 251,50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383,00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45,93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58,64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24,01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11,74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1 416 506 881,50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568,90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60,13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28,91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8,19</w:t>
            </w:r>
          </w:p>
        </w:tc>
      </w:tr>
    </w:tbl>
    <w:p>
      <w:pPr>
        <w:pStyle w:val="Normal"/>
        <w:rPr>
          <w:rFonts w:ascii="Times New Roman" w:hAnsi="Times New Roman" w:cs="Times New Roman"/>
          <w:sz w:val="28"/>
          <w:szCs w:val="28"/>
          <w:lang w:val="uk-UA"/>
        </w:rPr>
      </w:pPr>
      <w:r>
        <w:rPr>
          <w:rFonts w:cs="Times New Roman" w:ascii="Times New Roman" w:hAnsi="Times New Roman"/>
          <w:sz w:val="28"/>
          <w:szCs w:val="28"/>
          <w:lang w:val="uk-UA"/>
        </w:rPr>
        <w:t>Джерело: складено автором.</w:t>
      </w:r>
      <w:r>
        <w:br w:type="page"/>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ДОДАТОК Е</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 xml:space="preserve">Вибірка даних для провідних компаній Океанії </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tbl>
      <w:tblPr>
        <w:tblStyle w:val="a8"/>
        <w:tblW w:w="9644" w:type="dxa"/>
        <w:jc w:val="center"/>
        <w:tblInd w:w="0" w:type="dxa"/>
        <w:tblLayout w:type="fixed"/>
        <w:tblCellMar>
          <w:top w:w="0" w:type="dxa"/>
          <w:left w:w="108" w:type="dxa"/>
          <w:bottom w:w="0" w:type="dxa"/>
          <w:right w:w="108" w:type="dxa"/>
        </w:tblCellMar>
        <w:tblLook w:firstRow="1" w:noVBand="1" w:lastRow="0" w:firstColumn="1" w:lastColumn="0" w:noHBand="0" w:val="04a0"/>
      </w:tblPr>
      <w:tblGrid>
        <w:gridCol w:w="567"/>
        <w:gridCol w:w="1247"/>
        <w:gridCol w:w="584"/>
        <w:gridCol w:w="1519"/>
        <w:gridCol w:w="906"/>
        <w:gridCol w:w="1474"/>
        <w:gridCol w:w="625"/>
        <w:gridCol w:w="624"/>
        <w:gridCol w:w="624"/>
        <w:gridCol w:w="624"/>
        <w:gridCol w:w="848"/>
      </w:tblGrid>
      <w:tr>
        <w:trPr>
          <w:trHeight w:val="567" w:hRule="atLeast"/>
        </w:trPr>
        <w:tc>
          <w:tcPr>
            <w:tcW w:w="567"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Інду-стрія</w:t>
            </w:r>
          </w:p>
        </w:tc>
        <w:tc>
          <w:tcPr>
            <w:tcW w:w="1247"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Компанія</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Рік</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Ринкова капіталізація, дол. США</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Рентабель-ність активів, %</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Співвідношення позикового капіталу до власного</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ESG</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S</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G</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Прибуток на акцію, дол. США</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Енергетика</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Oil Search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7 877 124 771,13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86,23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42,75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51,66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28,33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9 259 074 755,57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76,13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28,33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7 689 894 609,42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66,30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49,52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61,67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7 761 305 221,28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72,16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47,47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61,67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5 931 170 696,27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59,36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41,13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71,67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Ampol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5 731 804 086,91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16,60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24,85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44,57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39,91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61,34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6 927 754 633,94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14,81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27,64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44,60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60,59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4 684 379 131,80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11,94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28,37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66,95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48,17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74,27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5 952 088 452,24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54,45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59,80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73,47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5 460 179 001,12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53,20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68,54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66,89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Santos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5 893 794 850,05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42,66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44,50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38,57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8 855 590 021,81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55,14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31,22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28,44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8 045 977 080,55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67,58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30,60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15,60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11 963 419 059,22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57,60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37,47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45,26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10 048 998 044,90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69,17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46,57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51,42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49,39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-0,17</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Базові матеріали</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Adbri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2 473 455 201,14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13,89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26,10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33,33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71,37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3 237 040 158,34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13,31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35,48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58,91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71,86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1 941 033 339,24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12,27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43,01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40,06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70,67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1 583 208 833,83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53,75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53,52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40,92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70,28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1 681 210 038,28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46,17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50,06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53,08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63,56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Brambles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13 858 680 596,62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95,98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83,80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12 188 919 982,92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89,56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73,52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74,39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73,38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72,43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11 118 378 909,43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57,78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74,16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83,93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12 741 373 148,60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91,34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69,06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65,95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80,31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12 010 654 040,09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10,91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91,59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70,51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64,16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86,31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Brickworks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1 462 010 326,17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15,85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25,17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47,37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1 733 149 638,12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15,65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28,72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50,73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1 755 697 908,13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14,96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39,17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33,51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29,57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62,90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1 966 465 665,51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11,25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31,26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50,16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43,28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52,55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58,90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2 239 456 559,77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34,53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42,07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52,12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63,61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1,16</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Промисловість</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ALS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2 197 325 150,23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62,56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55,61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39,71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64,60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55,26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2 730 980 848,16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62,03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38,20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36,80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2 326 355 014,60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10,77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72,03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49,63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82,48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49,40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3 109 368 195,57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130,33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70,20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57,64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67,75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3 567 024 295,89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89,62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78,27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88,36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CIMIC Group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8 174 189 624,63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35,46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42,35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41,75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13 014 309 454,04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9,51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46,78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46,73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37,76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9 922 081 010,26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10,72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62,62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60,18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77,30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43,21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7 532 342 725,55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-21,57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252,42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81,95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63,96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5 836 891 902,87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-16,99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359,98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61,55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51,32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LendLease Group</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6 149 565 189,51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35,06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50,40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38,81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75,53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7 448 494 335,03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36,77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58,93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56,14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39,56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89,51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4 622 454 054,86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42,71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84,43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6 975 233 500,29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42,40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57,27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38,48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82,79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6 937 859 655,33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40,73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51,42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86,62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0,24</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Споживчі товари вибіркового попиту</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Wesfarmers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22 989 997 922,60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22,61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91,24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60,11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26 269 354 195,67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18,12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75,05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83,25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71,93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24 104 213 167,59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10,13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30,38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81,95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80,30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96,72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68,27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31 750 355 271,10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10,85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105,93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83,57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75,08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81,45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42 512 451 106,31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13,06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104,24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84,22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73,66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92,50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84,92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Aristocrat Leisure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7 112 434 870,03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23,19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89,13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22,56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30,75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71,10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11 758 417 944,51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16,70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166,30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30,68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67,45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9 791 075 816,33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15,98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130,28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23,55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71,52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15 034 616 626,11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111,54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43,91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68,68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15 169 251 251,55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11,33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90,88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46,92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44,48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51,09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42,86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Premier Investments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1 640 198 640,49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12,99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39,15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73,07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1 828 607 991,62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13,06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47,44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41,09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75,11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1 640 228 157,74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12,41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44,16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65,04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2 087 329 539,26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33,44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75,84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2 873 625 655,58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15,87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25,07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77,79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1,25</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Споживчі товари повсякденного попиту</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Elders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322 077 360,59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15,91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50,64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30,69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52,06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737 629 644,32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59,98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26,96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39,59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604 851 057,80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20,61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39,24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707 158 268,70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42,86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35,96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37,79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56,71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1 186 143 208,51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34,03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41,12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26,17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38,64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61,84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EBOS Group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1 760 910 097,39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51,79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20,80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30,17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2 005 057 457,61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54,27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20,60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28,45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2 057 409 861,98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42,96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17,66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19,08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26,38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2 648 241 553,26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61,71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15,31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20,52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3 384 600 595,11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48,40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39,22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34,72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56,85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Blackmores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1 284 601 465,41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19,18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44,16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57,16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58,24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39,73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2 273 377 239,59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22,28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44,48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61,58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51,80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1 487 459 829,73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14,93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57,29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81,75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72,74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74,43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1 035 681 750,88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37,50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92,20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62,01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1 124 647 266,63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85,09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64,99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1,11</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Фінанси</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QBE Insurance Group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12 290 862 417,44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33,62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64,30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54,22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75,98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11 327 433 241,33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40,62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73,33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61,19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69,11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9 459 511 813,11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37,95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67,39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82,96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86,77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11 832 165 877,60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41,63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83,50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89,05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83,39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81,78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9 653 253 779,25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39,87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88,98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86,42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62,60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Bank of Queensland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3 297 113 782,38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249,50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57,70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19,95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74,08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3 895 617 629,98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252,28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59,34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75,24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2 747 238 216,83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301,55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59,70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23,86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57,24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77,42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2 249 886 127,99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259,73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24,28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80,09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2 712 459 160,90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278,75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68,27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81,82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Suncorp Group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12 015 690 263,12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1,67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126,81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79,75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13 378 421 994,16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137,92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69,15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44,35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66,28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80,75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11 094 324 920,14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143,31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71,48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66,22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87,18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11 401 837 997,75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139,64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43,50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86,63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9 536 695 319,48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170,17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80,35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81,50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84,28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75,38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0,58</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Охорона здоров</w:t>
            </w:r>
            <w:r>
              <w:rPr>
                <w:rFonts w:eastAsia="Calibri" w:cs="Times New Roman" w:ascii="Times New Roman" w:hAnsi="Times New Roman"/>
                <w:i/>
                <w:iCs/>
                <w:kern w:val="0"/>
                <w:sz w:val="14"/>
                <w:szCs w:val="14"/>
                <w:lang w:val="uk-UA" w:eastAsia="en-US" w:bidi="ar-SA"/>
              </w:rPr>
              <w:t>'</w:t>
            </w:r>
            <w:r>
              <w:rPr>
                <w:rFonts w:eastAsia="Calibri" w:cs="Times New Roman" w:ascii="Times New Roman" w:hAnsi="Times New Roman"/>
                <w:kern w:val="0"/>
                <w:sz w:val="14"/>
                <w:szCs w:val="14"/>
                <w:lang w:val="uk-UA" w:eastAsia="en-US" w:bidi="ar-SA"/>
              </w:rPr>
              <w:t>я</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Fisher &amp; Paykel Healthcare Corporation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3 355 715 898,36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28,99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49,06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5 808 049 041,51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28,14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10,82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71,41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47,17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86,19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63,26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5 008 709 262,76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26,10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75,36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45,22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85,68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75,83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8 590 004 206,83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28,05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13,99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77,72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70,24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13 652 201 548,08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40,92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80,38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94,66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78,09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Sonic Healthcare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6 427 719 111,24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73,18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65,19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59,06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73,69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7 536 908 753,47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65,28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61,31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47,44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64,66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64,21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7 121 445 387,79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55,27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68,25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63,11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9 588 556 063,80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81,49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66,45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76,56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56,41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11 819 228 313,80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15,31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49,73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69,39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74,72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70,81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Ansell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2 628 732 978,79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58,64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58,94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88,53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2 717 349 039,38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-9,94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35,61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69,11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68,92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90,87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2 063 877 881,63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38,66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73,91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74,79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90,09</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2 661 016 279,61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41,37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91,67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3 439 357 253,35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11,98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32,95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46,52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92,76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1,90</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Технології</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Spark New Zealand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4 271 679 324,18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17,17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59,78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39,09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42,25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70,11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4 648 283 312,91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14,08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113,28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47,38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47,19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35,87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70,62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5 080 896 841,96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14,59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129,62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46,93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54,71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73,96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5 358 086 940,71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13,44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143,15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56,25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44,29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51,16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75,64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6 253 677 215,41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13,06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126,61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38,56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92,52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TechnologyOne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1 268 126 915,68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24,85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6,44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42,17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23,90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1 216 850 269,72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30,39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44,05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25,84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1 376 992 851,65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25,35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33,17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19,64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46,19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26,02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1 853 943 762,86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23,76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20,64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54,16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26,95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43,23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0,14</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2 026 747 635,02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23,56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15,99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51,71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24,71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74,63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40,07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Altium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760 061 236,45</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14,48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21,80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20,73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29,26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1 349 000 403,98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17,85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33,03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29,22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46,22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1 996 347 309,31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22,51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31,75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42,12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0,40</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3 192 541 172,19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17,98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7,56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33,83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37,86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3 425 004 637,02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14,19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10,85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47,21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48,76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0,27</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Комунальні послуги</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Contact Energy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2 314 372 350,94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55,76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43,18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13,96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41,71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94,77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2 821 995 790,99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54,46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39,22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13,70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35,25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87,77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2 840 321 719,97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4,66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39,40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41,84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25,89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85,63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3 448 760 109,19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45,71</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47,24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32,35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69,11</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4 600 140 360,44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5,26</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29,24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43,68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33,66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79,00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Origin Energy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8 343 956 881,26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74,58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62,27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52,57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63,35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77,36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12 918 026 187,90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0,82</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62,89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58,92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77,55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0,12</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8 024 291 381,57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5,11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57,77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61,96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49,31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61,15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84,54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10 448 816 175,42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0,70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53,95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61,37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45,99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58,12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91,75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6 450 160 798,61</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-8,00</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53,27</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42,97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60,25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88,66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-0,98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APA Group</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6 890 046 611,04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2,59</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243,85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23,68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32,75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54,26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7 241 028 917,52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233,85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34,64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19,82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26,67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68,08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7 069 510 974,37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3,03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286,45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41,61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32,34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59,74</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9 195 278 524,56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341,78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42,56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47,27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40,47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8 760 369 652,18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336,35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33,35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31,33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24,66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0,00</w:t>
            </w:r>
          </w:p>
        </w:tc>
      </w:tr>
      <w:tr>
        <w:trPr>
          <w:trHeight w:val="23" w:hRule="atLeast"/>
          <w:cantSplit w:val="true"/>
        </w:trPr>
        <w:tc>
          <w:tcPr>
            <w:tcW w:w="567" w:type="dxa"/>
            <w:vMerge w:val="restart"/>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Нерухомість</w:t>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GPT Group</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6 525 041 459,83</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36,18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76,76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86,62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90,30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52,53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7 181 900 865,97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6,74</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36,25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85,88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90,05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52,82</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6 793 907 175,27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40,74</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80,99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84,31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79,51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78,50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0,56</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7 658 790 567,48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34,95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78,67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86,77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78,12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69,73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0,33</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6 744 315 670,79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-0,67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38,08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82,44</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88,47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76,95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80,57</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Stockland Corporation Ltd</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7 947 375 163,14</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6,98</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35,55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84,57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86,38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93,45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73,06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8 508 100 080,29</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37,95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83,10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90,59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92,32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65,73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5 969 085 577,16</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47,86</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82,65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91,38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65,08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7 734 125 738,98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0,13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55,78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85,42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94,49</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72,20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-0,01</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7 677 074 236,50</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5,61</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50,03</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86,46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88,72</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96,20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73,56</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0,35</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restart"/>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Charter Hall Retail REIT</w:t>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2016</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1 239 666 768,38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9,75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54,35</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52,47</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58,01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58,26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40,58</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0,48</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2017</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1 310 247 324,48</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5,35</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54,82</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54,51</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61,43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57,53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43,60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0,27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2018</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1 271 023 586,42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54,10</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52,65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62,96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60,78</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33,00</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0,09</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2019</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1 326 724 681,22</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1,47</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39,89</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49,85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59,95</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68,23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20,83</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0,07</w:t>
            </w:r>
          </w:p>
        </w:tc>
      </w:tr>
      <w:tr>
        <w:trPr>
          <w:trHeight w:val="23" w:hRule="atLeast"/>
          <w:cantSplit w:val="true"/>
        </w:trPr>
        <w:tc>
          <w:tcPr>
            <w:tcW w:w="56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1247" w:type="dxa"/>
            <w:vMerge w:val="continue"/>
            <w:tcBorders/>
            <w:textDirection w:val="btLr"/>
            <w:vAlign w:val="center"/>
          </w:tcPr>
          <w:p>
            <w:pPr>
              <w:pStyle w:val="Normal"/>
              <w:widowControl/>
              <w:spacing w:lineRule="auto" w:line="240" w:before="0" w:after="0"/>
              <w:ind w:left="113" w:right="113" w:hanging="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r>
          </w:p>
        </w:tc>
        <w:tc>
          <w:tcPr>
            <w:tcW w:w="58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2020</w:t>
            </w:r>
          </w:p>
        </w:tc>
        <w:tc>
          <w:tcPr>
            <w:tcW w:w="1519"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1 612 176 226,37</w:t>
            </w:r>
          </w:p>
        </w:tc>
        <w:tc>
          <w:tcPr>
            <w:tcW w:w="906"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9,03</w:t>
            </w:r>
          </w:p>
        </w:tc>
        <w:tc>
          <w:tcPr>
            <w:tcW w:w="147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39,38</w:t>
            </w:r>
          </w:p>
        </w:tc>
        <w:tc>
          <w:tcPr>
            <w:tcW w:w="625"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49,06</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56,73</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71,90</w:t>
            </w:r>
          </w:p>
        </w:tc>
        <w:tc>
          <w:tcPr>
            <w:tcW w:w="624"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18,65</w:t>
            </w:r>
          </w:p>
        </w:tc>
        <w:tc>
          <w:tcPr>
            <w:tcW w:w="848" w:type="dxa"/>
            <w:tcBorders/>
            <w:vAlign w:val="center"/>
          </w:tcPr>
          <w:p>
            <w:pPr>
              <w:pStyle w:val="Normal"/>
              <w:widowControl/>
              <w:spacing w:lineRule="auto" w:line="240" w:before="0" w:after="0"/>
              <w:jc w:val="center"/>
              <w:rPr>
                <w:rFonts w:ascii="Times New Roman" w:hAnsi="Times New Roman" w:cs="Times New Roman"/>
                <w:sz w:val="14"/>
                <w:szCs w:val="14"/>
                <w:lang w:val="uk-UA"/>
              </w:rPr>
            </w:pPr>
            <w:r>
              <w:rPr>
                <w:rFonts w:eastAsia="Calibri" w:cs="Times New Roman" w:ascii="Times New Roman" w:hAnsi="Times New Roman"/>
                <w:kern w:val="0"/>
                <w:sz w:val="14"/>
                <w:szCs w:val="14"/>
                <w:lang w:val="uk-UA" w:eastAsia="en-US" w:bidi="ar-SA"/>
              </w:rPr>
              <w:t>0,38</w:t>
            </w:r>
          </w:p>
        </w:tc>
      </w:tr>
    </w:tbl>
    <w:p>
      <w:pPr>
        <w:sectPr>
          <w:headerReference w:type="default" r:id="rId51"/>
          <w:type w:val="nextPage"/>
          <w:pgSz w:w="11906" w:h="16838"/>
          <w:pgMar w:left="1701" w:right="567" w:header="709" w:top="1134" w:footer="0" w:bottom="1418" w:gutter="0"/>
          <w:pgNumType w:fmt="decimal"/>
          <w:formProt w:val="false"/>
          <w:titlePg/>
          <w:textDirection w:val="lrTb"/>
          <w:docGrid w:type="default" w:linePitch="360" w:charSpace="4096"/>
        </w:sectPr>
        <w:pStyle w:val="Normal"/>
        <w:rPr>
          <w:rFonts w:ascii="Times New Roman" w:hAnsi="Times New Roman" w:cs="Times New Roman"/>
          <w:sz w:val="28"/>
          <w:szCs w:val="28"/>
        </w:rPr>
      </w:pPr>
      <w:r>
        <w:rPr>
          <w:rFonts w:cs="Times New Roman" w:ascii="Times New Roman" w:hAnsi="Times New Roman"/>
          <w:sz w:val="28"/>
          <w:szCs w:val="28"/>
          <w:lang w:val="uk-UA"/>
        </w:rPr>
        <w:t>Джерело: складено автором.</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ДОДАТОК Ж</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Практики українських компаній з досягнення Цілей сталого розвитку в 2016–2019 роках</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tbl>
      <w:tblPr>
        <w:tblStyle w:val="a8"/>
        <w:tblW w:w="9639" w:type="dxa"/>
        <w:jc w:val="left"/>
        <w:tblInd w:w="108" w:type="dxa"/>
        <w:tblLayout w:type="fixed"/>
        <w:tblCellMar>
          <w:top w:w="0" w:type="dxa"/>
          <w:left w:w="108" w:type="dxa"/>
          <w:bottom w:w="0" w:type="dxa"/>
          <w:right w:w="108" w:type="dxa"/>
        </w:tblCellMar>
        <w:tblLook w:firstRow="1" w:noVBand="1" w:lastRow="0" w:firstColumn="1" w:lastColumn="0" w:noHBand="0" w:val="04a0"/>
      </w:tblPr>
      <w:tblGrid>
        <w:gridCol w:w="1842"/>
        <w:gridCol w:w="3686"/>
        <w:gridCol w:w="1842"/>
        <w:gridCol w:w="2268"/>
      </w:tblGrid>
      <w:tr>
        <w:trPr/>
        <w:tc>
          <w:tcPr>
            <w:tcW w:w="1842" w:type="dxa"/>
            <w:vMerge w:val="restart"/>
            <w:tcBorders/>
            <w:vAlign w:val="center"/>
          </w:tcPr>
          <w:p>
            <w:pPr>
              <w:pStyle w:val="Normal"/>
              <w:widowControl/>
              <w:spacing w:lineRule="auto" w:line="240" w:before="0" w:after="0"/>
              <w:jc w:val="center"/>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Цілі Сталого Розвитку в Україні</w:t>
            </w:r>
          </w:p>
        </w:tc>
        <w:tc>
          <w:tcPr>
            <w:tcW w:w="3686" w:type="dxa"/>
            <w:vMerge w:val="restart"/>
            <w:tcBorders/>
            <w:vAlign w:val="center"/>
          </w:tcPr>
          <w:p>
            <w:pPr>
              <w:pStyle w:val="Normal"/>
              <w:widowControl/>
              <w:spacing w:lineRule="auto" w:line="240" w:before="0" w:after="0"/>
              <w:jc w:val="center"/>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Практики КСВ з досягнення Цілей сталого розвитку в 2016-2019 років</w:t>
            </w:r>
          </w:p>
        </w:tc>
        <w:tc>
          <w:tcPr>
            <w:tcW w:w="4110" w:type="dxa"/>
            <w:gridSpan w:val="2"/>
            <w:tcBorders/>
            <w:vAlign w:val="center"/>
          </w:tcPr>
          <w:p>
            <w:pPr>
              <w:pStyle w:val="Normal"/>
              <w:widowControl/>
              <w:spacing w:lineRule="auto" w:line="240" w:before="0" w:after="0"/>
              <w:jc w:val="center"/>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Практики КСВ в Україні 2019 року</w:t>
            </w:r>
          </w:p>
        </w:tc>
      </w:tr>
      <w:tr>
        <w:trPr>
          <w:trHeight w:val="884" w:hRule="atLeast"/>
        </w:trPr>
        <w:tc>
          <w:tcPr>
            <w:tcW w:w="1842" w:type="dxa"/>
            <w:vMerge w:val="continue"/>
            <w:tcBorders/>
            <w:vAlign w:val="center"/>
          </w:tcPr>
          <w:p>
            <w:pPr>
              <w:pStyle w:val="Normal"/>
              <w:widowControl/>
              <w:spacing w:lineRule="auto" w:line="240" w:before="0" w:after="0"/>
              <w:jc w:val="center"/>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2"/>
              </w:numPr>
              <w:spacing w:lineRule="auto" w:line="240" w:before="0" w:after="0"/>
              <w:contextualSpacing/>
              <w:jc w:val="center"/>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center"/>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Компанія</w:t>
            </w:r>
          </w:p>
        </w:tc>
        <w:tc>
          <w:tcPr>
            <w:tcW w:w="2268" w:type="dxa"/>
            <w:tcBorders/>
            <w:vAlign w:val="center"/>
          </w:tcPr>
          <w:p>
            <w:pPr>
              <w:pStyle w:val="Normal"/>
              <w:widowControl/>
              <w:spacing w:lineRule="auto" w:line="240" w:before="0" w:after="0"/>
              <w:jc w:val="center"/>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Назва ініціативи КСВ</w:t>
            </w:r>
          </w:p>
        </w:tc>
      </w:tr>
      <w:tr>
        <w:trPr>
          <w:trHeight w:val="1549" w:hRule="atLeast"/>
        </w:trPr>
        <w:tc>
          <w:tcPr>
            <w:tcW w:w="1842" w:type="dxa"/>
            <w:vMerge w:val="restart"/>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Ціль 1.</w:t>
            </w:r>
          </w:p>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Подолання бідності у всіх її формах та усюди</w:t>
            </w:r>
          </w:p>
        </w:tc>
        <w:tc>
          <w:tcPr>
            <w:tcW w:w="3686" w:type="dxa"/>
            <w:vMerge w:val="restart"/>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Освітні заходи з фінансової грамотності для дітей, які перебувають у школах-інтернатах;</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Допомога людям похилого віку при купівлі харчових продуктів.</w:t>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Альфа-Банк</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«Банк добра! Подаруй щасливе та гідне дитинство тим, хто цього потребує!»</w:t>
            </w:r>
          </w:p>
        </w:tc>
      </w:tr>
      <w:tr>
        <w:trPr>
          <w:trHeight w:val="1274" w:hRule="atLeast"/>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ГК «Ліга» і МБФ «Let’s help»</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Всеукраїнський флешмоб #letshelpbabusya (#letshelpbabushkas)</w:t>
            </w:r>
          </w:p>
        </w:tc>
      </w:tr>
      <w:tr>
        <w:trPr>
          <w:trHeight w:val="1845" w:hRule="atLeast"/>
        </w:trPr>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Ціль 2.</w:t>
            </w:r>
          </w:p>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Подолання голоду, розвиток сільського господарства</w:t>
            </w:r>
          </w:p>
        </w:tc>
        <w:tc>
          <w:tcPr>
            <w:tcW w:w="3686" w:type="dxa"/>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Надання допомоги мирним жителям Луганської та Донецької областей;</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Збільшення потужностей з виробництва харчових продуктів.</w:t>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r>
      <w:tr>
        <w:trPr>
          <w:trHeight w:val="702" w:hRule="atLeast"/>
        </w:trPr>
        <w:tc>
          <w:tcPr>
            <w:tcW w:w="1842" w:type="dxa"/>
            <w:vMerge w:val="restart"/>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Ціль 3.</w:t>
            </w:r>
          </w:p>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Забезпечення здорового способу життя та сприяння благополуччю для всіх в будь-якому віці</w:t>
            </w:r>
          </w:p>
        </w:tc>
        <w:tc>
          <w:tcPr>
            <w:tcW w:w="3686" w:type="dxa"/>
            <w:vMerge w:val="restart"/>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Відрахування суми від проданого товару або послуги для закупівлі обладнання, устаткування, ліків для хворих дітей;</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Впровадження проєктів SMS-благодійності;</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Підтримка і розвиток каністерапії;</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Придбання устаткування або медичного обладнання;</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Марафони, футбольні турніри;</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Лекції, листівки про здоровий спосіб життя;</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Підтримка дитячих футбольних команд;</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Підтримка занять спортом та активним відпочинком співробітників;</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Збір коштів для допомоги дітям з вадами серця;</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Безкоштовна діагностика зору дітей.</w:t>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Датагруп</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«Dataheart: спорт заради життя»</w:t>
            </w:r>
          </w:p>
        </w:tc>
      </w:tr>
      <w:tr>
        <w:trPr>
          <w:trHeight w:val="1266" w:hRule="atLeast"/>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Лінія магазинів «EVA»</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 xml:space="preserve">«Orange days в EVA» </w:t>
            </w:r>
            <w:r>
              <w:rPr>
                <w:rFonts w:eastAsia="Symbol" w:cs="Symbol" w:ascii="Symbol" w:hAnsi="Symbol"/>
                <w:kern w:val="0"/>
                <w:sz w:val="24"/>
                <w:szCs w:val="24"/>
                <w:lang w:val="uk-UA" w:eastAsia="en-US" w:bidi="ar-SA"/>
              </w:rPr>
              <w:t></w:t>
            </w:r>
            <w:r>
              <w:rPr>
                <w:rFonts w:eastAsia="Calibri" w:cs="Times New Roman" w:ascii="Times New Roman" w:hAnsi="Times New Roman"/>
                <w:kern w:val="0"/>
                <w:sz w:val="24"/>
                <w:szCs w:val="24"/>
                <w:lang w:val="uk-UA" w:eastAsia="en-US" w:bidi="ar-SA"/>
              </w:rPr>
              <w:t xml:space="preserve"> допомога передчасно народженим діткам</w:t>
            </w:r>
          </w:p>
        </w:tc>
      </w:tr>
      <w:tr>
        <w:trPr>
          <w:trHeight w:val="4246" w:hRule="atLeast"/>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ПрAT «Київстар»</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 xml:space="preserve">«Дитяча надія» </w:t>
            </w:r>
            <w:r>
              <w:rPr>
                <w:rFonts w:eastAsia="Symbol" w:cs="Symbol" w:ascii="Symbol" w:hAnsi="Symbol"/>
                <w:kern w:val="0"/>
                <w:sz w:val="24"/>
                <w:szCs w:val="24"/>
                <w:lang w:val="uk-UA" w:eastAsia="en-US" w:bidi="ar-SA"/>
              </w:rPr>
              <w:t></w:t>
            </w:r>
            <w:r>
              <w:rPr>
                <w:rFonts w:eastAsia="Calibri" w:cs="Times New Roman" w:ascii="Times New Roman" w:hAnsi="Times New Roman"/>
                <w:kern w:val="0"/>
                <w:sz w:val="24"/>
                <w:szCs w:val="24"/>
                <w:lang w:val="uk-UA" w:eastAsia="en-US" w:bidi="ar-SA"/>
              </w:rPr>
              <w:t xml:space="preserve"> проєкт SMS-благодійності, що спрямований на забезпечення дитячих онкологічних і кардіологічних диспансерів сучасним обладнанням, медичними витратними матеріалами й інструментами</w:t>
            </w:r>
          </w:p>
        </w:tc>
      </w:tr>
      <w:tr>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Nesтle</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Розвиток напряму каністерапії в Україні</w:t>
            </w:r>
          </w:p>
        </w:tc>
      </w:tr>
      <w:tr>
        <w:trPr>
          <w:trHeight w:val="993" w:hRule="atLeast"/>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АТ «Прикарпаттяобленерго»</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«Естафета добрих починань»</w:t>
            </w:r>
          </w:p>
        </w:tc>
      </w:tr>
      <w:tr>
        <w:trPr>
          <w:trHeight w:val="1854" w:hRule="atLeast"/>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ТзОВ «Ґудвелі Україна»</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 xml:space="preserve">«Курс на здоровий спосіб життя» </w:t>
            </w:r>
            <w:r>
              <w:rPr>
                <w:rFonts w:eastAsia="Symbol" w:cs="Symbol" w:ascii="Symbol" w:hAnsi="Symbol"/>
                <w:kern w:val="0"/>
                <w:sz w:val="24"/>
                <w:szCs w:val="24"/>
                <w:lang w:val="uk-UA" w:eastAsia="en-US" w:bidi="ar-SA"/>
              </w:rPr>
              <w:t></w:t>
            </w:r>
            <w:r>
              <w:rPr>
                <w:rFonts w:eastAsia="Calibri" w:cs="Times New Roman" w:ascii="Times New Roman" w:hAnsi="Times New Roman"/>
                <w:kern w:val="0"/>
                <w:sz w:val="24"/>
                <w:szCs w:val="24"/>
                <w:lang w:val="uk-UA" w:eastAsia="en-US" w:bidi="ar-SA"/>
              </w:rPr>
              <w:t xml:space="preserve"> залучення працівників до активних занять спортом</w:t>
            </w:r>
          </w:p>
        </w:tc>
      </w:tr>
      <w:tr>
        <w:trPr>
          <w:trHeight w:val="2445" w:hRule="atLeast"/>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Люксоптика</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Національний проект «Здоровий зір» – безкоштовна діагностика зору школярів, як реалізація стратегії сталого розвитку компанії</w:t>
            </w:r>
          </w:p>
        </w:tc>
      </w:tr>
      <w:tr>
        <w:trPr>
          <w:trHeight w:val="1904" w:hRule="atLeast"/>
        </w:trPr>
        <w:tc>
          <w:tcPr>
            <w:tcW w:w="1842" w:type="dxa"/>
            <w:vMerge w:val="restart"/>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Ціль 4.</w:t>
            </w:r>
          </w:p>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Забезпечення всеохоплюючої і справедливої якісної освіти та заохочення можливості навчання впродовж усього життя для всіх</w:t>
            </w:r>
          </w:p>
        </w:tc>
        <w:tc>
          <w:tcPr>
            <w:tcW w:w="3686" w:type="dxa"/>
            <w:vMerge w:val="restart"/>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Профорієнтаційна робота зі старшокласниками;</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Стажування студентів у компаніях;</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Проведення навчальних курсів у ВНЗ і на базі компаній;</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Оснащення навчальних закладів обладнанням і устаткуванням;</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Запровадження навчання дітей у лікарнях;</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Проведення курсів програмування та ІТ-грамотності для дітей та дорослих із сільської місцевості, навчання проєктних технологій дітей із сільської місцевості;</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Популяризація STEM-освіти;</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Програми лідерства для дітей співробітників;</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Освітні програми для держслужбовців;</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Освітні програми з формування soft skills;</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Підготовка дітей із шкіл-інтернатів до складання ЗНО;</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Програми підвищення професійної підготовки викладачів.</w:t>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Астарта</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«Підйом!» – майстерня лідерства та проектного менеджменту для молоді</w:t>
            </w:r>
          </w:p>
        </w:tc>
      </w:tr>
      <w:tr>
        <w:trPr>
          <w:trHeight w:val="983" w:hRule="atLeast"/>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Академія ДТЕК</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Проект «Суспільство та держава»</w:t>
            </w:r>
          </w:p>
        </w:tc>
      </w:tr>
      <w:tr>
        <w:trPr>
          <w:trHeight w:val="1832" w:hRule="atLeast"/>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ІП «Кока-Кола Беверіджиз Україна Лімітед» і ГС «Освіторія»</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«iLearn» – навчальна гейміфікована платформа</w:t>
            </w:r>
          </w:p>
        </w:tc>
      </w:tr>
      <w:tr>
        <w:trPr>
          <w:trHeight w:val="995" w:hRule="atLeast"/>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ТОВ «EPAM СИСТЕМЗ»</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Розширення соціального проєкту «eKids» на зовнішню аудиторію (в т.ч. діти з сімей, які опинилися у складних життєвих обставинах): навчання та моніторинг знань з програмування на всеукраїнському рівні</w:t>
            </w:r>
          </w:p>
        </w:tc>
      </w:tr>
      <w:tr>
        <w:trPr>
          <w:trHeight w:val="967" w:hRule="atLeast"/>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Метінвест холдинг</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Книга «Металургійна кухня»</w:t>
            </w:r>
          </w:p>
        </w:tc>
      </w:tr>
      <w:tr>
        <w:trPr>
          <w:trHeight w:val="1547" w:hRule="atLeast"/>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Нова пошта</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«Круто» – проєкт, що поєднує кар’єру, розвиток, успіх, таланти і освіту</w:t>
            </w:r>
          </w:p>
        </w:tc>
      </w:tr>
      <w:tr>
        <w:trPr>
          <w:trHeight w:val="975" w:hRule="atLeast"/>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ПУМБ</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«Кар’єра молоді в Україні: у викликах – можливості»</w:t>
            </w:r>
          </w:p>
        </w:tc>
      </w:tr>
      <w:tr>
        <w:trPr>
          <w:trHeight w:val="1980" w:hRule="atLeast"/>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IT-Інтегратор</w:t>
            </w:r>
          </w:p>
        </w:tc>
        <w:tc>
          <w:tcPr>
            <w:tcW w:w="2268" w:type="dxa"/>
            <w:tcBorders/>
            <w:vAlign w:val="center"/>
          </w:tcPr>
          <w:p>
            <w:pPr>
              <w:pStyle w:val="Normal"/>
              <w:widowControl/>
              <w:spacing w:lineRule="auto" w:line="240" w:before="0" w:after="0"/>
              <w:jc w:val="left"/>
              <w:rPr>
                <w:rFonts w:ascii="Times New Roman" w:hAnsi="Times New Roman" w:cs="Times New Roman"/>
                <w:b/>
                <w:b/>
                <w:sz w:val="24"/>
                <w:szCs w:val="24"/>
                <w:lang w:val="uk-UA"/>
              </w:rPr>
            </w:pPr>
            <w:r>
              <w:rPr>
                <w:rFonts w:eastAsia="Calibri" w:cs="Times New Roman" w:ascii="Times New Roman" w:hAnsi="Times New Roman"/>
                <w:kern w:val="0"/>
                <w:sz w:val="24"/>
                <w:szCs w:val="24"/>
                <w:lang w:val="uk-UA" w:eastAsia="en-US" w:bidi="ar-SA"/>
              </w:rPr>
              <w:t>Національні змагання для школярів з моделювання «розумних» пристроїв STEAM HOUSE</w:t>
            </w:r>
          </w:p>
        </w:tc>
      </w:tr>
      <w:tr>
        <w:trPr>
          <w:trHeight w:val="2110" w:hRule="atLeast"/>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Lifecell</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 xml:space="preserve">«Upgrade yourself with lifecell» </w:t>
            </w:r>
            <w:r>
              <w:rPr>
                <w:rFonts w:eastAsia="Symbol" w:cs="Symbol" w:ascii="Symbol" w:hAnsi="Symbol"/>
                <w:kern w:val="0"/>
                <w:sz w:val="24"/>
                <w:szCs w:val="24"/>
                <w:lang w:val="uk-UA" w:eastAsia="en-US" w:bidi="ar-SA"/>
              </w:rPr>
              <w:t></w:t>
            </w:r>
            <w:r>
              <w:rPr>
                <w:rFonts w:eastAsia="Calibri" w:cs="Times New Roman" w:ascii="Times New Roman" w:hAnsi="Times New Roman"/>
                <w:kern w:val="0"/>
                <w:sz w:val="24"/>
                <w:szCs w:val="24"/>
                <w:lang w:val="uk-UA" w:eastAsia="en-US" w:bidi="ar-SA"/>
              </w:rPr>
              <w:t xml:space="preserve"> комплексна програма тренінгів від експертів Lifecell для викладачів ЗВО</w:t>
            </w:r>
          </w:p>
        </w:tc>
      </w:tr>
      <w:tr>
        <w:trPr>
          <w:trHeight w:val="709" w:hRule="atLeast"/>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SoftServe</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Вдосконалення IT-освіти</w:t>
            </w:r>
          </w:p>
        </w:tc>
      </w:tr>
      <w:tr>
        <w:trPr>
          <w:trHeight w:val="705" w:hRule="atLeast"/>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Watsons Україна</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«B2S» – соціальний освітній проєкт</w:t>
            </w:r>
          </w:p>
        </w:tc>
      </w:tr>
      <w:tr>
        <w:trPr>
          <w:trHeight w:val="1821" w:hRule="atLeast"/>
        </w:trPr>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Ціль 5.</w:t>
            </w:r>
          </w:p>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Гендерна рівність</w:t>
            </w:r>
          </w:p>
        </w:tc>
        <w:tc>
          <w:tcPr>
            <w:tcW w:w="3686" w:type="dxa"/>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Професійне навчання і працевлаштування жінок, які постраждали від насилля;</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Розвиток програми балансу між роботою і сім’єю (відкриття дитячої кімнати).</w:t>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r>
      <w:tr>
        <w:trPr>
          <w:trHeight w:val="1550" w:hRule="atLeast"/>
        </w:trPr>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Ціль 6.</w:t>
            </w:r>
          </w:p>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Чиста вода та належні санітарні умови</w:t>
            </w:r>
          </w:p>
        </w:tc>
        <w:tc>
          <w:tcPr>
            <w:tcW w:w="3686" w:type="dxa"/>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Зменшення використання води на виробництві та її повторне використання для технічних потреб.</w:t>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r>
      <w:tr>
        <w:trPr/>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Ціль 7.</w:t>
            </w:r>
          </w:p>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Доступна та чиста енергія</w:t>
            </w:r>
          </w:p>
        </w:tc>
        <w:tc>
          <w:tcPr>
            <w:tcW w:w="3686" w:type="dxa"/>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Використання відновлюваних джерел енергії.</w:t>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r>
      <w:tr>
        <w:trPr>
          <w:trHeight w:val="702" w:hRule="atLeast"/>
        </w:trPr>
        <w:tc>
          <w:tcPr>
            <w:tcW w:w="1842" w:type="dxa"/>
            <w:vMerge w:val="restart"/>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Ціль 8.</w:t>
            </w:r>
          </w:p>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Сприяння поступальному, всеохоплюючому та сталому економічному зростанню, повній і продуктивній зайнятості та гідній праці для всіх</w:t>
            </w:r>
          </w:p>
        </w:tc>
        <w:tc>
          <w:tcPr>
            <w:tcW w:w="3686" w:type="dxa"/>
            <w:vMerge w:val="restart"/>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Програми розвитку корпоративної культури;</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Підтримка співробітників у занятті спортом, медичне страхування співробітників;</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Програми навчання основ підприємництва і культури ведення бізнесу;</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Стажування і працевлаштування молоді;</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Програми корпоративного волонтерства з благоустрою, допомоги нужденним;</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Розробка законопроєктів;</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Поширення ідей сталого розвитку серед співробітників.</w:t>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Pavlenko Legal Group</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Короткометражний соціальний фільм</w:t>
            </w:r>
          </w:p>
        </w:tc>
      </w:tr>
      <w:tr>
        <w:trPr>
          <w:trHeight w:val="3944" w:hRule="atLeast"/>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Syngenta</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#happywithsyngenta – з турботою про кожного</w:t>
            </w:r>
          </w:p>
        </w:tc>
      </w:tr>
      <w:tr>
        <w:trPr>
          <w:trHeight w:val="2681" w:hRule="atLeast"/>
        </w:trPr>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Ціль 9.</w:t>
            </w:r>
          </w:p>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Створення стійкої інфраструктури, сприяння всеохоплюючій і сталій індустріалізації та інноваціям</w:t>
            </w:r>
          </w:p>
        </w:tc>
        <w:tc>
          <w:tcPr>
            <w:tcW w:w="3686" w:type="dxa"/>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Конкурс інноваційних ідей;</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Розвиток соціальної, спортивної інфраструктури.</w:t>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ДП «НАЕК «Енергоатом»</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Конкурс інноваційних ідей в рамках проєкту «Весняна школа НАЕК «Енергоатом»</w:t>
            </w:r>
          </w:p>
        </w:tc>
      </w:tr>
      <w:tr>
        <w:trPr>
          <w:trHeight w:val="3258" w:hRule="atLeast"/>
        </w:trPr>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Ціль 10.</w:t>
            </w:r>
          </w:p>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Скорочення нерівності всередині країн і між ними</w:t>
            </w:r>
          </w:p>
        </w:tc>
        <w:tc>
          <w:tcPr>
            <w:tcW w:w="3686" w:type="dxa"/>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Надання фінансової допомоги переможцям олімпіад;</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Підтримка дітей з інтернатів, людей похилого віку;</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Програми підтримки і соціальної адаптації дітей-аутистів і людей із синдромом Дауна;</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Працевлаштування людей з порушенням слуху;</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Створення інклюзивних відділень банківських установ.</w:t>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Isobar Ukraine</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Стажування та працевлаштування глухих та слабочуючих людей у сферу реклами та ІТ</w:t>
            </w:r>
          </w:p>
        </w:tc>
      </w:tr>
      <w:tr>
        <w:trPr>
          <w:trHeight w:val="414" w:hRule="atLeast"/>
        </w:trPr>
        <w:tc>
          <w:tcPr>
            <w:tcW w:w="1842" w:type="dxa"/>
            <w:vMerge w:val="restart"/>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Ціль 11.</w:t>
            </w:r>
          </w:p>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Забезпечення відкритості, безпеки, життєстійкості й екологічної стійкості міст і населених пунктів</w:t>
            </w:r>
          </w:p>
        </w:tc>
        <w:tc>
          <w:tcPr>
            <w:tcW w:w="3686" w:type="dxa"/>
            <w:vMerge w:val="restart"/>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Програми соціального партнерства з містами присутності;</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Програми допомоги у розробці стратегій розвитку регіону присутності;</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Програми підтримки молодих художників та кінематографістів;</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Програми підтримки соціальних ініціатив мешканців громад присутності бізнесу;</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Формування культури безпечної поведінки на дорозі (використання ременів безпеки, автокрісел);</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Проведення освітніх, медичних та екологічних заходів у рамках програм корпоративного волонтерства.</w:t>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1+1 Медіа</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«Естафета добра»</w:t>
            </w:r>
          </w:p>
        </w:tc>
      </w:tr>
      <w:tr>
        <w:trPr>
          <w:trHeight w:val="1823" w:hRule="atLeast"/>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«Делойт» в Україні</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«Дивись українське – твори своє майбутнє!» партнерство бізнесу і суспільства</w:t>
            </w:r>
          </w:p>
        </w:tc>
      </w:tr>
      <w:tr>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ПАТ «Запоріжсталь»</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 xml:space="preserve">Конкурс соціальних ініціатив «Ми – це місто» </w:t>
            </w:r>
            <w:r>
              <w:rPr>
                <w:rFonts w:eastAsia="Symbol" w:cs="Symbol" w:ascii="Symbol" w:hAnsi="Symbol"/>
                <w:kern w:val="0"/>
                <w:sz w:val="24"/>
                <w:szCs w:val="24"/>
                <w:lang w:val="uk-UA" w:eastAsia="en-US" w:bidi="ar-SA"/>
              </w:rPr>
              <w:t></w:t>
            </w:r>
            <w:r>
              <w:rPr>
                <w:rFonts w:eastAsia="Calibri" w:cs="Times New Roman" w:ascii="Times New Roman" w:hAnsi="Times New Roman"/>
                <w:kern w:val="0"/>
                <w:sz w:val="24"/>
                <w:szCs w:val="24"/>
                <w:lang w:val="uk-UA" w:eastAsia="en-US" w:bidi="ar-SA"/>
              </w:rPr>
              <w:t xml:space="preserve"> щорічна грантова програма-конкурс, що сприяє підвищенню соціальної активності місцевих мешканців, реалізації суспільно-корисних проєктів та підвищення якості життя у місті Запоріжжя та області</w:t>
            </w:r>
          </w:p>
        </w:tc>
      </w:tr>
      <w:tr>
        <w:trPr>
          <w:trHeight w:val="359" w:hRule="atLeast"/>
        </w:trPr>
        <w:tc>
          <w:tcPr>
            <w:tcW w:w="1842" w:type="dxa"/>
            <w:vMerge w:val="restart"/>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Ціль 12.</w:t>
            </w:r>
          </w:p>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Забезпечення переходу до раціональних моделей споживання і виробництва</w:t>
            </w:r>
          </w:p>
        </w:tc>
        <w:tc>
          <w:tcPr>
            <w:tcW w:w="3686" w:type="dxa"/>
            <w:vMerge w:val="restart"/>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Освітні заходи та ініціативи, спрямовані на розвиток відповідального споживання;</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Програми роздільного збору сміття;</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Впровадження системи поводження з відходами;</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Використання оборотної пляшки.</w:t>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Агрофорт</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«Життя без сміття»</w:t>
            </w:r>
          </w:p>
        </w:tc>
      </w:tr>
      <w:tr>
        <w:trPr>
          <w:trHeight w:val="1555" w:hRule="atLeast"/>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Ашан Рітейл</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Кампанія зі зменшення використання пластикових пакетів</w:t>
            </w:r>
          </w:p>
        </w:tc>
      </w:tr>
      <w:tr>
        <w:trPr>
          <w:trHeight w:val="1265" w:hRule="atLeast"/>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МЕТРО Кеш енд Кері Україна</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 xml:space="preserve">METRO Waste Collection Point </w:t>
            </w:r>
            <w:r>
              <w:rPr>
                <w:rFonts w:eastAsia="Symbol" w:cs="Symbol" w:ascii="Symbol" w:hAnsi="Symbol"/>
                <w:kern w:val="0"/>
                <w:sz w:val="24"/>
                <w:szCs w:val="24"/>
                <w:lang w:val="uk-UA" w:eastAsia="en-US" w:bidi="ar-SA"/>
              </w:rPr>
              <w:t></w:t>
            </w:r>
            <w:r>
              <w:rPr>
                <w:rFonts w:eastAsia="Calibri" w:cs="Times New Roman" w:ascii="Times New Roman" w:hAnsi="Times New Roman"/>
                <w:kern w:val="0"/>
                <w:sz w:val="24"/>
                <w:szCs w:val="24"/>
                <w:lang w:val="uk-UA" w:eastAsia="en-US" w:bidi="ar-SA"/>
              </w:rPr>
              <w:t xml:space="preserve"> пункт роздільного збору відходів</w:t>
            </w:r>
          </w:p>
        </w:tc>
      </w:tr>
      <w:tr>
        <w:trPr>
          <w:trHeight w:val="1540" w:hRule="atLeast"/>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ПАТ «Концерн Галнафтогаз»</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Збір макулатури задля підтримки дитячого реабілітаційного центру</w:t>
            </w:r>
          </w:p>
        </w:tc>
      </w:tr>
      <w:tr>
        <w:trPr>
          <w:trHeight w:val="2695" w:hRule="atLeast"/>
        </w:trPr>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Ціль 13.</w:t>
            </w:r>
          </w:p>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Пом’якшення наслідків зміни клімату</w:t>
            </w:r>
          </w:p>
        </w:tc>
        <w:tc>
          <w:tcPr>
            <w:tcW w:w="3686" w:type="dxa"/>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Надання кредитів на енергоефективні заходи;</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Екологічні програми; фінансування проєктів, пов’язаних з технологіями енергоефективності, відновлюваної енергії, ефективності ресурсів, зменшення забруднення тощо.</w:t>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r>
      <w:tr>
        <w:trPr>
          <w:trHeight w:val="1260" w:hRule="atLeast"/>
        </w:trPr>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Ціль 14.</w:t>
            </w:r>
          </w:p>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Збереження морських ресурсів</w:t>
            </w:r>
          </w:p>
        </w:tc>
        <w:tc>
          <w:tcPr>
            <w:tcW w:w="3686" w:type="dxa"/>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Оборотний цикл використання води (морської) у виробництві продукції.</w:t>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r>
      <w:tr>
        <w:trPr>
          <w:trHeight w:val="5389" w:hRule="atLeast"/>
        </w:trPr>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Ціль 15.</w:t>
            </w:r>
          </w:p>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Захист та відновлення екосистем суші та сприяння їх раціональному використанню, раціональне лісокористування, боротьба з опустелюванням, припинення і повернення назад процесу деградації земель та зупинка процесу втрати біорізноманіття</w:t>
            </w:r>
          </w:p>
        </w:tc>
        <w:tc>
          <w:tcPr>
            <w:tcW w:w="3686" w:type="dxa"/>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Висадження дерев;</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Електронний документообіг;</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Проведення акцій з озеленення.</w:t>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ГК «ФОКСТРОТ»</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Корпоративний рейтинг еко-відповідальних працівників «Тут працюють «далекоглядні» до 10-річчя корпоративного руху «Зелений офіс»</w:t>
            </w:r>
          </w:p>
        </w:tc>
      </w:tr>
      <w:tr>
        <w:trPr>
          <w:trHeight w:val="2673" w:hRule="atLeast"/>
        </w:trPr>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Ціль 16.</w:t>
            </w:r>
          </w:p>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Мир, справедливість та сильні інститути</w:t>
            </w:r>
          </w:p>
        </w:tc>
        <w:tc>
          <w:tcPr>
            <w:tcW w:w="3686" w:type="dxa"/>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Підтримка працівників, які перебували в зоні проведення АТО;</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Надання гуманітарної допомоги мешканцям зони проведення АТО та воїнам АТО;</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Розробка законопроєктів щодо підвищення рівня прозорості та протидії корупції.</w:t>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r>
      <w:tr>
        <w:trPr>
          <w:trHeight w:val="1833" w:hRule="atLeast"/>
        </w:trPr>
        <w:tc>
          <w:tcPr>
            <w:tcW w:w="1842" w:type="dxa"/>
            <w:vMerge w:val="restart"/>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Ціль 17.</w:t>
            </w:r>
          </w:p>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Зміцнення засобів здійснення й активізація роботи в рамках глобального партнерства в інтересах сталого розвитку</w:t>
            </w:r>
          </w:p>
        </w:tc>
        <w:tc>
          <w:tcPr>
            <w:tcW w:w="3686" w:type="dxa"/>
            <w:vMerge w:val="restart"/>
            <w:tcBorders/>
            <w:vAlign w:val="center"/>
          </w:tcPr>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Заходи, спрямовані на активізацію громади;</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Підтримка літніх навчальних таборів для учнів віддалених районів;</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Передання продовольчих та непродовольчих товарів малозабезпеченим верствам населення;</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Участь у міжнародних асоціаціях, об’єднаннях;</w:t>
            </w:r>
          </w:p>
          <w:p>
            <w:pPr>
              <w:pStyle w:val="ListParagraph"/>
              <w:widowControl/>
              <w:numPr>
                <w:ilvl w:val="0"/>
                <w:numId w:val="3"/>
              </w:numPr>
              <w:spacing w:lineRule="auto" w:line="240" w:before="0" w:after="0"/>
              <w:ind w:left="175" w:hanging="175"/>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Співпраця з громадськими організаціями.</w:t>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ПрАТ «Київстар»</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Становлення культури інноваційного розвитку в літніх та післяшкільних таборах</w:t>
            </w:r>
          </w:p>
        </w:tc>
      </w:tr>
      <w:tr>
        <w:trPr>
          <w:trHeight w:val="2965" w:hRule="atLeast"/>
        </w:trPr>
        <w:tc>
          <w:tcPr>
            <w:tcW w:w="1842" w:type="dxa"/>
            <w:vMerge w:val="continue"/>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3686" w:type="dxa"/>
            <w:vMerge w:val="continue"/>
            <w:tcBorders/>
            <w:vAlign w:val="center"/>
          </w:tcPr>
          <w:p>
            <w:pPr>
              <w:pStyle w:val="ListParagraph"/>
              <w:widowControl/>
              <w:numPr>
                <w:ilvl w:val="0"/>
                <w:numId w:val="2"/>
              </w:numPr>
              <w:spacing w:lineRule="auto" w:line="240" w:before="0" w:after="0"/>
              <w:contextualSpacing/>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r>
          </w:p>
        </w:tc>
        <w:tc>
          <w:tcPr>
            <w:tcW w:w="1842"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МЕТРО Кеш енд Кері Україна</w:t>
            </w:r>
          </w:p>
        </w:tc>
        <w:tc>
          <w:tcPr>
            <w:tcW w:w="2268" w:type="dxa"/>
            <w:tcBorders/>
            <w:vAlign w:val="center"/>
          </w:tcPr>
          <w:p>
            <w:pPr>
              <w:pStyle w:val="Normal"/>
              <w:widowControl/>
              <w:spacing w:lineRule="auto" w:line="240" w:before="0" w:after="0"/>
              <w:jc w:val="left"/>
              <w:rPr>
                <w:rFonts w:ascii="Times New Roman" w:hAnsi="Times New Roman" w:cs="Times New Roman"/>
                <w:sz w:val="24"/>
                <w:szCs w:val="24"/>
                <w:lang w:val="uk-UA"/>
              </w:rPr>
            </w:pPr>
            <w:r>
              <w:rPr>
                <w:rFonts w:eastAsia="Calibri" w:cs="Times New Roman" w:ascii="Times New Roman" w:hAnsi="Times New Roman"/>
                <w:kern w:val="0"/>
                <w:sz w:val="24"/>
                <w:szCs w:val="24"/>
                <w:lang w:val="uk-UA" w:eastAsia="en-US" w:bidi="ar-SA"/>
              </w:rPr>
              <w:t xml:space="preserve">«Ти зможеш – METRO допоможе» </w:t>
            </w:r>
            <w:r>
              <w:rPr>
                <w:rFonts w:eastAsia="Symbol" w:cs="Symbol" w:ascii="Symbol" w:hAnsi="Symbol"/>
                <w:kern w:val="0"/>
                <w:sz w:val="24"/>
                <w:szCs w:val="24"/>
                <w:lang w:val="uk-UA" w:eastAsia="en-US" w:bidi="ar-SA"/>
              </w:rPr>
              <w:t></w:t>
            </w:r>
            <w:r>
              <w:rPr>
                <w:rFonts w:eastAsia="Calibri" w:cs="Times New Roman" w:ascii="Times New Roman" w:hAnsi="Times New Roman"/>
                <w:kern w:val="0"/>
                <w:sz w:val="24"/>
                <w:szCs w:val="24"/>
                <w:lang w:val="uk-UA" w:eastAsia="en-US" w:bidi="ar-SA"/>
              </w:rPr>
              <w:t xml:space="preserve"> ініціатива, спрямована на боротьбу з голодом та зменшенням кількості відходів у харчовій промисловості</w:t>
            </w:r>
          </w:p>
        </w:tc>
      </w:tr>
    </w:tbl>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t>Джерело: складено автором на основі [4</w:t>
      </w:r>
      <w:r>
        <w:rPr>
          <w:rFonts w:cs="Times New Roman" w:ascii="Times New Roman" w:hAnsi="Times New Roman"/>
          <w:sz w:val="28"/>
          <w:szCs w:val="28"/>
        </w:rPr>
        <w:t>4</w:t>
      </w:r>
      <w:r>
        <w:rPr>
          <w:rFonts w:cs="Times New Roman" w:ascii="Times New Roman" w:hAnsi="Times New Roman"/>
          <w:sz w:val="28"/>
          <w:szCs w:val="28"/>
          <w:lang w:val="uk-UA"/>
        </w:rPr>
        <w:t xml:space="preserve">; </w:t>
      </w:r>
      <w:r>
        <w:rPr>
          <w:rFonts w:cs="Times New Roman" w:ascii="Times New Roman" w:hAnsi="Times New Roman"/>
          <w:sz w:val="28"/>
          <w:szCs w:val="28"/>
        </w:rPr>
        <w:t>4</w:t>
      </w:r>
      <w:r>
        <w:rPr>
          <w:rFonts w:cs="Times New Roman" w:ascii="Times New Roman" w:hAnsi="Times New Roman"/>
          <w:sz w:val="28"/>
          <w:szCs w:val="28"/>
          <w:lang w:val="uk-UA"/>
        </w:rPr>
        <w:t>5].</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before="0" w:after="120"/>
        <w:ind w:firstLine="709"/>
        <w:jc w:val="right"/>
        <w:rPr/>
      </w:pPr>
      <w:r>
        <w:rPr>
          <w:rFonts w:ascii="Times New Roman" w:hAnsi="Times New Roman"/>
          <w:sz w:val="24"/>
          <w:szCs w:val="24"/>
          <w:lang w:val="az-Cyrl-AZ"/>
        </w:rPr>
        <w:t>ЗАТВЕРДЖЕНО</w:t>
      </w:r>
    </w:p>
    <w:p>
      <w:pPr>
        <w:pStyle w:val="Normal"/>
        <w:spacing w:before="0" w:after="120"/>
        <w:ind w:firstLine="709"/>
        <w:jc w:val="right"/>
        <w:rPr/>
      </w:pPr>
      <w:r>
        <w:rPr>
          <w:rFonts w:ascii="Times New Roman" w:hAnsi="Times New Roman"/>
          <w:sz w:val="24"/>
          <w:szCs w:val="24"/>
          <w:lang w:val="az-Cyrl-AZ"/>
        </w:rPr>
        <w:t>рішенням Вченої ради ФМВПС</w:t>
      </w:r>
    </w:p>
    <w:p>
      <w:pPr>
        <w:pStyle w:val="Normal"/>
        <w:spacing w:before="0" w:after="120"/>
        <w:ind w:firstLine="709"/>
        <w:jc w:val="right"/>
        <w:rPr/>
      </w:pPr>
      <w:r>
        <w:rPr>
          <w:rFonts w:ascii="Times New Roman" w:hAnsi="Times New Roman"/>
          <w:sz w:val="24"/>
          <w:szCs w:val="24"/>
          <w:lang w:val="az-Cyrl-AZ"/>
        </w:rPr>
        <w:t>протокол №__ від ________ 20___ р.</w:t>
      </w:r>
    </w:p>
    <w:p>
      <w:pPr>
        <w:pStyle w:val="Normal"/>
        <w:spacing w:before="0" w:after="120"/>
        <w:ind w:firstLine="709"/>
        <w:jc w:val="right"/>
        <w:rPr>
          <w:i/>
          <w:i/>
          <w:sz w:val="18"/>
          <w:szCs w:val="18"/>
          <w:lang w:val="az-Cyrl-AZ"/>
        </w:rPr>
      </w:pPr>
      <w:r>
        <w:rPr>
          <w:i/>
          <w:sz w:val="18"/>
          <w:szCs w:val="18"/>
          <w:lang w:val="az-Cyrl-AZ"/>
        </w:rPr>
      </w:r>
    </w:p>
    <w:p>
      <w:pPr>
        <w:pStyle w:val="Normal"/>
        <w:spacing w:before="0" w:after="120"/>
        <w:ind w:firstLine="709"/>
        <w:jc w:val="center"/>
        <w:rPr>
          <w:i/>
          <w:i/>
          <w:sz w:val="18"/>
          <w:szCs w:val="18"/>
          <w:lang w:val="az-Cyrl-AZ"/>
        </w:rPr>
      </w:pPr>
      <w:r>
        <w:rPr>
          <w:i/>
          <w:sz w:val="18"/>
          <w:szCs w:val="18"/>
          <w:lang w:val="az-Cyrl-AZ"/>
        </w:rPr>
      </w:r>
    </w:p>
    <w:p>
      <w:pPr>
        <w:pStyle w:val="Normal"/>
        <w:spacing w:before="0" w:after="120"/>
        <w:ind w:firstLine="709"/>
        <w:jc w:val="center"/>
        <w:rPr>
          <w:lang w:val="az-Cyrl-AZ"/>
        </w:rPr>
      </w:pPr>
      <w:r>
        <w:rPr>
          <w:rFonts w:ascii="Times New Roman" w:hAnsi="Times New Roman"/>
          <w:b/>
          <w:bCs/>
          <w:sz w:val="28"/>
          <w:szCs w:val="28"/>
          <w:lang w:val="az-Cyrl-AZ"/>
        </w:rPr>
        <w:t>РОЗПИСКА</w:t>
      </w:r>
    </w:p>
    <w:p>
      <w:pPr>
        <w:pStyle w:val="Normal"/>
        <w:spacing w:before="0" w:after="120"/>
        <w:ind w:firstLine="709"/>
        <w:jc w:val="center"/>
        <w:rPr>
          <w:rFonts w:ascii="Times New Roman" w:hAnsi="Times New Roman"/>
          <w:sz w:val="28"/>
          <w:szCs w:val="28"/>
          <w:lang w:val="az-Cyrl-AZ"/>
        </w:rPr>
      </w:pPr>
      <w:r>
        <w:rPr>
          <w:rFonts w:ascii="Times New Roman" w:hAnsi="Times New Roman"/>
          <w:sz w:val="28"/>
          <w:szCs w:val="28"/>
          <w:lang w:val="az-Cyrl-AZ"/>
        </w:rPr>
      </w:r>
    </w:p>
    <w:p>
      <w:pPr>
        <w:pStyle w:val="Normal"/>
        <w:spacing w:lineRule="auto" w:line="360"/>
        <w:jc w:val="both"/>
        <w:rPr>
          <w:lang w:val="az-Cyrl-AZ"/>
        </w:rPr>
      </w:pPr>
      <w:r>
        <w:rPr>
          <w:rFonts w:ascii="Times New Roman" w:hAnsi="Times New Roman"/>
          <w:sz w:val="28"/>
          <w:szCs w:val="28"/>
          <w:lang w:val="az-Cyrl-AZ"/>
        </w:rPr>
        <w:t xml:space="preserve">Я, </w:t>
      </w:r>
      <w:r>
        <w:rPr>
          <w:rFonts w:ascii="Times New Roman" w:hAnsi="Times New Roman"/>
          <w:sz w:val="28"/>
          <w:szCs w:val="28"/>
          <w:lang w:val="uk-UA"/>
        </w:rPr>
        <w:t>Шишкіна Віра Ігорівна</w:t>
      </w:r>
      <w:r>
        <w:rPr>
          <w:rFonts w:ascii="Times New Roman" w:hAnsi="Times New Roman"/>
          <w:sz w:val="28"/>
          <w:szCs w:val="28"/>
          <w:lang w:val="az-Cyrl-AZ"/>
        </w:rPr>
        <w:t>, підтверджую, що моя дипломна робота за темою: «</w:t>
      </w:r>
      <w:r>
        <w:rPr>
          <w:rFonts w:ascii="Times New Roman" w:hAnsi="Times New Roman"/>
          <w:color w:val="000000"/>
          <w:sz w:val="28"/>
          <w:szCs w:val="28"/>
          <w:lang w:val="uk-UA" w:eastAsia="uk-UA"/>
        </w:rPr>
        <w:t>Вплив факторів екологічної, соціальної та корпоративної відповідальності на прибутковість акцій: міжнародний досвід</w:t>
      </w:r>
      <w:r>
        <w:rPr>
          <w:rFonts w:ascii="Times New Roman" w:hAnsi="Times New Roman"/>
          <w:sz w:val="28"/>
          <w:szCs w:val="28"/>
          <w:lang w:val="az-Cyrl-AZ"/>
        </w:rPr>
        <w:t>» повністю відповідає всім вимогам академічної доброчесності, не містить в собі плагіату, а електронна версія роботи, яка додається на диску, є тотожною її паперовому варіанту.</w:t>
      </w:r>
    </w:p>
    <w:p>
      <w:pPr>
        <w:pStyle w:val="Normal"/>
        <w:spacing w:lineRule="auto" w:line="360"/>
        <w:ind w:firstLine="708"/>
        <w:rPr>
          <w:rFonts w:ascii="Times New Roman" w:hAnsi="Times New Roman"/>
          <w:sz w:val="28"/>
          <w:szCs w:val="28"/>
          <w:lang w:val="az-Cyrl-AZ"/>
        </w:rPr>
      </w:pPr>
      <w:r>
        <w:rPr>
          <w:rFonts w:ascii="Times New Roman" w:hAnsi="Times New Roman"/>
          <w:sz w:val="28"/>
          <w:szCs w:val="28"/>
          <w:lang w:val="az-Cyrl-AZ"/>
        </w:rPr>
      </w:r>
    </w:p>
    <w:p>
      <w:pPr>
        <w:pStyle w:val="Normal"/>
        <w:spacing w:lineRule="auto" w:line="360"/>
        <w:ind w:firstLine="708"/>
        <w:rPr>
          <w:rFonts w:ascii="Times New Roman" w:hAnsi="Times New Roman"/>
          <w:sz w:val="28"/>
          <w:szCs w:val="28"/>
          <w:lang w:val="az-Cyrl-AZ"/>
        </w:rPr>
      </w:pPr>
      <w:r>
        <w:rPr>
          <w:rFonts w:ascii="Times New Roman" w:hAnsi="Times New Roman"/>
          <w:sz w:val="28"/>
          <w:szCs w:val="28"/>
          <w:lang w:val="az-Cyrl-AZ"/>
        </w:rPr>
      </w:r>
    </w:p>
    <w:p>
      <w:pPr>
        <w:pStyle w:val="Normal"/>
        <w:tabs>
          <w:tab w:val="clear" w:pos="708"/>
          <w:tab w:val="left" w:pos="5820" w:leader="none"/>
        </w:tabs>
        <w:spacing w:lineRule="auto" w:line="360"/>
        <w:ind w:firstLine="708"/>
        <w:rPr/>
      </w:pPr>
      <w:r>
        <w:rPr>
          <w:rFonts w:ascii="Times New Roman" w:hAnsi="Times New Roman"/>
          <w:sz w:val="28"/>
          <w:szCs w:val="28"/>
          <w:lang w:val="az-Cyrl-AZ"/>
        </w:rPr>
        <w:t>________________</w:t>
        <w:tab/>
        <w:t>________________</w:t>
      </w:r>
    </w:p>
    <w:p>
      <w:pPr>
        <w:pStyle w:val="Normal"/>
        <w:tabs>
          <w:tab w:val="clear" w:pos="708"/>
          <w:tab w:val="left" w:pos="6435" w:leader="none"/>
        </w:tabs>
        <w:spacing w:lineRule="auto" w:line="360"/>
        <w:ind w:firstLine="708"/>
        <w:rPr/>
      </w:pPr>
      <w:r>
        <w:rPr>
          <w:rFonts w:ascii="Times New Roman" w:hAnsi="Times New Roman"/>
          <w:i/>
          <w:sz w:val="28"/>
          <w:szCs w:val="28"/>
          <w:lang w:val="az-Cyrl-AZ"/>
        </w:rPr>
        <w:t xml:space="preserve">         </w:t>
      </w:r>
      <w:r>
        <w:rPr>
          <w:rFonts w:ascii="Times New Roman" w:hAnsi="Times New Roman"/>
          <w:i/>
          <w:sz w:val="28"/>
          <w:szCs w:val="28"/>
          <w:lang w:val="az-Cyrl-AZ"/>
        </w:rPr>
        <w:t>(дата)</w:t>
      </w:r>
      <w:r>
        <w:rPr>
          <w:rFonts w:ascii="Times New Roman" w:hAnsi="Times New Roman"/>
          <w:sz w:val="28"/>
          <w:szCs w:val="28"/>
          <w:lang w:val="az-Cyrl-AZ"/>
        </w:rPr>
        <w:tab/>
      </w:r>
      <w:r>
        <w:rPr>
          <w:rFonts w:ascii="Times New Roman" w:hAnsi="Times New Roman"/>
          <w:i/>
          <w:sz w:val="28"/>
          <w:szCs w:val="28"/>
          <w:lang w:val="az-Cyrl-AZ"/>
        </w:rPr>
        <w:t>(підпис)</w:t>
      </w:r>
    </w:p>
    <w:p>
      <w:pPr>
        <w:pStyle w:val="Normal"/>
        <w:rPr>
          <w:sz w:val="36"/>
          <w:szCs w:val="36"/>
          <w:lang w:val="az-Cyrl-AZ"/>
        </w:rPr>
      </w:pPr>
      <w:r>
        <w:rPr>
          <w:sz w:val="36"/>
          <w:szCs w:val="36"/>
          <w:lang w:val="az-Cyrl-AZ"/>
        </w:rPr>
      </w:r>
    </w:p>
    <w:p>
      <w:pPr>
        <w:pStyle w:val="Normal"/>
        <w:rPr>
          <w:sz w:val="36"/>
          <w:szCs w:val="36"/>
          <w:lang w:val="az-Cyrl-AZ"/>
        </w:rPr>
      </w:pPr>
      <w:r>
        <w:rPr>
          <w:sz w:val="36"/>
          <w:szCs w:val="36"/>
          <w:lang w:val="az-Cyrl-AZ"/>
        </w:rPr>
      </w:r>
    </w:p>
    <w:p>
      <w:pPr>
        <w:pStyle w:val="Normal"/>
        <w:spacing w:lineRule="auto" w:line="360" w:before="0" w:after="0"/>
        <w:rPr>
          <w:lang w:val="uk-UA"/>
        </w:rPr>
      </w:pPr>
      <w:r>
        <w:rPr/>
      </w:r>
    </w:p>
    <w:sectPr>
      <w:headerReference w:type="default" r:id="rId52"/>
      <w:type w:val="nextPage"/>
      <w:pgSz w:w="11906" w:h="16838"/>
      <w:pgMar w:left="1701" w:right="567" w:header="709" w:top="1134" w:footer="0" w:bottom="1418" w:gutter="0"/>
      <w:pgNumType w:fmt="decimal"/>
      <w:formProt w:val="false"/>
      <w:titlePg/>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Cambria">
    <w:charset w:val="cc"/>
    <w:family w:val="roman"/>
    <w:pitch w:val="variable"/>
  </w:font>
  <w:font w:name="Times New Roman">
    <w:charset w:val="cc"/>
    <w:family w:val="roman"/>
    <w:pitch w:val="variable"/>
  </w:font>
  <w:font w:name="Tahoma">
    <w:charset w:val="cc"/>
    <w:family w:val="roman"/>
    <w:pitch w:val="variable"/>
  </w:font>
  <w:font w:name="Liberation Sans">
    <w:altName w:val="Arial"/>
    <w:charset w:val="cc"/>
    <w:family w:val="swiss"/>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802750853"/>
    </w:sdtPr>
    <w:sdtContent>
      <w:p>
        <w:pPr>
          <w:pStyle w:val="Style24"/>
          <w:jc w:val="right"/>
          <w:rPr>
            <w:rFonts w:ascii="Times New Roman" w:hAnsi="Times New Roman" w:cs="Times New Roman"/>
          </w:rPr>
        </w:pPr>
        <w:r>
          <w:rPr>
            <w:rFonts w:cs="Times New Roman" w:ascii="Times New Roman" w:hAnsi="Times New Roman"/>
          </w:rPr>
          <w:fldChar w:fldCharType="begin"/>
        </w:r>
        <w:r>
          <w:rPr>
            <w:rFonts w:cs="Times New Roman" w:ascii="Times New Roman" w:hAnsi="Times New Roman"/>
          </w:rPr>
          <w:instrText> PAGE </w:instrText>
        </w:r>
        <w:r>
          <w:rPr>
            <w:rFonts w:cs="Times New Roman" w:ascii="Times New Roman" w:hAnsi="Times New Roman"/>
          </w:rPr>
          <w:fldChar w:fldCharType="separate"/>
        </w:r>
        <w:r>
          <w:rPr>
            <w:rFonts w:cs="Times New Roman" w:ascii="Times New Roman" w:hAnsi="Times New Roman"/>
          </w:rPr>
          <w:t>29</w:t>
        </w:r>
        <w:r>
          <w:rPr>
            <w:rFonts w:cs="Times New Roman" w:ascii="Times New Roman" w:hAnsi="Times New Roman"/>
          </w:rPr>
          <w:fldChar w:fldCharType="end"/>
        </w:r>
      </w:p>
      <w:p>
        <w:pPr>
          <w:pStyle w:val="Style24"/>
          <w:rPr/>
        </w:pPr>
        <w:r>
          <w:rPr/>
        </w:r>
      </w:p>
    </w:sdtContent>
  </w:sdt>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420440431"/>
    </w:sdtPr>
    <w:sdtContent>
      <w:p>
        <w:pPr>
          <w:pStyle w:val="Style24"/>
          <w:jc w:val="right"/>
          <w:rPr>
            <w:rFonts w:ascii="Times New Roman" w:hAnsi="Times New Roman" w:cs="Times New Roman"/>
          </w:rPr>
        </w:pPr>
        <w:r>
          <w:rPr>
            <w:rFonts w:cs="Times New Roman" w:ascii="Times New Roman" w:hAnsi="Times New Roman"/>
          </w:rPr>
          <w:fldChar w:fldCharType="begin"/>
        </w:r>
        <w:r>
          <w:rPr>
            <w:rFonts w:cs="Times New Roman" w:ascii="Times New Roman" w:hAnsi="Times New Roman"/>
          </w:rPr>
          <w:instrText> PAGE </w:instrText>
        </w:r>
        <w:r>
          <w:rPr>
            <w:rFonts w:cs="Times New Roman" w:ascii="Times New Roman" w:hAnsi="Times New Roman"/>
          </w:rPr>
          <w:fldChar w:fldCharType="separate"/>
        </w:r>
        <w:r>
          <w:rPr>
            <w:rFonts w:cs="Times New Roman" w:ascii="Times New Roman" w:hAnsi="Times New Roman"/>
          </w:rPr>
          <w:t>35</w:t>
        </w:r>
        <w:r>
          <w:rPr>
            <w:rFonts w:cs="Times New Roman" w:ascii="Times New Roman" w:hAnsi="Times New Roman"/>
          </w:rPr>
          <w:fldChar w:fldCharType="end"/>
        </w:r>
      </w:p>
    </w:sdtContent>
  </w:sdt>
  <w:p>
    <w:pPr>
      <w:pStyle w:val="Style24"/>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5464" w:hanging="360"/>
      </w:pPr>
    </w:lvl>
    <w:lvl w:ilvl="1">
      <w:start w:val="1"/>
      <w:numFmt w:val="lowerLetter"/>
      <w:lvlText w:val="%2."/>
      <w:lvlJc w:val="left"/>
      <w:pPr>
        <w:tabs>
          <w:tab w:val="num" w:pos="0"/>
        </w:tabs>
        <w:ind w:left="6184" w:hanging="360"/>
      </w:pPr>
    </w:lvl>
    <w:lvl w:ilvl="2">
      <w:start w:val="1"/>
      <w:numFmt w:val="lowerRoman"/>
      <w:lvlText w:val="%3."/>
      <w:lvlJc w:val="right"/>
      <w:pPr>
        <w:tabs>
          <w:tab w:val="num" w:pos="0"/>
        </w:tabs>
        <w:ind w:left="6904" w:hanging="180"/>
      </w:pPr>
    </w:lvl>
    <w:lvl w:ilvl="3">
      <w:start w:val="1"/>
      <w:numFmt w:val="decimal"/>
      <w:lvlText w:val="%4."/>
      <w:lvlJc w:val="left"/>
      <w:pPr>
        <w:tabs>
          <w:tab w:val="num" w:pos="0"/>
        </w:tabs>
        <w:ind w:left="7624" w:hanging="360"/>
      </w:pPr>
    </w:lvl>
    <w:lvl w:ilvl="4">
      <w:start w:val="1"/>
      <w:numFmt w:val="lowerLetter"/>
      <w:lvlText w:val="%5."/>
      <w:lvlJc w:val="left"/>
      <w:pPr>
        <w:tabs>
          <w:tab w:val="num" w:pos="0"/>
        </w:tabs>
        <w:ind w:left="8344" w:hanging="360"/>
      </w:pPr>
    </w:lvl>
    <w:lvl w:ilvl="5">
      <w:start w:val="1"/>
      <w:numFmt w:val="lowerRoman"/>
      <w:lvlText w:val="%6."/>
      <w:lvlJc w:val="right"/>
      <w:pPr>
        <w:tabs>
          <w:tab w:val="num" w:pos="0"/>
        </w:tabs>
        <w:ind w:left="9064" w:hanging="180"/>
      </w:pPr>
    </w:lvl>
    <w:lvl w:ilvl="6">
      <w:start w:val="1"/>
      <w:numFmt w:val="decimal"/>
      <w:lvlText w:val="%7."/>
      <w:lvlJc w:val="left"/>
      <w:pPr>
        <w:tabs>
          <w:tab w:val="num" w:pos="0"/>
        </w:tabs>
        <w:ind w:left="9784" w:hanging="360"/>
      </w:pPr>
    </w:lvl>
    <w:lvl w:ilvl="7">
      <w:start w:val="1"/>
      <w:numFmt w:val="lowerLetter"/>
      <w:lvlText w:val="%8."/>
      <w:lvlJc w:val="left"/>
      <w:pPr>
        <w:tabs>
          <w:tab w:val="num" w:pos="0"/>
        </w:tabs>
        <w:ind w:left="10504" w:hanging="360"/>
      </w:pPr>
    </w:lvl>
    <w:lvl w:ilvl="8">
      <w:start w:val="1"/>
      <w:numFmt w:val="lowerRoman"/>
      <w:lvlText w:val="%9."/>
      <w:lvlJc w:val="right"/>
      <w:pPr>
        <w:tabs>
          <w:tab w:val="num" w:pos="0"/>
        </w:tabs>
        <w:ind w:left="11224" w:hanging="180"/>
      </w:pPr>
    </w:lvl>
  </w:abstractNum>
  <w:abstractNum w:abstractNumId="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w="http://schemas.openxmlformats.org/wordprocessingml/2006/main">
  <w:zoom w:percent="80"/>
  <w:defaultTabStop w:val="708"/>
  <w:autoHyphenation w:val="tru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Body Text" w:uiPriority="0"/>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0"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103ed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paragraph" w:styleId="1">
    <w:name w:val="Heading 1"/>
    <w:basedOn w:val="Normal"/>
    <w:next w:val="Normal"/>
    <w:link w:val="10"/>
    <w:uiPriority w:val="9"/>
    <w:qFormat/>
    <w:rsid w:val="00d93f34"/>
    <w:pPr>
      <w:keepNext w:val="true"/>
      <w:keepLines/>
      <w:spacing w:before="480" w:after="0"/>
      <w:outlineLvl w:val="0"/>
    </w:pPr>
    <w:rPr>
      <w:rFonts w:ascii="Cambria" w:hAnsi="Cambria" w:eastAsia="" w:cs="" w:asciiTheme="majorHAnsi" w:cstheme="majorBidi" w:eastAsiaTheme="majorEastAsia" w:hAnsiTheme="majorHAnsi"/>
      <w:b/>
      <w:bCs/>
      <w:color w:val="365F91" w:themeColor="accent1" w:themeShade="bf"/>
      <w:sz w:val="28"/>
      <w:szCs w:val="28"/>
    </w:rPr>
  </w:style>
  <w:style w:type="paragraph" w:styleId="2">
    <w:name w:val="Heading 2"/>
    <w:basedOn w:val="Normal"/>
    <w:link w:val="20"/>
    <w:uiPriority w:val="9"/>
    <w:qFormat/>
    <w:rsid w:val="006c7926"/>
    <w:pPr>
      <w:spacing w:lineRule="auto" w:line="240" w:beforeAutospacing="1" w:afterAutospacing="1"/>
      <w:outlineLvl w:val="1"/>
    </w:pPr>
    <w:rPr>
      <w:rFonts w:ascii="Times New Roman" w:hAnsi="Times New Roman" w:eastAsia="Times New Roman" w:cs="Times New Roman"/>
      <w:b/>
      <w:bCs/>
      <w:sz w:val="36"/>
      <w:szCs w:val="36"/>
      <w:lang w:eastAsia="ru-RU"/>
    </w:rPr>
  </w:style>
  <w:style w:type="paragraph" w:styleId="3">
    <w:name w:val="Heading 3"/>
    <w:basedOn w:val="Normal"/>
    <w:next w:val="Normal"/>
    <w:link w:val="30"/>
    <w:uiPriority w:val="9"/>
    <w:semiHidden/>
    <w:unhideWhenUsed/>
    <w:qFormat/>
    <w:rsid w:val="007c6286"/>
    <w:pPr>
      <w:keepNext w:val="true"/>
      <w:keepLines/>
      <w:spacing w:before="200" w:after="0"/>
      <w:outlineLvl w:val="2"/>
    </w:pPr>
    <w:rPr>
      <w:rFonts w:ascii="Cambria" w:hAnsi="Cambria" w:eastAsia="" w:cs="" w:asciiTheme="majorHAnsi" w:cstheme="majorBidi" w:eastAsiaTheme="majorEastAsia" w:hAnsiTheme="majorHAnsi"/>
      <w:b/>
      <w:bCs/>
      <w:color w:val="4F81BD" w:themeColor="accent1"/>
    </w:rPr>
  </w:style>
  <w:style w:type="character" w:styleId="DefaultParagraphFont" w:default="1">
    <w:name w:val="Default Paragraph Font"/>
    <w:uiPriority w:val="1"/>
    <w:semiHidden/>
    <w:unhideWhenUsed/>
    <w:qFormat/>
    <w:rPr/>
  </w:style>
  <w:style w:type="character" w:styleId="11" w:customStyle="1">
    <w:name w:val="Заголовок 1 Знак"/>
    <w:basedOn w:val="DefaultParagraphFont"/>
    <w:link w:val="1"/>
    <w:uiPriority w:val="9"/>
    <w:qFormat/>
    <w:rsid w:val="00d93f34"/>
    <w:rPr>
      <w:rFonts w:ascii="Cambria" w:hAnsi="Cambria" w:eastAsia="" w:cs="" w:asciiTheme="majorHAnsi" w:cstheme="majorBidi" w:eastAsiaTheme="majorEastAsia" w:hAnsiTheme="majorHAnsi"/>
      <w:b/>
      <w:bCs/>
      <w:color w:val="365F91" w:themeColor="accent1" w:themeShade="bf"/>
      <w:sz w:val="28"/>
      <w:szCs w:val="28"/>
    </w:rPr>
  </w:style>
  <w:style w:type="character" w:styleId="21" w:customStyle="1">
    <w:name w:val="Заголовок 2 Знак"/>
    <w:basedOn w:val="DefaultParagraphFont"/>
    <w:link w:val="2"/>
    <w:uiPriority w:val="9"/>
    <w:qFormat/>
    <w:rsid w:val="006c7926"/>
    <w:rPr>
      <w:rFonts w:ascii="Times New Roman" w:hAnsi="Times New Roman" w:eastAsia="Times New Roman" w:cs="Times New Roman"/>
      <w:b/>
      <w:bCs/>
      <w:sz w:val="36"/>
      <w:szCs w:val="36"/>
      <w:lang w:eastAsia="ru-RU"/>
    </w:rPr>
  </w:style>
  <w:style w:type="character" w:styleId="Style11" w:customStyle="1">
    <w:name w:val="Основной текст Знак"/>
    <w:basedOn w:val="DefaultParagraphFont"/>
    <w:link w:val="a4"/>
    <w:qFormat/>
    <w:rsid w:val="00854a18"/>
    <w:rPr>
      <w:rFonts w:ascii="Times New Roman" w:hAnsi="Times New Roman" w:eastAsia="SimSun" w:cs="Lucida Sans"/>
      <w:kern w:val="2"/>
      <w:sz w:val="24"/>
      <w:szCs w:val="24"/>
      <w:lang w:eastAsia="hi-IN" w:bidi="hi-IN"/>
    </w:rPr>
  </w:style>
  <w:style w:type="character" w:styleId="Style12">
    <w:name w:val="Интернет-ссылка"/>
    <w:basedOn w:val="DefaultParagraphFont"/>
    <w:uiPriority w:val="99"/>
    <w:unhideWhenUsed/>
    <w:rsid w:val="00722728"/>
    <w:rPr>
      <w:color w:val="0000FF"/>
      <w:u w:val="single"/>
    </w:rPr>
  </w:style>
  <w:style w:type="character" w:styleId="Strong">
    <w:name w:val="Strong"/>
    <w:basedOn w:val="DefaultParagraphFont"/>
    <w:uiPriority w:val="22"/>
    <w:qFormat/>
    <w:rsid w:val="007c2bb3"/>
    <w:rPr>
      <w:b/>
      <w:bCs/>
    </w:rPr>
  </w:style>
  <w:style w:type="character" w:styleId="Style13" w:customStyle="1">
    <w:name w:val="Текст выноски Знак"/>
    <w:basedOn w:val="DefaultParagraphFont"/>
    <w:link w:val="a9"/>
    <w:uiPriority w:val="99"/>
    <w:semiHidden/>
    <w:qFormat/>
    <w:rsid w:val="00c45917"/>
    <w:rPr>
      <w:rFonts w:ascii="Tahoma" w:hAnsi="Tahoma" w:cs="Tahoma"/>
      <w:sz w:val="16"/>
      <w:szCs w:val="16"/>
    </w:rPr>
  </w:style>
  <w:style w:type="character" w:styleId="Style14" w:customStyle="1">
    <w:name w:val="Верхний колонтитул Знак"/>
    <w:basedOn w:val="DefaultParagraphFont"/>
    <w:link w:val="ab"/>
    <w:uiPriority w:val="99"/>
    <w:qFormat/>
    <w:rsid w:val="00e905c9"/>
    <w:rPr/>
  </w:style>
  <w:style w:type="character" w:styleId="Style15" w:customStyle="1">
    <w:name w:val="Нижний колонтитул Знак"/>
    <w:basedOn w:val="DefaultParagraphFont"/>
    <w:link w:val="ad"/>
    <w:uiPriority w:val="99"/>
    <w:qFormat/>
    <w:rsid w:val="00e905c9"/>
    <w:rPr/>
  </w:style>
  <w:style w:type="character" w:styleId="Style16" w:customStyle="1">
    <w:name w:val="Текст примечания Знак"/>
    <w:basedOn w:val="DefaultParagraphFont"/>
    <w:link w:val="af"/>
    <w:uiPriority w:val="99"/>
    <w:semiHidden/>
    <w:qFormat/>
    <w:rsid w:val="0044168b"/>
    <w:rPr>
      <w:sz w:val="20"/>
      <w:szCs w:val="20"/>
    </w:rPr>
  </w:style>
  <w:style w:type="character" w:styleId="Style17" w:customStyle="1">
    <w:name w:val="Тема примечания Знак"/>
    <w:basedOn w:val="Style16"/>
    <w:link w:val="af2"/>
    <w:uiPriority w:val="99"/>
    <w:semiHidden/>
    <w:qFormat/>
    <w:rsid w:val="0044168b"/>
    <w:rPr>
      <w:b/>
      <w:bCs/>
      <w:sz w:val="20"/>
      <w:szCs w:val="20"/>
    </w:rPr>
  </w:style>
  <w:style w:type="character" w:styleId="Bodytext2" w:customStyle="1">
    <w:name w:val="Body text (2)_"/>
    <w:basedOn w:val="DefaultParagraphFont"/>
    <w:link w:val="Bodytext20"/>
    <w:qFormat/>
    <w:locked/>
    <w:rsid w:val="0044168b"/>
    <w:rPr>
      <w:rFonts w:ascii="Times New Roman" w:hAnsi="Times New Roman" w:eastAsia="Times New Roman" w:cs="Times New Roman"/>
      <w:sz w:val="32"/>
      <w:szCs w:val="32"/>
      <w:shd w:fill="FFFFFF" w:val="clear"/>
    </w:rPr>
  </w:style>
  <w:style w:type="character" w:styleId="Rvts23" w:customStyle="1">
    <w:name w:val="rvts23"/>
    <w:basedOn w:val="DefaultParagraphFont"/>
    <w:qFormat/>
    <w:rsid w:val="0044168b"/>
    <w:rPr/>
  </w:style>
  <w:style w:type="character" w:styleId="Rvts64" w:customStyle="1">
    <w:name w:val="rvts64"/>
    <w:basedOn w:val="DefaultParagraphFont"/>
    <w:qFormat/>
    <w:rsid w:val="0044168b"/>
    <w:rPr/>
  </w:style>
  <w:style w:type="character" w:styleId="Rvts9" w:customStyle="1">
    <w:name w:val="rvts9"/>
    <w:basedOn w:val="DefaultParagraphFont"/>
    <w:qFormat/>
    <w:rsid w:val="0044168b"/>
    <w:rPr/>
  </w:style>
  <w:style w:type="character" w:styleId="Rvts44" w:customStyle="1">
    <w:name w:val="rvts44"/>
    <w:basedOn w:val="DefaultParagraphFont"/>
    <w:qFormat/>
    <w:rsid w:val="0044168b"/>
    <w:rPr/>
  </w:style>
  <w:style w:type="character" w:styleId="Rvts15" w:customStyle="1">
    <w:name w:val="rvts15"/>
    <w:basedOn w:val="DefaultParagraphFont"/>
    <w:qFormat/>
    <w:rsid w:val="0044168b"/>
    <w:rPr/>
  </w:style>
  <w:style w:type="character" w:styleId="Atlabel" w:customStyle="1">
    <w:name w:val="at-label"/>
    <w:basedOn w:val="DefaultParagraphFont"/>
    <w:qFormat/>
    <w:rsid w:val="0044168b"/>
    <w:rPr/>
  </w:style>
  <w:style w:type="character" w:styleId="31" w:customStyle="1">
    <w:name w:val="Заголовок 3 Знак"/>
    <w:basedOn w:val="DefaultParagraphFont"/>
    <w:link w:val="3"/>
    <w:uiPriority w:val="9"/>
    <w:semiHidden/>
    <w:qFormat/>
    <w:rsid w:val="007c6286"/>
    <w:rPr>
      <w:rFonts w:ascii="Cambria" w:hAnsi="Cambria" w:eastAsia="" w:cs="" w:asciiTheme="majorHAnsi" w:cstheme="majorBidi" w:eastAsiaTheme="majorEastAsia" w:hAnsiTheme="majorHAnsi"/>
      <w:b/>
      <w:bCs/>
      <w:color w:val="4F81BD" w:themeColor="accent1"/>
    </w:rPr>
  </w:style>
  <w:style w:type="character" w:styleId="12" w:customStyle="1">
    <w:name w:val="Тема примечания Знак1"/>
    <w:basedOn w:val="Style16"/>
    <w:uiPriority w:val="99"/>
    <w:semiHidden/>
    <w:qFormat/>
    <w:rsid w:val="00c170b6"/>
    <w:rPr>
      <w:b/>
      <w:bCs/>
      <w:sz w:val="20"/>
      <w:szCs w:val="20"/>
    </w:rPr>
  </w:style>
  <w:style w:type="paragraph" w:styleId="Style18">
    <w:name w:val="Заголовок"/>
    <w:basedOn w:val="Normal"/>
    <w:next w:val="Style19"/>
    <w:qFormat/>
    <w:pPr>
      <w:keepNext w:val="true"/>
      <w:spacing w:before="240" w:after="120"/>
    </w:pPr>
    <w:rPr>
      <w:rFonts w:ascii="Liberation Sans" w:hAnsi="Liberation Sans" w:eastAsia="Microsoft YaHei" w:cs="Arial"/>
      <w:sz w:val="28"/>
      <w:szCs w:val="28"/>
    </w:rPr>
  </w:style>
  <w:style w:type="paragraph" w:styleId="Style19">
    <w:name w:val="Body Text"/>
    <w:basedOn w:val="Normal"/>
    <w:link w:val="a5"/>
    <w:rsid w:val="00854a18"/>
    <w:pPr>
      <w:widowControl w:val="false"/>
      <w:suppressAutoHyphens w:val="true"/>
      <w:spacing w:lineRule="auto" w:line="240" w:before="0" w:after="120"/>
    </w:pPr>
    <w:rPr>
      <w:rFonts w:ascii="Times New Roman" w:hAnsi="Times New Roman" w:eastAsia="SimSun" w:cs="Lucida Sans"/>
      <w:kern w:val="2"/>
      <w:sz w:val="24"/>
      <w:szCs w:val="24"/>
      <w:lang w:eastAsia="hi-IN" w:bidi="hi-IN"/>
    </w:rPr>
  </w:style>
  <w:style w:type="paragraph" w:styleId="Style20">
    <w:name w:val="List"/>
    <w:basedOn w:val="Style19"/>
    <w:pPr/>
    <w:rPr>
      <w:rFonts w:cs="Arial"/>
    </w:rPr>
  </w:style>
  <w:style w:type="paragraph" w:styleId="Style21">
    <w:name w:val="Caption"/>
    <w:basedOn w:val="Normal"/>
    <w:qFormat/>
    <w:pPr>
      <w:suppressLineNumbers/>
      <w:spacing w:before="120" w:after="120"/>
    </w:pPr>
    <w:rPr>
      <w:rFonts w:cs="Arial"/>
      <w:i/>
      <w:iCs/>
      <w:sz w:val="24"/>
      <w:szCs w:val="24"/>
    </w:rPr>
  </w:style>
  <w:style w:type="paragraph" w:styleId="Style22">
    <w:name w:val="Указатель"/>
    <w:basedOn w:val="Normal"/>
    <w:qFormat/>
    <w:pPr>
      <w:suppressLineNumbers/>
    </w:pPr>
    <w:rPr>
      <w:rFonts w:cs="Arial"/>
    </w:rPr>
  </w:style>
  <w:style w:type="paragraph" w:styleId="ListParagraph">
    <w:name w:val="List Paragraph"/>
    <w:basedOn w:val="Normal"/>
    <w:uiPriority w:val="34"/>
    <w:qFormat/>
    <w:rsid w:val="00854a18"/>
    <w:pPr>
      <w:spacing w:before="0" w:after="200"/>
      <w:ind w:left="720" w:hanging="0"/>
      <w:contextualSpacing/>
    </w:pPr>
    <w:rPr/>
  </w:style>
  <w:style w:type="paragraph" w:styleId="13" w:customStyle="1">
    <w:name w:val="Обычный1"/>
    <w:qFormat/>
    <w:rsid w:val="00854a18"/>
    <w:pPr>
      <w:widowControl w:val="false"/>
      <w:shd w:val="clear" w:color="auto" w:fill="FFFFFF"/>
      <w:suppressAutoHyphens w:val="true"/>
      <w:bidi w:val="0"/>
      <w:spacing w:lineRule="atLeast" w:line="100" w:before="0" w:after="0"/>
      <w:jc w:val="left"/>
    </w:pPr>
    <w:rPr>
      <w:rFonts w:ascii="Times New Roman" w:hAnsi="Times New Roman" w:eastAsia="Times New Roman" w:cs="Times New Roman"/>
      <w:color w:val="000000"/>
      <w:kern w:val="2"/>
      <w:sz w:val="24"/>
      <w:szCs w:val="24"/>
      <w:u w:val="none" w:color="000000"/>
      <w:lang w:eastAsia="hi-IN" w:bidi="hi-IN" w:val="ru-RU"/>
    </w:rPr>
  </w:style>
  <w:style w:type="paragraph" w:styleId="BalloonText">
    <w:name w:val="Balloon Text"/>
    <w:basedOn w:val="Normal"/>
    <w:link w:val="aa"/>
    <w:uiPriority w:val="99"/>
    <w:semiHidden/>
    <w:unhideWhenUsed/>
    <w:qFormat/>
    <w:rsid w:val="00c45917"/>
    <w:pPr>
      <w:spacing w:lineRule="auto" w:line="240" w:before="0" w:after="0"/>
    </w:pPr>
    <w:rPr>
      <w:rFonts w:ascii="Tahoma" w:hAnsi="Tahoma" w:cs="Tahoma"/>
      <w:sz w:val="16"/>
      <w:szCs w:val="16"/>
    </w:rPr>
  </w:style>
  <w:style w:type="paragraph" w:styleId="Style23">
    <w:name w:val="Верхний и нижний колонтитулы"/>
    <w:basedOn w:val="Normal"/>
    <w:qFormat/>
    <w:pPr/>
    <w:rPr/>
  </w:style>
  <w:style w:type="paragraph" w:styleId="Style24">
    <w:name w:val="Header"/>
    <w:basedOn w:val="Normal"/>
    <w:link w:val="ac"/>
    <w:uiPriority w:val="99"/>
    <w:unhideWhenUsed/>
    <w:rsid w:val="00e905c9"/>
    <w:pPr>
      <w:tabs>
        <w:tab w:val="clear" w:pos="708"/>
        <w:tab w:val="center" w:pos="4677" w:leader="none"/>
        <w:tab w:val="right" w:pos="9355" w:leader="none"/>
      </w:tabs>
      <w:spacing w:lineRule="auto" w:line="240" w:before="0" w:after="0"/>
    </w:pPr>
    <w:rPr/>
  </w:style>
  <w:style w:type="paragraph" w:styleId="Style25">
    <w:name w:val="Footer"/>
    <w:basedOn w:val="Normal"/>
    <w:link w:val="ae"/>
    <w:uiPriority w:val="99"/>
    <w:unhideWhenUsed/>
    <w:rsid w:val="00e905c9"/>
    <w:pPr>
      <w:tabs>
        <w:tab w:val="clear" w:pos="708"/>
        <w:tab w:val="center" w:pos="4677" w:leader="none"/>
        <w:tab w:val="right" w:pos="9355" w:leader="none"/>
      </w:tabs>
      <w:spacing w:lineRule="auto" w:line="240" w:before="0" w:after="0"/>
    </w:pPr>
    <w:rPr/>
  </w:style>
  <w:style w:type="paragraph" w:styleId="Annotationtext">
    <w:name w:val="annotation text"/>
    <w:basedOn w:val="Normal"/>
    <w:link w:val="af0"/>
    <w:uiPriority w:val="99"/>
    <w:semiHidden/>
    <w:unhideWhenUsed/>
    <w:qFormat/>
    <w:rsid w:val="0044168b"/>
    <w:pPr>
      <w:spacing w:lineRule="auto" w:line="240"/>
    </w:pPr>
    <w:rPr>
      <w:sz w:val="20"/>
      <w:szCs w:val="20"/>
    </w:rPr>
  </w:style>
  <w:style w:type="paragraph" w:styleId="Annotationsubject">
    <w:name w:val="annotation subject"/>
    <w:basedOn w:val="Annotationtext"/>
    <w:next w:val="Annotationtext"/>
    <w:link w:val="af1"/>
    <w:uiPriority w:val="99"/>
    <w:semiHidden/>
    <w:unhideWhenUsed/>
    <w:qFormat/>
    <w:rsid w:val="0044168b"/>
    <w:pPr/>
    <w:rPr>
      <w:b/>
      <w:bCs/>
    </w:rPr>
  </w:style>
  <w:style w:type="paragraph" w:styleId="Bodytext21" w:customStyle="1">
    <w:name w:val="Body text (2)"/>
    <w:basedOn w:val="Normal"/>
    <w:link w:val="Bodytext2"/>
    <w:qFormat/>
    <w:rsid w:val="0044168b"/>
    <w:pPr>
      <w:widowControl w:val="false"/>
      <w:shd w:val="clear" w:color="auto" w:fill="FFFFFF"/>
      <w:spacing w:lineRule="atLeast" w:line="0" w:before="120" w:after="360"/>
      <w:jc w:val="both"/>
    </w:pPr>
    <w:rPr>
      <w:rFonts w:ascii="Times New Roman" w:hAnsi="Times New Roman" w:eastAsia="Times New Roman" w:cs="Times New Roman"/>
      <w:sz w:val="32"/>
      <w:szCs w:val="32"/>
    </w:rPr>
  </w:style>
  <w:style w:type="paragraph" w:styleId="Rvps7" w:customStyle="1">
    <w:name w:val="rvps7"/>
    <w:basedOn w:val="Normal"/>
    <w:qFormat/>
    <w:rsid w:val="0044168b"/>
    <w:pPr>
      <w:spacing w:lineRule="auto" w:line="240" w:beforeAutospacing="1" w:afterAutospacing="1"/>
    </w:pPr>
    <w:rPr>
      <w:rFonts w:ascii="Times New Roman" w:hAnsi="Times New Roman" w:eastAsia="Times New Roman" w:cs="Times New Roman"/>
      <w:sz w:val="24"/>
      <w:szCs w:val="24"/>
      <w:lang w:eastAsia="ru-RU"/>
    </w:rPr>
  </w:style>
  <w:style w:type="paragraph" w:styleId="Rvps17" w:customStyle="1">
    <w:name w:val="rvps17"/>
    <w:basedOn w:val="Normal"/>
    <w:qFormat/>
    <w:rsid w:val="0044168b"/>
    <w:pPr>
      <w:spacing w:lineRule="auto" w:line="240" w:beforeAutospacing="1" w:afterAutospacing="1"/>
    </w:pPr>
    <w:rPr>
      <w:rFonts w:ascii="Times New Roman" w:hAnsi="Times New Roman" w:eastAsia="Times New Roman" w:cs="Times New Roman"/>
      <w:sz w:val="24"/>
      <w:szCs w:val="24"/>
      <w:lang w:eastAsia="ru-RU"/>
    </w:rPr>
  </w:style>
  <w:style w:type="paragraph" w:styleId="Rvps6" w:customStyle="1">
    <w:name w:val="rvps6"/>
    <w:basedOn w:val="Normal"/>
    <w:qFormat/>
    <w:rsid w:val="0044168b"/>
    <w:pPr>
      <w:spacing w:lineRule="auto" w:line="240" w:beforeAutospacing="1" w:afterAutospacing="1"/>
    </w:pPr>
    <w:rPr>
      <w:rFonts w:ascii="Times New Roman" w:hAnsi="Times New Roman" w:eastAsia="Times New Roman" w:cs="Times New Roman"/>
      <w:sz w:val="24"/>
      <w:szCs w:val="24"/>
      <w:lang w:eastAsia="ru-RU"/>
    </w:rPr>
  </w:style>
  <w:style w:type="paragraph" w:styleId="Rvps2" w:customStyle="1">
    <w:name w:val="rvps2"/>
    <w:basedOn w:val="Normal"/>
    <w:qFormat/>
    <w:rsid w:val="0044168b"/>
    <w:pPr>
      <w:spacing w:lineRule="auto" w:line="240" w:beforeAutospacing="1" w:afterAutospacing="1"/>
    </w:pPr>
    <w:rPr>
      <w:rFonts w:ascii="Times New Roman" w:hAnsi="Times New Roman" w:eastAsia="Times New Roman" w:cs="Times New Roman"/>
      <w:sz w:val="24"/>
      <w:szCs w:val="24"/>
      <w:lang w:eastAsia="ru-RU"/>
    </w:rPr>
  </w:style>
  <w:style w:type="paragraph" w:styleId="Rvps4" w:customStyle="1">
    <w:name w:val="rvps4"/>
    <w:basedOn w:val="Normal"/>
    <w:qFormat/>
    <w:rsid w:val="0044168b"/>
    <w:pPr>
      <w:spacing w:lineRule="auto" w:line="240" w:beforeAutospacing="1" w:afterAutospacing="1"/>
    </w:pPr>
    <w:rPr>
      <w:rFonts w:ascii="Times New Roman" w:hAnsi="Times New Roman" w:eastAsia="Times New Roman" w:cs="Times New Roman"/>
      <w:sz w:val="24"/>
      <w:szCs w:val="24"/>
      <w:lang w:eastAsia="ru-RU"/>
    </w:rPr>
  </w:style>
  <w:style w:type="paragraph" w:styleId="Rvps15" w:customStyle="1">
    <w:name w:val="rvps15"/>
    <w:basedOn w:val="Normal"/>
    <w:qFormat/>
    <w:rsid w:val="0044168b"/>
    <w:pPr>
      <w:spacing w:lineRule="auto" w:line="240" w:beforeAutospacing="1" w:afterAutospacing="1"/>
    </w:pPr>
    <w:rPr>
      <w:rFonts w:ascii="Times New Roman" w:hAnsi="Times New Roman" w:eastAsia="Times New Roman" w:cs="Times New Roman"/>
      <w:sz w:val="24"/>
      <w:szCs w:val="24"/>
      <w:lang w:eastAsia="ru-RU"/>
    </w:rPr>
  </w:style>
  <w:style w:type="paragraph" w:styleId="Rvps14" w:customStyle="1">
    <w:name w:val="rvps14"/>
    <w:basedOn w:val="Normal"/>
    <w:qFormat/>
    <w:rsid w:val="0044168b"/>
    <w:pPr>
      <w:spacing w:lineRule="auto" w:line="240" w:beforeAutospacing="1" w:afterAutospacing="1"/>
    </w:pPr>
    <w:rPr>
      <w:rFonts w:ascii="Times New Roman" w:hAnsi="Times New Roman" w:eastAsia="Times New Roman" w:cs="Times New Roman"/>
      <w:sz w:val="24"/>
      <w:szCs w:val="24"/>
      <w:lang w:eastAsia="ru-RU"/>
    </w:rPr>
  </w:style>
  <w:style w:type="paragraph" w:styleId="Rvps12" w:customStyle="1">
    <w:name w:val="rvps12"/>
    <w:basedOn w:val="Normal"/>
    <w:qFormat/>
    <w:rsid w:val="0044168b"/>
    <w:pPr>
      <w:spacing w:lineRule="auto" w:line="240" w:beforeAutospacing="1" w:afterAutospacing="1"/>
    </w:pPr>
    <w:rPr>
      <w:rFonts w:ascii="Times New Roman" w:hAnsi="Times New Roman" w:eastAsia="Times New Roman" w:cs="Times New Roman"/>
      <w:sz w:val="24"/>
      <w:szCs w:val="24"/>
      <w:lang w:eastAsia="ru-RU"/>
    </w:rPr>
  </w:style>
  <w:style w:type="paragraph" w:styleId="NormalWeb">
    <w:name w:val="Normal (Web)"/>
    <w:basedOn w:val="Normal"/>
    <w:uiPriority w:val="99"/>
    <w:unhideWhenUsed/>
    <w:qFormat/>
    <w:rsid w:val="00a0058c"/>
    <w:pPr>
      <w:spacing w:lineRule="auto" w:line="240" w:beforeAutospacing="1" w:afterAutospacing="1"/>
    </w:pPr>
    <w:rPr>
      <w:rFonts w:ascii="Times New Roman" w:hAnsi="Times New Roman" w:eastAsia="Times New Roman" w:cs="Times New Roman"/>
      <w:sz w:val="24"/>
      <w:szCs w:val="24"/>
      <w:lang w:eastAsia="ru-RU"/>
    </w:rPr>
  </w:style>
  <w:style w:type="paragraph" w:styleId="NoSpacing">
    <w:name w:val="No Spacing"/>
    <w:uiPriority w:val="1"/>
    <w:qFormat/>
    <w:rsid w:val="00103ed0"/>
    <w:pPr>
      <w:widowControl/>
      <w:bidi w:val="0"/>
      <w:spacing w:lineRule="auto" w:line="240" w:before="0" w:after="0"/>
      <w:jc w:val="left"/>
    </w:pPr>
    <w:rPr>
      <w:rFonts w:ascii="Calibri" w:hAnsi="Calibri" w:eastAsia="Calibri" w:cs="" w:asciiTheme="minorHAnsi" w:cstheme="minorBidi" w:eastAsiaTheme="minorHAnsi" w:hAnsiTheme="minorHAnsi"/>
      <w:color w:val="auto"/>
      <w:kern w:val="0"/>
      <w:sz w:val="22"/>
      <w:szCs w:val="22"/>
      <w:lang w:val="uk-UA" w:eastAsia="en-US" w:bidi="ar-SA"/>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 w:type="table" w:styleId="a8">
    <w:name w:val="Table Grid"/>
    <w:basedOn w:val="a1"/>
    <w:rsid w:val="008965de"/>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ssrn.com/abstract=2925310" TargetMode="External"/><Relationship Id="rId3" Type="http://schemas.openxmlformats.org/officeDocument/2006/relationships/hyperlink" Target="https://dash.harvard.edu/handle/1/33110114" TargetMode="External"/><Relationship Id="rId4" Type="http://schemas.openxmlformats.org/officeDocument/2006/relationships/hyperlink" Target="https://ssrn.com/abstract=3080381" TargetMode="External"/><Relationship Id="rId5" Type="http://schemas.openxmlformats.org/officeDocument/2006/relationships/hyperlink" Target="https://ssrn.com/abstract=3506084" TargetMode="External"/><Relationship Id="rId6" Type="http://schemas.openxmlformats.org/officeDocument/2006/relationships/hyperlink" Target="https://ssrn.com/abstract=3482546" TargetMode="External"/><Relationship Id="rId7" Type="http://schemas.openxmlformats.org/officeDocument/2006/relationships/hyperlink" Target="https://ssrn.com/abstract=3521035" TargetMode="External"/><Relationship Id="rId8" Type="http://schemas.openxmlformats.org/officeDocument/2006/relationships/hyperlink" Target="https://ssrn.com/abstract=3765217" TargetMode="External"/><Relationship Id="rId9" Type="http://schemas.openxmlformats.org/officeDocument/2006/relationships/hyperlink" Target="https://ssrn.com/abstract=3433728" TargetMode="External"/><Relationship Id="rId10" Type="http://schemas.openxmlformats.org/officeDocument/2006/relationships/hyperlink" Target="https://www.wsj.com/articles/is-tesla-or-exxon-more-sustainable-it-depends-whom-you-ask-1537199931" TargetMode="External"/><Relationship Id="rId11" Type="http://schemas.openxmlformats.org/officeDocument/2006/relationships/hyperlink" Target="https://ssrn.com/abstract=3438533" TargetMode="External"/><Relationship Id="rId12" Type="http://schemas.openxmlformats.org/officeDocument/2006/relationships/hyperlink" Target="https://ssrn.com/abstract=3793804" TargetMode="External"/><Relationship Id="rId13" Type="http://schemas.openxmlformats.org/officeDocument/2006/relationships/hyperlink" Target="https://ssrn.com/abstract=2749626" TargetMode="External"/><Relationship Id="rId14" Type="http://schemas.openxmlformats.org/officeDocument/2006/relationships/hyperlink" Target="https://ssrn.com/abstract=3316862" TargetMode="External"/><Relationship Id="rId15" Type="http://schemas.openxmlformats.org/officeDocument/2006/relationships/hyperlink" Target="https://www.cfainstitute.org/en/research/foundation/2020/esg-and-responsibleinstitutional-investing" TargetMode="External"/><Relationship Id="rId16" Type="http://schemas.openxmlformats.org/officeDocument/2006/relationships/hyperlink" Target="https://www.stern.nyu.edu/sites/default/files/assets/documents/NYU-RAM_ESGPaper_2021 Rev.pdf" TargetMode="External"/><Relationship Id="rId17" Type="http://schemas.openxmlformats.org/officeDocument/2006/relationships/hyperlink" Target="https://ssrn.com/abstract=3675920" TargetMode="External"/><Relationship Id="rId18" Type="http://schemas.openxmlformats.org/officeDocument/2006/relationships/hyperlink" Target="https://ecgi.global/sites/default/files/working_papers/documents/bergfabisiksautnerfinal.pdf" TargetMode="External"/><Relationship Id="rId19" Type="http://schemas.openxmlformats.org/officeDocument/2006/relationships/hyperlink" Target="https://ssrn.com/abstract=2978794" TargetMode="External"/><Relationship Id="rId20" Type="http://schemas.openxmlformats.org/officeDocument/2006/relationships/hyperlink" Target="https://ssrn.com/abstract=2874252" TargetMode="External"/><Relationship Id="rId21" Type="http://schemas.openxmlformats.org/officeDocument/2006/relationships/hyperlink" Target="https://doi.org/10.1287/mnsc.2018.3043" TargetMode="External"/><Relationship Id="rId22" Type="http://schemas.openxmlformats.org/officeDocument/2006/relationships/hyperlink" Target="https://pdfs.semanticscholar.org/76ca/b76c152719deeb059cb993a83cf164257b37.pdf" TargetMode="External"/><Relationship Id="rId23" Type="http://schemas.openxmlformats.org/officeDocument/2006/relationships/hyperlink" Target="http://www.lawandenvironment.com/wp-content/uploads/sites/5/2017/03/Black-Rock.pdf" TargetMode="External"/><Relationship Id="rId24" Type="http://schemas.openxmlformats.org/officeDocument/2006/relationships/hyperlink" Target="https://www.ft.com/content/6f9dc2cc-e512-11e7-97e2-916d4fbac0da" TargetMode="External"/><Relationship Id="rId25" Type="http://schemas.openxmlformats.org/officeDocument/2006/relationships/hyperlink" Target="https://econpapers.repec.org/paper/nbrnberwo/24063.htm" TargetMode="External"/><Relationship Id="rId26" Type="http://schemas.openxmlformats.org/officeDocument/2006/relationships/hyperlink" Target="https://doi.org/10.32843/infrastruct51-5" TargetMode="External"/><Relationship Id="rId27" Type="http://schemas.openxmlformats.org/officeDocument/2006/relationships/hyperlink" Target="https://emea1.apps.cp.thomsonreuters.com/web/cms/?pageId=esg" TargetMode="External"/><Relationship Id="rId28" Type="http://schemas.openxmlformats.org/officeDocument/2006/relationships/hyperlink" Target="https://assets.kpmg/content/dam/kpmg/xx/pdf/2019/05/eps-handbook-2019.pdf" TargetMode="External"/><Relationship Id="rId29" Type="http://schemas.openxmlformats.org/officeDocument/2006/relationships/hyperlink" Target="http://dspace.onu.edu.ua:8080/handle/123456789/30485" TargetMode="External"/><Relationship Id="rId30" Type="http://schemas.openxmlformats.org/officeDocument/2006/relationships/hyperlink" Target="https://opac.perpusnas.go.id/DetailOpac.aspx?id=509201" TargetMode="External"/><Relationship Id="rId31" Type="http://schemas.openxmlformats.org/officeDocument/2006/relationships/hyperlink" Target="https://www.researchgate.net/publication/334958999" TargetMode="External"/><Relationship Id="rId32" Type="http://schemas.openxmlformats.org/officeDocument/2006/relationships/hyperlink" Target="https://economictimes.indiatimes.com/wealth/invest/how-a-companys-debt-can-influence-shareholder-earnings/articleshow/65079294.cms?from=mdr" TargetMode="External"/><Relationship Id="rId33" Type="http://schemas.openxmlformats.org/officeDocument/2006/relationships/hyperlink" Target="https://www.spglobal.com/marketintelligence/en/documents/112727-gics-mapbook_2018_v3_letter_digitalspreads.pdf" TargetMode="External"/><Relationship Id="rId34" Type="http://schemas.openxmlformats.org/officeDocument/2006/relationships/hyperlink" Target="https://studme.org/72697/ekonomika/vybor_modeli" TargetMode="External"/><Relationship Id="rId35" Type="http://schemas.openxmlformats.org/officeDocument/2006/relationships/hyperlink" Target="https://www.morningstar.co.uk/uk/news/211424/which-countries-lead-on-esg.aspx" TargetMode="External"/><Relationship Id="rId36" Type="http://schemas.openxmlformats.org/officeDocument/2006/relationships/hyperlink" Target="https://esgclarity.com/how-do-different-regions-score-on-esg-attributes/" TargetMode="External"/><Relationship Id="rId37" Type="http://schemas.openxmlformats.org/officeDocument/2006/relationships/hyperlink" Target="https://www.spglobal.com/_media/documents/ratingsdirect_theesgriskatlassectorandregionalrationalesandscores_41534468_may-15-2019.pdf" TargetMode="External"/><Relationship Id="rId38" Type="http://schemas.openxmlformats.org/officeDocument/2006/relationships/hyperlink" Target="https://www.nutmeg.com/nutmegonomics/different-regions-esg/" TargetMode="External"/><Relationship Id="rId39" Type="http://schemas.openxmlformats.org/officeDocument/2006/relationships/hyperlink" Target="https://esgclarity.com/which-country-does-esg-best/" TargetMode="External"/><Relationship Id="rId40" Type="http://schemas.openxmlformats.org/officeDocument/2006/relationships/hyperlink" Target="https://www.irmagazine.com/buy-side/asset-owners-focus-esg-amid-pandemic-regional-differences-sustainability-remain-stark" TargetMode="External"/><Relationship Id="rId41" Type="http://schemas.openxmlformats.org/officeDocument/2006/relationships/hyperlink" Target="https://www.fitchratings.com/research/international-public-finance/esg-influences-vary-by-region-in-international-public-finance-17-11-2021" TargetMode="External"/><Relationship Id="rId42" Type="http://schemas.openxmlformats.org/officeDocument/2006/relationships/hyperlink" Target="https://sustainabledevelopment.un.org/post2015/summit" TargetMode="External"/><Relationship Id="rId43" Type="http://schemas.openxmlformats.org/officeDocument/2006/relationships/hyperlink" Target="https://www.un.org/ga/search/view_doc.asp?symbol=A/RES/70/1&amp;Lang=E" TargetMode="External"/><Relationship Id="rId44" Type="http://schemas.openxmlformats.org/officeDocument/2006/relationships/hyperlink" Target="https://csr-ukraine.org/" TargetMode="External"/><Relationship Id="rId45" Type="http://schemas.openxmlformats.org/officeDocument/2006/relationships/hyperlink" Target="https://csr-ukraine.org/wp-content/uploads/2020/12/Vpliv-biznesu-na-CSR.pdf" TargetMode="External"/><Relationship Id="rId46" Type="http://schemas.openxmlformats.org/officeDocument/2006/relationships/hyperlink" Target="https://cutt.ly/YYZZexE" TargetMode="External"/><Relationship Id="rId47" Type="http://schemas.openxmlformats.org/officeDocument/2006/relationships/hyperlink" Target="http://csr-ua.info/csr-ukraine/wp-content/uploads/2018/10/CSR_2017_reserch-1.pdf" TargetMode="External"/><Relationship Id="rId48" Type="http://schemas.openxmlformats.org/officeDocument/2006/relationships/hyperlink" Target="https://www.kernel.ua/ua/about/" TargetMode="External"/><Relationship Id="rId49" Type="http://schemas.openxmlformats.org/officeDocument/2006/relationships/hyperlink" Target="https://emea1.apps.cp.thomsonreuters.com/web/Apps/Corp?s=KER.WA&amp;st=RIC&amp;app=true" TargetMode="External"/><Relationship Id="rId50" Type="http://schemas.openxmlformats.org/officeDocument/2006/relationships/hyperlink" Target="https://zakon.rada.gov.ua/laws/show/66-2020-&#1088;" TargetMode="External"/><Relationship Id="rId51" Type="http://schemas.openxmlformats.org/officeDocument/2006/relationships/header" Target="header1.xml"/><Relationship Id="rId52" Type="http://schemas.openxmlformats.org/officeDocument/2006/relationships/header" Target="header2.xml"/><Relationship Id="rId53" Type="http://schemas.openxmlformats.org/officeDocument/2006/relationships/numbering" Target="numbering.xml"/><Relationship Id="rId54" Type="http://schemas.openxmlformats.org/officeDocument/2006/relationships/fontTable" Target="fontTable.xml"/><Relationship Id="rId55" Type="http://schemas.openxmlformats.org/officeDocument/2006/relationships/settings" Target="settings.xml"/><Relationship Id="rId56" Type="http://schemas.openxmlformats.org/officeDocument/2006/relationships/theme" Target="theme/theme1.xml"/><Relationship Id="rId57"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5190FE-D275-4D99-A8BF-B107A76DE9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9142</TotalTime>
  <Application>LibreOffice/7.0.2.2$Windows_X86_64 LibreOffice_project/8349ace3c3162073abd90d81fd06dcfb6b36b994</Application>
  <Pages>36</Pages>
  <Words>15219</Words>
  <Characters>77967</Characters>
  <CharactersWithSpaces>85302</CharactersWithSpaces>
  <Paragraphs>8429</Paragraphs>
  <Company>SPecialiST RePack</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2021-09-16T09:32:00Z</dcterms:created>
  <dc:creator>Пользователь Windows</dc:creator>
  <dc:description/>
  <dc:language>ru-RU</dc:language>
  <cp:lastModifiedBy/>
  <cp:lastPrinted>2021-12-23T16:12:00Z</cp:lastPrinted>
  <dcterms:modified xsi:type="dcterms:W3CDTF">2022-08-23T22:56:20Z</dcterms:modified>
  <cp:revision>351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SPecialiST RePack</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