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sdt>
      <w:sdtPr>
        <w:tag w:val="goog_rdk_0"/>
      </w:sdtPr>
      <w:sdtContent>
        <w:p w:rsidR="00000000" w:rsidDel="00000000" w:rsidP="00000000" w:rsidRDefault="00000000" w:rsidRPr="00000000" w14:paraId="00000001">
          <w:pPr>
            <w:pStyle w:val="Heading1"/>
            <w:spacing w:after="0" w:before="0" w:line="432" w:lineRule="auto"/>
            <w:jc w:val="center"/>
            <w:rPr>
              <w:rFonts w:ascii="Times New Roman" w:cs="Times New Roman" w:eastAsia="Times New Roman" w:hAnsi="Times New Roman"/>
              <w:sz w:val="27"/>
              <w:szCs w:val="27"/>
            </w:rPr>
          </w:pPr>
          <w:bookmarkStart w:colFirst="0" w:colLast="0" w:name="_heading=h.5a3s7z8bngk4" w:id="0"/>
          <w:bookmarkEnd w:id="0"/>
          <w:r w:rsidDel="00000000" w:rsidR="00000000" w:rsidRPr="00000000">
            <w:rPr>
              <w:rFonts w:ascii="Times New Roman" w:cs="Times New Roman" w:eastAsia="Times New Roman" w:hAnsi="Times New Roman"/>
              <w:sz w:val="27"/>
              <w:szCs w:val="27"/>
              <w:rtl w:val="0"/>
            </w:rPr>
            <w:t xml:space="preserve">ОДЕСЬКИЙ НАЦІОНАЛЬНИЙ УНІВЕРСИТЕТ ІМЕНІ І. І. МЕЧНИКОВА</w:t>
          </w:r>
        </w:p>
      </w:sdtContent>
    </w:sdt>
    <w:sdt>
      <w:sdtPr>
        <w:tag w:val="goog_rdk_1"/>
      </w:sdtPr>
      <w:sdtContent>
        <w:p w:rsidR="00000000" w:rsidDel="00000000" w:rsidP="00000000" w:rsidRDefault="00000000" w:rsidRPr="00000000" w14:paraId="00000002">
          <w:pPr>
            <w:pStyle w:val="Heading1"/>
            <w:spacing w:after="0" w:before="0" w:line="432" w:lineRule="auto"/>
            <w:jc w:val="center"/>
            <w:rPr>
              <w:rFonts w:ascii="Times New Roman" w:cs="Times New Roman" w:eastAsia="Times New Roman" w:hAnsi="Times New Roman"/>
              <w:sz w:val="27"/>
              <w:szCs w:val="27"/>
            </w:rPr>
          </w:pPr>
          <w:bookmarkStart w:colFirst="0" w:colLast="0" w:name="_heading=h.5a3s7z8bngk4" w:id="0"/>
          <w:bookmarkEnd w:id="0"/>
          <w:r w:rsidDel="00000000" w:rsidR="00000000" w:rsidRPr="00000000">
            <w:rPr>
              <w:rFonts w:ascii="Times New Roman" w:cs="Times New Roman" w:eastAsia="Times New Roman" w:hAnsi="Times New Roman"/>
              <w:sz w:val="27"/>
              <w:szCs w:val="27"/>
              <w:rtl w:val="0"/>
            </w:rPr>
            <w:t xml:space="preserve">Економіко-правовий факультет</w:t>
          </w:r>
        </w:p>
      </w:sdtContent>
    </w:sdt>
    <w:sdt>
      <w:sdtPr>
        <w:tag w:val="goog_rdk_2"/>
      </w:sdtPr>
      <w:sdtContent>
        <w:p w:rsidR="00000000" w:rsidDel="00000000" w:rsidP="00000000" w:rsidRDefault="00000000" w:rsidRPr="00000000" w14:paraId="00000003">
          <w:pPr>
            <w:pStyle w:val="Heading1"/>
            <w:spacing w:after="0" w:before="0" w:line="432" w:lineRule="auto"/>
            <w:jc w:val="center"/>
            <w:rPr>
              <w:rFonts w:ascii="Times New Roman" w:cs="Times New Roman" w:eastAsia="Times New Roman" w:hAnsi="Times New Roman"/>
              <w:sz w:val="27"/>
              <w:szCs w:val="27"/>
            </w:rPr>
          </w:pPr>
          <w:bookmarkStart w:colFirst="0" w:colLast="0" w:name="_heading=h.5a3s7z8bngk4" w:id="0"/>
          <w:bookmarkEnd w:id="0"/>
          <w:r w:rsidDel="00000000" w:rsidR="00000000" w:rsidRPr="00000000">
            <w:rPr>
              <w:rFonts w:ascii="Times New Roman" w:cs="Times New Roman" w:eastAsia="Times New Roman" w:hAnsi="Times New Roman"/>
              <w:sz w:val="27"/>
              <w:szCs w:val="27"/>
              <w:rtl w:val="0"/>
            </w:rPr>
            <w:t xml:space="preserve">Кафедра конституційного права та правосуддя</w:t>
          </w:r>
        </w:p>
      </w:sdtContent>
    </w:sdt>
    <w:p w:rsidR="00000000" w:rsidDel="00000000" w:rsidP="00000000" w:rsidRDefault="00000000" w:rsidRPr="00000000" w14:paraId="00000004">
      <w:pPr>
        <w:pStyle w:val="Heading1"/>
        <w:spacing w:after="0" w:before="0" w:line="432" w:lineRule="auto"/>
        <w:jc w:val="center"/>
        <w:rPr>
          <w:rFonts w:ascii="Times New Roman" w:cs="Times New Roman" w:eastAsia="Times New Roman" w:hAnsi="Times New Roman"/>
          <w:b w:val="1"/>
          <w:sz w:val="18"/>
          <w:szCs w:val="18"/>
        </w:rPr>
      </w:pPr>
      <w:bookmarkStart w:colFirst="0" w:colLast="0" w:name="_heading=h.5a3s7z8bngk4" w:id="0"/>
      <w:bookmarkEnd w:id="0"/>
      <w:r w:rsidDel="00000000" w:rsidR="00000000" w:rsidRPr="00000000">
        <w:rPr>
          <w:rFonts w:ascii="Times New Roman" w:cs="Times New Roman" w:eastAsia="Times New Roman" w:hAnsi="Times New Roman"/>
          <w:b w:val="1"/>
          <w:sz w:val="18"/>
          <w:szCs w:val="18"/>
          <w:rtl w:val="0"/>
        </w:rPr>
        <w:t xml:space="preserve"> </w:t>
      </w:r>
    </w:p>
    <w:p w:rsidR="00000000" w:rsidDel="00000000" w:rsidP="00000000" w:rsidRDefault="00000000" w:rsidRPr="00000000" w14:paraId="00000005">
      <w:pPr>
        <w:pStyle w:val="Heading1"/>
        <w:spacing w:after="0" w:before="0" w:line="432" w:lineRule="auto"/>
        <w:jc w:val="center"/>
        <w:rPr>
          <w:rFonts w:ascii="Times New Roman" w:cs="Times New Roman" w:eastAsia="Times New Roman" w:hAnsi="Times New Roman"/>
          <w:b w:val="1"/>
          <w:sz w:val="14"/>
          <w:szCs w:val="14"/>
        </w:rPr>
      </w:pPr>
      <w:bookmarkStart w:colFirst="0" w:colLast="0" w:name="_heading=h.crvh74o92fuh" w:id="1"/>
      <w:bookmarkEnd w:id="1"/>
      <w:r w:rsidDel="00000000" w:rsidR="00000000" w:rsidRPr="00000000">
        <w:rPr>
          <w:rtl w:val="0"/>
        </w:rPr>
      </w:r>
    </w:p>
    <w:p w:rsidR="00000000" w:rsidDel="00000000" w:rsidP="00000000" w:rsidRDefault="00000000" w:rsidRPr="00000000" w14:paraId="00000006">
      <w:pPr>
        <w:pStyle w:val="Heading1"/>
        <w:spacing w:after="0" w:before="0" w:line="432" w:lineRule="auto"/>
        <w:jc w:val="center"/>
        <w:rPr>
          <w:rFonts w:ascii="Times New Roman" w:cs="Times New Roman" w:eastAsia="Times New Roman" w:hAnsi="Times New Roman"/>
          <w:b w:val="1"/>
          <w:sz w:val="14"/>
          <w:szCs w:val="14"/>
        </w:rPr>
      </w:pPr>
      <w:bookmarkStart w:colFirst="0" w:colLast="0" w:name="_heading=h.lvsuxdcn2ow0" w:id="2"/>
      <w:bookmarkEnd w:id="2"/>
      <w:r w:rsidDel="00000000" w:rsidR="00000000" w:rsidRPr="00000000">
        <w:rPr>
          <w:rtl w:val="0"/>
        </w:rPr>
      </w:r>
    </w:p>
    <w:p w:rsidR="00000000" w:rsidDel="00000000" w:rsidP="00000000" w:rsidRDefault="00000000" w:rsidRPr="00000000" w14:paraId="00000007">
      <w:pPr>
        <w:pStyle w:val="Heading1"/>
        <w:spacing w:after="0" w:before="0" w:line="432" w:lineRule="auto"/>
        <w:jc w:val="center"/>
        <w:rPr>
          <w:rFonts w:ascii="Times New Roman" w:cs="Times New Roman" w:eastAsia="Times New Roman" w:hAnsi="Times New Roman"/>
          <w:b w:val="1"/>
          <w:sz w:val="14"/>
          <w:szCs w:val="14"/>
        </w:rPr>
      </w:pPr>
      <w:bookmarkStart w:colFirst="0" w:colLast="0" w:name="_heading=h.5a3s7z8bngk4" w:id="0"/>
      <w:bookmarkEnd w:id="0"/>
      <w:r w:rsidDel="00000000" w:rsidR="00000000" w:rsidRPr="00000000">
        <w:rPr>
          <w:rFonts w:ascii="Times New Roman" w:cs="Times New Roman" w:eastAsia="Times New Roman" w:hAnsi="Times New Roman"/>
          <w:b w:val="1"/>
          <w:sz w:val="14"/>
          <w:szCs w:val="14"/>
          <w:rtl w:val="0"/>
        </w:rPr>
        <w:t xml:space="preserve"> </w:t>
      </w:r>
    </w:p>
    <w:p w:rsidR="00000000" w:rsidDel="00000000" w:rsidP="00000000" w:rsidRDefault="00000000" w:rsidRPr="00000000" w14:paraId="00000008">
      <w:pPr>
        <w:pStyle w:val="Heading1"/>
        <w:spacing w:after="0" w:before="0" w:line="432" w:lineRule="auto"/>
        <w:jc w:val="center"/>
        <w:rPr>
          <w:rFonts w:ascii="Times New Roman" w:cs="Times New Roman" w:eastAsia="Times New Roman" w:hAnsi="Times New Roman"/>
          <w:b w:val="1"/>
          <w:sz w:val="20"/>
          <w:szCs w:val="20"/>
        </w:rPr>
      </w:pPr>
      <w:bookmarkStart w:colFirst="0" w:colLast="0" w:name="_heading=h.5a3s7z8bngk4" w:id="0"/>
      <w:bookmarkEnd w:id="0"/>
      <w:r w:rsidDel="00000000" w:rsidR="00000000" w:rsidRPr="00000000">
        <w:rPr>
          <w:rFonts w:ascii="Times New Roman" w:cs="Times New Roman" w:eastAsia="Times New Roman" w:hAnsi="Times New Roman"/>
          <w:b w:val="1"/>
          <w:sz w:val="20"/>
          <w:szCs w:val="20"/>
          <w:rtl w:val="0"/>
        </w:rPr>
        <w:t xml:space="preserve"> </w:t>
      </w:r>
    </w:p>
    <w:sdt>
      <w:sdtPr>
        <w:tag w:val="goog_rdk_3"/>
      </w:sdtPr>
      <w:sdtContent>
        <w:p w:rsidR="00000000" w:rsidDel="00000000" w:rsidP="00000000" w:rsidRDefault="00000000" w:rsidRPr="00000000" w14:paraId="00000009">
          <w:pPr>
            <w:pStyle w:val="Heading1"/>
            <w:spacing w:after="0" w:before="0" w:line="432" w:lineRule="auto"/>
            <w:jc w:val="center"/>
            <w:rPr>
              <w:rFonts w:ascii="Times New Roman" w:cs="Times New Roman" w:eastAsia="Times New Roman" w:hAnsi="Times New Roman"/>
              <w:b w:val="1"/>
              <w:sz w:val="28"/>
              <w:szCs w:val="28"/>
            </w:rPr>
          </w:pPr>
          <w:bookmarkStart w:colFirst="0" w:colLast="0" w:name="_heading=h.5a3s7z8bngk4" w:id="0"/>
          <w:bookmarkEnd w:id="0"/>
          <w:r w:rsidDel="00000000" w:rsidR="00000000" w:rsidRPr="00000000">
            <w:rPr>
              <w:rFonts w:ascii="Times New Roman" w:cs="Times New Roman" w:eastAsia="Times New Roman" w:hAnsi="Times New Roman"/>
              <w:b w:val="1"/>
              <w:sz w:val="28"/>
              <w:szCs w:val="28"/>
              <w:rtl w:val="0"/>
            </w:rPr>
            <w:t xml:space="preserve">Кваліфікаційна робота</w:t>
          </w:r>
        </w:p>
      </w:sdtContent>
    </w:sdt>
    <w:sdt>
      <w:sdtPr>
        <w:tag w:val="goog_rdk_4"/>
      </w:sdtPr>
      <w:sdtContent>
        <w:p w:rsidR="00000000" w:rsidDel="00000000" w:rsidP="00000000" w:rsidRDefault="00000000" w:rsidRPr="00000000" w14:paraId="0000000A">
          <w:pPr>
            <w:pStyle w:val="Heading1"/>
            <w:spacing w:after="0" w:before="0" w:line="432" w:lineRule="auto"/>
            <w:jc w:val="center"/>
            <w:rPr>
              <w:rFonts w:ascii="Times New Roman" w:cs="Times New Roman" w:eastAsia="Times New Roman" w:hAnsi="Times New Roman"/>
              <w:sz w:val="25"/>
              <w:szCs w:val="25"/>
            </w:rPr>
          </w:pPr>
          <w:bookmarkStart w:colFirst="0" w:colLast="0" w:name="_heading=h.5a3s7z8bngk4" w:id="0"/>
          <w:bookmarkEnd w:id="0"/>
          <w:r w:rsidDel="00000000" w:rsidR="00000000" w:rsidRPr="00000000">
            <w:rPr>
              <w:rFonts w:ascii="Times New Roman" w:cs="Times New Roman" w:eastAsia="Times New Roman" w:hAnsi="Times New Roman"/>
              <w:sz w:val="25"/>
              <w:szCs w:val="25"/>
              <w:rtl w:val="0"/>
            </w:rPr>
            <w:t xml:space="preserve">на здобуття ступеня вищої освіти «магістр»</w:t>
          </w:r>
        </w:p>
      </w:sdtContent>
    </w:sdt>
    <w:sdt>
      <w:sdtPr>
        <w:tag w:val="goog_rdk_5"/>
      </w:sdtPr>
      <w:sdtContent>
        <w:p w:rsidR="00000000" w:rsidDel="00000000" w:rsidP="00000000" w:rsidRDefault="00000000" w:rsidRPr="00000000" w14:paraId="0000000B">
          <w:pPr>
            <w:pStyle w:val="Heading1"/>
            <w:spacing w:after="0" w:before="0" w:line="432" w:lineRule="auto"/>
            <w:jc w:val="center"/>
            <w:rPr>
              <w:rFonts w:ascii="Times New Roman" w:cs="Times New Roman" w:eastAsia="Times New Roman" w:hAnsi="Times New Roman"/>
              <w:b w:val="1"/>
              <w:sz w:val="25"/>
              <w:szCs w:val="25"/>
            </w:rPr>
          </w:pPr>
          <w:bookmarkStart w:colFirst="0" w:colLast="0" w:name="_heading=h.5a3s7z8bngk4" w:id="0"/>
          <w:bookmarkEnd w:id="0"/>
          <w:r w:rsidDel="00000000" w:rsidR="00000000" w:rsidRPr="00000000">
            <w:rPr>
              <w:rFonts w:ascii="Times New Roman" w:cs="Times New Roman" w:eastAsia="Times New Roman" w:hAnsi="Times New Roman"/>
              <w:b w:val="1"/>
              <w:sz w:val="25"/>
              <w:szCs w:val="25"/>
              <w:rtl w:val="0"/>
            </w:rPr>
            <w:t xml:space="preserve">«Захист персональних даних при здійсненні правосуддя: проблеми правового регулювання та правозастосовної діяльності»</w:t>
          </w:r>
        </w:p>
      </w:sdtContent>
    </w:sdt>
    <w:sdt>
      <w:sdtPr>
        <w:tag w:val="goog_rdk_6"/>
      </w:sdtPr>
      <w:sdtContent>
        <w:p w:rsidR="00000000" w:rsidDel="00000000" w:rsidP="00000000" w:rsidRDefault="00000000" w:rsidRPr="00000000" w14:paraId="0000000C">
          <w:pPr>
            <w:pStyle w:val="Heading1"/>
            <w:spacing w:after="0" w:before="0" w:line="432" w:lineRule="auto"/>
            <w:jc w:val="center"/>
            <w:rPr>
              <w:rFonts w:ascii="Times New Roman" w:cs="Times New Roman" w:eastAsia="Times New Roman" w:hAnsi="Times New Roman"/>
              <w:b w:val="1"/>
              <w:sz w:val="22"/>
              <w:szCs w:val="22"/>
            </w:rPr>
          </w:pPr>
          <w:bookmarkStart w:colFirst="0" w:colLast="0" w:name="_heading=h.5a3s7z8bngk4" w:id="0"/>
          <w:bookmarkEnd w:id="0"/>
          <w:r w:rsidDel="00000000" w:rsidR="00000000" w:rsidRPr="00000000">
            <w:rPr>
              <w:rFonts w:ascii="Times New Roman" w:cs="Times New Roman" w:eastAsia="Times New Roman" w:hAnsi="Times New Roman"/>
              <w:b w:val="1"/>
              <w:sz w:val="25"/>
              <w:szCs w:val="25"/>
              <w:rtl w:val="0"/>
            </w:rPr>
            <w:t xml:space="preserve">«Protection of рersonal data in the administration of justice: problems of legal regulation and law Enforcement»</w:t>
          </w:r>
          <w:r w:rsidDel="00000000" w:rsidR="00000000" w:rsidRPr="00000000">
            <w:rPr>
              <w:rFonts w:ascii="Times New Roman" w:cs="Times New Roman" w:eastAsia="Times New Roman" w:hAnsi="Times New Roman"/>
              <w:b w:val="1"/>
              <w:sz w:val="22"/>
              <w:szCs w:val="22"/>
              <w:rtl w:val="0"/>
            </w:rPr>
            <w:t xml:space="preserve"> </w:t>
          </w:r>
        </w:p>
      </w:sdtContent>
    </w:sdt>
    <w:p w:rsidR="00000000" w:rsidDel="00000000" w:rsidP="00000000" w:rsidRDefault="00000000" w:rsidRPr="00000000" w14:paraId="0000000D">
      <w:pPr>
        <w:pStyle w:val="Heading1"/>
        <w:spacing w:after="0" w:before="0" w:line="288" w:lineRule="auto"/>
        <w:jc w:val="center"/>
        <w:rPr>
          <w:rFonts w:ascii="Times New Roman" w:cs="Times New Roman" w:eastAsia="Times New Roman" w:hAnsi="Times New Roman"/>
          <w:b w:val="1"/>
          <w:sz w:val="18"/>
          <w:szCs w:val="18"/>
        </w:rPr>
      </w:pPr>
      <w:bookmarkStart w:colFirst="0" w:colLast="0" w:name="_heading=h.5a3s7z8bngk4" w:id="0"/>
      <w:bookmarkEnd w:id="0"/>
      <w:r w:rsidDel="00000000" w:rsidR="00000000" w:rsidRPr="00000000">
        <w:rPr>
          <w:rFonts w:ascii="Times New Roman" w:cs="Times New Roman" w:eastAsia="Times New Roman" w:hAnsi="Times New Roman"/>
          <w:b w:val="1"/>
          <w:sz w:val="18"/>
          <w:szCs w:val="18"/>
          <w:rtl w:val="0"/>
        </w:rPr>
        <w:t xml:space="preserve"> </w:t>
      </w:r>
    </w:p>
    <w:p w:rsidR="00000000" w:rsidDel="00000000" w:rsidP="00000000" w:rsidRDefault="00000000" w:rsidRPr="00000000" w14:paraId="0000000E">
      <w:pPr>
        <w:pStyle w:val="Heading1"/>
        <w:spacing w:after="0" w:before="0" w:line="288" w:lineRule="auto"/>
        <w:jc w:val="center"/>
        <w:rPr>
          <w:rFonts w:ascii="Times New Roman" w:cs="Times New Roman" w:eastAsia="Times New Roman" w:hAnsi="Times New Roman"/>
          <w:b w:val="1"/>
          <w:sz w:val="22"/>
          <w:szCs w:val="22"/>
        </w:rPr>
      </w:pPr>
      <w:bookmarkStart w:colFirst="0" w:colLast="0" w:name="_heading=h.5a3s7z8bngk4" w:id="0"/>
      <w:bookmarkEnd w:id="0"/>
      <w:r w:rsidDel="00000000" w:rsidR="00000000" w:rsidRPr="00000000">
        <w:rPr>
          <w:rFonts w:ascii="Times New Roman" w:cs="Times New Roman" w:eastAsia="Times New Roman" w:hAnsi="Times New Roman"/>
          <w:b w:val="1"/>
          <w:sz w:val="18"/>
          <w:szCs w:val="18"/>
          <w:rtl w:val="0"/>
        </w:rPr>
        <w:t xml:space="preserve"> </w:t>
      </w:r>
      <w:r w:rsidDel="00000000" w:rsidR="00000000" w:rsidRPr="00000000">
        <w:rPr>
          <w:rtl w:val="0"/>
        </w:rPr>
      </w:r>
    </w:p>
    <w:p w:rsidR="00000000" w:rsidDel="00000000" w:rsidP="00000000" w:rsidRDefault="00000000" w:rsidRPr="00000000" w14:paraId="0000000F">
      <w:pPr>
        <w:pStyle w:val="Heading1"/>
        <w:spacing w:after="0" w:before="0" w:line="288" w:lineRule="auto"/>
        <w:jc w:val="center"/>
        <w:rPr>
          <w:rFonts w:ascii="Times New Roman" w:cs="Times New Roman" w:eastAsia="Times New Roman" w:hAnsi="Times New Roman"/>
          <w:b w:val="1"/>
          <w:sz w:val="22"/>
          <w:szCs w:val="22"/>
        </w:rPr>
      </w:pPr>
      <w:bookmarkStart w:colFirst="0" w:colLast="0" w:name="_heading=h.5a3s7z8bngk4" w:id="0"/>
      <w:bookmarkEnd w:id="0"/>
      <w:r w:rsidDel="00000000" w:rsidR="00000000" w:rsidRPr="00000000">
        <w:rPr>
          <w:rFonts w:ascii="Times New Roman" w:cs="Times New Roman" w:eastAsia="Times New Roman" w:hAnsi="Times New Roman"/>
          <w:b w:val="1"/>
          <w:sz w:val="22"/>
          <w:szCs w:val="22"/>
          <w:rtl w:val="0"/>
        </w:rPr>
        <w:t xml:space="preserve"> </w:t>
      </w:r>
    </w:p>
    <w:sdt>
      <w:sdtPr>
        <w:tag w:val="goog_rdk_7"/>
      </w:sdtPr>
      <w:sdtContent>
        <w:p w:rsidR="00000000" w:rsidDel="00000000" w:rsidP="00000000" w:rsidRDefault="00000000" w:rsidRPr="00000000" w14:paraId="00000010">
          <w:pPr>
            <w:pStyle w:val="Heading1"/>
            <w:spacing w:after="0" w:before="0" w:line="432" w:lineRule="auto"/>
            <w:ind w:left="1440" w:firstLine="0"/>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b w:val="1"/>
              <w:sz w:val="21"/>
              <w:szCs w:val="21"/>
              <w:rtl w:val="0"/>
            </w:rPr>
            <w:t xml:space="preserve">                                             </w:t>
          </w:r>
          <w:r w:rsidDel="00000000" w:rsidR="00000000" w:rsidRPr="00000000">
            <w:rPr>
              <w:rFonts w:ascii="Times New Roman" w:cs="Times New Roman" w:eastAsia="Times New Roman" w:hAnsi="Times New Roman"/>
              <w:sz w:val="23"/>
              <w:szCs w:val="23"/>
              <w:rtl w:val="0"/>
            </w:rPr>
            <w:t xml:space="preserve">Виконала: здобувачка заочної форми навчання</w:t>
          </w:r>
        </w:p>
      </w:sdtContent>
    </w:sdt>
    <w:sdt>
      <w:sdtPr>
        <w:tag w:val="goog_rdk_8"/>
      </w:sdtPr>
      <w:sdtContent>
        <w:p w:rsidR="00000000" w:rsidDel="00000000" w:rsidP="00000000" w:rsidRDefault="00000000" w:rsidRPr="00000000" w14:paraId="00000011">
          <w:pPr>
            <w:pStyle w:val="Heading1"/>
            <w:spacing w:after="0" w:before="0" w:line="432" w:lineRule="auto"/>
            <w:ind w:left="1440" w:firstLine="0"/>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спеціальності 081 Право</w:t>
          </w:r>
        </w:p>
      </w:sdtContent>
    </w:sdt>
    <w:sdt>
      <w:sdtPr>
        <w:tag w:val="goog_rdk_9"/>
      </w:sdtPr>
      <w:sdtContent>
        <w:p w:rsidR="00000000" w:rsidDel="00000000" w:rsidP="00000000" w:rsidRDefault="00000000" w:rsidRPr="00000000" w14:paraId="00000012">
          <w:pPr>
            <w:pStyle w:val="Heading1"/>
            <w:spacing w:after="0" w:before="0" w:line="432" w:lineRule="auto"/>
            <w:ind w:left="1440" w:firstLine="0"/>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Освітня програма Право                                                      </w:t>
          </w:r>
        </w:p>
      </w:sdtContent>
    </w:sdt>
    <w:sdt>
      <w:sdtPr>
        <w:tag w:val="goog_rdk_10"/>
      </w:sdtPr>
      <w:sdtContent>
        <w:p w:rsidR="00000000" w:rsidDel="00000000" w:rsidP="00000000" w:rsidRDefault="00000000" w:rsidRPr="00000000" w14:paraId="00000013">
          <w:pPr>
            <w:pStyle w:val="Heading1"/>
            <w:spacing w:after="0" w:before="0" w:line="432" w:lineRule="auto"/>
            <w:ind w:left="1440" w:firstLine="0"/>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Літвінова Віолетта Геннадіївна</w:t>
          </w:r>
        </w:p>
      </w:sdtContent>
    </w:sdt>
    <w:p w:rsidR="00000000" w:rsidDel="00000000" w:rsidP="00000000" w:rsidRDefault="00000000" w:rsidRPr="00000000" w14:paraId="00000014">
      <w:pPr>
        <w:pStyle w:val="Heading1"/>
        <w:spacing w:after="0" w:before="0" w:line="360" w:lineRule="auto"/>
        <w:ind w:left="1440" w:firstLine="0"/>
        <w:jc w:val="both"/>
        <w:rPr>
          <w:rFonts w:ascii="Times New Roman" w:cs="Times New Roman" w:eastAsia="Times New Roman" w:hAnsi="Times New Roman"/>
          <w:sz w:val="23"/>
          <w:szCs w:val="23"/>
        </w:rPr>
      </w:pPr>
      <w:bookmarkStart w:colFirst="0" w:colLast="0" w:name="_heading=h.ikaqlu2x6fx8" w:id="3"/>
      <w:bookmarkEnd w:id="3"/>
      <w:r w:rsidDel="00000000" w:rsidR="00000000" w:rsidRPr="00000000">
        <w:rPr>
          <w:rFonts w:ascii="Times New Roman" w:cs="Times New Roman" w:eastAsia="Times New Roman" w:hAnsi="Times New Roman"/>
          <w:sz w:val="23"/>
          <w:szCs w:val="23"/>
          <w:rtl w:val="0"/>
        </w:rPr>
        <w:t xml:space="preserve">                                                     </w:t>
      </w:r>
    </w:p>
    <w:sdt>
      <w:sdtPr>
        <w:tag w:val="goog_rdk_11"/>
      </w:sdtPr>
      <w:sdtContent>
        <w:p w:rsidR="00000000" w:rsidDel="00000000" w:rsidP="00000000" w:rsidRDefault="00000000" w:rsidRPr="00000000" w14:paraId="00000015">
          <w:pPr>
            <w:pStyle w:val="Heading1"/>
            <w:spacing w:after="0" w:before="0" w:line="432" w:lineRule="auto"/>
            <w:ind w:left="1440" w:firstLine="0"/>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Керівник:  </w:t>
          </w:r>
          <w:r w:rsidDel="00000000" w:rsidR="00000000" w:rsidRPr="00000000">
            <w:rPr>
              <w:rFonts w:ascii="Times New Roman" w:cs="Times New Roman" w:eastAsia="Times New Roman" w:hAnsi="Times New Roman"/>
              <w:sz w:val="23"/>
              <w:szCs w:val="23"/>
              <w:rtl w:val="0"/>
            </w:rPr>
            <w:t xml:space="preserve">д.ю.н., проф. Степанова Т.В. _</w:t>
          </w:r>
          <w:r w:rsidDel="00000000" w:rsidR="00000000" w:rsidRPr="00000000">
            <w:rPr>
              <w:rFonts w:ascii="Times New Roman" w:cs="Times New Roman" w:eastAsia="Times New Roman" w:hAnsi="Times New Roman"/>
              <w:sz w:val="23"/>
              <w:szCs w:val="23"/>
              <w:rtl w:val="0"/>
            </w:rPr>
            <w:t xml:space="preserve">_______      </w:t>
          </w:r>
        </w:p>
      </w:sdtContent>
    </w:sdt>
    <w:sdt>
      <w:sdtPr>
        <w:tag w:val="goog_rdk_12"/>
      </w:sdtPr>
      <w:sdtContent>
        <w:p w:rsidR="00000000" w:rsidDel="00000000" w:rsidP="00000000" w:rsidRDefault="00000000" w:rsidRPr="00000000" w14:paraId="00000016">
          <w:pPr>
            <w:pStyle w:val="Heading1"/>
            <w:spacing w:after="0" w:before="0" w:line="432" w:lineRule="auto"/>
            <w:ind w:left="1440" w:firstLine="0"/>
            <w:jc w:val="both"/>
            <w:rPr>
              <w:rFonts w:ascii="Times New Roman" w:cs="Times New Roman" w:eastAsia="Times New Roman" w:hAnsi="Times New Roman"/>
              <w:sz w:val="3"/>
              <w:szCs w:val="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Рецензент: к.ю.н.    </w:t>
          </w:r>
          <w:r w:rsidDel="00000000" w:rsidR="00000000" w:rsidRPr="00000000">
            <w:rPr>
              <w:rFonts w:ascii="Times New Roman" w:cs="Times New Roman" w:eastAsia="Times New Roman" w:hAnsi="Times New Roman"/>
              <w:sz w:val="18"/>
              <w:szCs w:val="18"/>
              <w:rtl w:val="0"/>
            </w:rPr>
            <w:t xml:space="preserve">​</w:t>
          </w:r>
          <w:r w:rsidDel="00000000" w:rsidR="00000000" w:rsidRPr="00000000">
            <w:rPr>
              <w:rtl w:val="0"/>
            </w:rPr>
          </w:r>
        </w:p>
      </w:sdtContent>
    </w:sdt>
    <w:p w:rsidR="00000000" w:rsidDel="00000000" w:rsidP="00000000" w:rsidRDefault="00000000" w:rsidRPr="00000000" w14:paraId="00000017">
      <w:pPr>
        <w:pStyle w:val="Heading1"/>
        <w:spacing w:after="0" w:before="100" w:line="288" w:lineRule="auto"/>
        <w:jc w:val="both"/>
        <w:rPr>
          <w:rFonts w:ascii="Times New Roman" w:cs="Times New Roman" w:eastAsia="Times New Roman" w:hAnsi="Times New Roman"/>
          <w:sz w:val="6"/>
          <w:szCs w:val="6"/>
        </w:rPr>
      </w:pPr>
      <w:bookmarkStart w:colFirst="0" w:colLast="0" w:name="_heading=h.5a3s7z8bngk4" w:id="0"/>
      <w:bookmarkEnd w:id="0"/>
      <w:r w:rsidDel="00000000" w:rsidR="00000000" w:rsidRPr="00000000">
        <w:rPr>
          <w:rFonts w:ascii="Times New Roman" w:cs="Times New Roman" w:eastAsia="Times New Roman" w:hAnsi="Times New Roman"/>
          <w:sz w:val="6"/>
          <w:szCs w:val="6"/>
          <w:rtl w:val="0"/>
        </w:rPr>
        <w:t xml:space="preserve"> </w:t>
      </w:r>
    </w:p>
    <w:p w:rsidR="00000000" w:rsidDel="00000000" w:rsidP="00000000" w:rsidRDefault="00000000" w:rsidRPr="00000000" w14:paraId="00000018">
      <w:pPr>
        <w:rPr/>
      </w:pPr>
      <w:r w:rsidDel="00000000" w:rsidR="00000000" w:rsidRPr="00000000">
        <w:rPr>
          <w:rtl w:val="0"/>
        </w:rPr>
      </w:r>
    </w:p>
    <w:tbl>
      <w:tblPr>
        <w:tblStyle w:val="Table1"/>
        <w:tblW w:w="8865.0" w:type="dxa"/>
        <w:jc w:val="left"/>
        <w:tblInd w:w="2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320"/>
        <w:gridCol w:w="4545"/>
        <w:tblGridChange w:id="0">
          <w:tblGrid>
            <w:gridCol w:w="4320"/>
            <w:gridCol w:w="4545"/>
          </w:tblGrid>
        </w:tblGridChange>
      </w:tblGrid>
      <w:tr>
        <w:trPr>
          <w:cantSplit w:val="0"/>
          <w:trHeight w:val="2565" w:hRule="atLeast"/>
          <w:tblHeader w:val="0"/>
        </w:trPr>
        <w:tc>
          <w:tcPr>
            <w:tcBorders>
              <w:top w:color="000000" w:space="0" w:sz="0" w:val="nil"/>
              <w:left w:color="000000" w:space="0" w:sz="0" w:val="nil"/>
              <w:bottom w:color="000000" w:space="0" w:sz="0" w:val="nil"/>
              <w:right w:color="000000" w:space="0" w:sz="0" w:val="nil"/>
            </w:tcBorders>
            <w:shd w:fill="ffffff" w:val="clear"/>
            <w:tcMar>
              <w:top w:w="100.0" w:type="dxa"/>
              <w:left w:w="100.0" w:type="dxa"/>
              <w:bottom w:w="100.0" w:type="dxa"/>
              <w:right w:w="100.0" w:type="dxa"/>
            </w:tcMar>
            <w:vAlign w:val="top"/>
          </w:tcPr>
          <w:sdt>
            <w:sdtPr>
              <w:tag w:val="goog_rdk_13"/>
            </w:sdtPr>
            <w:sdtContent>
              <w:p w:rsidR="00000000" w:rsidDel="00000000" w:rsidP="00000000" w:rsidRDefault="00000000" w:rsidRPr="00000000" w14:paraId="00000019">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Рекомендовано до захисту:</w:t>
                </w:r>
              </w:p>
            </w:sdtContent>
          </w:sdt>
          <w:sdt>
            <w:sdtPr>
              <w:tag w:val="goog_rdk_14"/>
            </w:sdtPr>
            <w:sdtContent>
              <w:p w:rsidR="00000000" w:rsidDel="00000000" w:rsidP="00000000" w:rsidRDefault="00000000" w:rsidRPr="00000000" w14:paraId="0000001A">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протокол засідання кафедри</w:t>
                </w:r>
              </w:p>
            </w:sdtContent>
          </w:sdt>
          <w:sdt>
            <w:sdtPr>
              <w:tag w:val="goog_rdk_15"/>
            </w:sdtPr>
            <w:sdtContent>
              <w:p w:rsidR="00000000" w:rsidDel="00000000" w:rsidP="00000000" w:rsidRDefault="00000000" w:rsidRPr="00000000" w14:paraId="0000001B">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 _____   від ____.____. 20___ р.</w:t>
                </w:r>
              </w:p>
            </w:sdtContent>
          </w:sdt>
          <w:p w:rsidR="00000000" w:rsidDel="00000000" w:rsidP="00000000" w:rsidRDefault="00000000" w:rsidRPr="00000000" w14:paraId="0000001C">
            <w:pPr>
              <w:pStyle w:val="Heading1"/>
              <w:spacing w:after="0" w:before="0" w:line="331.2" w:lineRule="auto"/>
              <w:jc w:val="both"/>
              <w:rPr>
                <w:rFonts w:ascii="Times New Roman" w:cs="Times New Roman" w:eastAsia="Times New Roman" w:hAnsi="Times New Roman"/>
                <w:sz w:val="20"/>
                <w:szCs w:val="20"/>
              </w:rPr>
            </w:pPr>
            <w:bookmarkStart w:colFirst="0" w:colLast="0" w:name="_heading=h.5a3s7z8bngk4" w:id="0"/>
            <w:bookmarkEnd w:id="0"/>
            <w:r w:rsidDel="00000000" w:rsidR="00000000" w:rsidRPr="00000000">
              <w:rPr>
                <w:rFonts w:ascii="Times New Roman" w:cs="Times New Roman" w:eastAsia="Times New Roman" w:hAnsi="Times New Roman"/>
                <w:sz w:val="20"/>
                <w:szCs w:val="20"/>
                <w:rtl w:val="0"/>
              </w:rPr>
              <w:t xml:space="preserve"> </w:t>
            </w:r>
          </w:p>
          <w:sdt>
            <w:sdtPr>
              <w:tag w:val="goog_rdk_16"/>
            </w:sdtPr>
            <w:sdtContent>
              <w:p w:rsidR="00000000" w:rsidDel="00000000" w:rsidP="00000000" w:rsidRDefault="00000000" w:rsidRPr="00000000" w14:paraId="0000001D">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Завідувач кафедри</w:t>
                </w:r>
              </w:p>
            </w:sdtContent>
          </w:sdt>
          <w:sdt>
            <w:sdtPr>
              <w:tag w:val="goog_rdk_17"/>
            </w:sdtPr>
            <w:sdtContent>
              <w:p w:rsidR="00000000" w:rsidDel="00000000" w:rsidP="00000000" w:rsidRDefault="00000000" w:rsidRPr="00000000" w14:paraId="0000001E">
                <w:pPr>
                  <w:pStyle w:val="Heading1"/>
                  <w:spacing w:after="0" w:before="0" w:line="288" w:lineRule="auto"/>
                  <w:jc w:val="both"/>
                  <w:rPr>
                    <w:rFonts w:ascii="Times New Roman" w:cs="Times New Roman" w:eastAsia="Times New Roman" w:hAnsi="Times New Roman"/>
                    <w:sz w:val="23"/>
                    <w:szCs w:val="23"/>
                    <w:u w:val="single"/>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______________  </w:t>
                </w:r>
                <w:r w:rsidDel="00000000" w:rsidR="00000000" w:rsidRPr="00000000">
                  <w:rPr>
                    <w:rFonts w:ascii="Times New Roman" w:cs="Times New Roman" w:eastAsia="Times New Roman" w:hAnsi="Times New Roman"/>
                    <w:sz w:val="23"/>
                    <w:szCs w:val="23"/>
                    <w:u w:val="single"/>
                    <w:rtl w:val="0"/>
                  </w:rPr>
                  <w:t xml:space="preserve">Тетяна</w:t>
                </w:r>
                <w:r w:rsidDel="00000000" w:rsidR="00000000" w:rsidRPr="00000000">
                  <w:rPr>
                    <w:rFonts w:ascii="Times New Roman" w:cs="Times New Roman" w:eastAsia="Times New Roman" w:hAnsi="Times New Roman"/>
                    <w:sz w:val="23"/>
                    <w:szCs w:val="23"/>
                    <w:u w:val="single"/>
                    <w:rtl w:val="0"/>
                  </w:rPr>
                  <w:t xml:space="preserve"> СТЕПАНОВА</w:t>
                </w:r>
              </w:p>
            </w:sdtContent>
          </w:sdt>
          <w:sdt>
            <w:sdtPr>
              <w:tag w:val="goog_rdk_18"/>
            </w:sdtPr>
            <w:sdtContent>
              <w:p w:rsidR="00000000" w:rsidDel="00000000" w:rsidP="00000000" w:rsidRDefault="00000000" w:rsidRPr="00000000" w14:paraId="0000001F">
                <w:pPr>
                  <w:pStyle w:val="Heading1"/>
                  <w:spacing w:after="0" w:before="0" w:line="288" w:lineRule="auto"/>
                  <w:jc w:val="both"/>
                  <w:rPr>
                    <w:rFonts w:ascii="Times New Roman" w:cs="Times New Roman" w:eastAsia="Times New Roman" w:hAnsi="Times New Roman"/>
                    <w:sz w:val="17"/>
                    <w:szCs w:val="17"/>
                  </w:rPr>
                </w:pPr>
                <w:bookmarkStart w:colFirst="0" w:colLast="0" w:name="_heading=h.5a3s7z8bngk4" w:id="0"/>
                <w:bookmarkEnd w:id="0"/>
                <w:r w:rsidDel="00000000" w:rsidR="00000000" w:rsidRPr="00000000">
                  <w:rPr>
                    <w:rFonts w:ascii="Times New Roman" w:cs="Times New Roman" w:eastAsia="Times New Roman" w:hAnsi="Times New Roman"/>
                    <w:sz w:val="17"/>
                    <w:szCs w:val="17"/>
                    <w:rtl w:val="0"/>
                  </w:rPr>
                  <w:t xml:space="preserve">           (підпис)</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17"/>
                    <w:szCs w:val="17"/>
                    <w:rtl w:val="0"/>
                  </w:rPr>
                  <w:t xml:space="preserve">                         (прізвище, ім’я)</w:t>
                </w:r>
              </w:p>
            </w:sdtContent>
          </w:sdt>
        </w:tc>
        <w:tc>
          <w:tcPr>
            <w:tcBorders>
              <w:top w:color="000000" w:space="0" w:sz="0" w:val="nil"/>
              <w:left w:color="000000" w:space="0" w:sz="0" w:val="nil"/>
              <w:bottom w:color="000000" w:space="0" w:sz="0" w:val="nil"/>
              <w:right w:color="000000" w:space="0" w:sz="0" w:val="nil"/>
            </w:tcBorders>
            <w:shd w:fill="ffffff" w:val="clear"/>
            <w:tcMar>
              <w:top w:w="100.0" w:type="dxa"/>
              <w:left w:w="100.0" w:type="dxa"/>
              <w:bottom w:w="100.0" w:type="dxa"/>
              <w:right w:w="100.0" w:type="dxa"/>
            </w:tcMar>
            <w:vAlign w:val="top"/>
          </w:tcPr>
          <w:sdt>
            <w:sdtPr>
              <w:tag w:val="goog_rdk_19"/>
            </w:sdtPr>
            <w:sdtContent>
              <w:p w:rsidR="00000000" w:rsidDel="00000000" w:rsidP="00000000" w:rsidRDefault="00000000" w:rsidRPr="00000000" w14:paraId="00000020">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Захищено на засіданні ЕК № _______ :</w:t>
                </w:r>
              </w:p>
            </w:sdtContent>
          </w:sdt>
          <w:sdt>
            <w:sdtPr>
              <w:tag w:val="goog_rdk_20"/>
            </w:sdtPr>
            <w:sdtContent>
              <w:p w:rsidR="00000000" w:rsidDel="00000000" w:rsidP="00000000" w:rsidRDefault="00000000" w:rsidRPr="00000000" w14:paraId="00000021">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протокол № _____від ____.___.20___ р.</w:t>
                </w:r>
              </w:p>
            </w:sdtContent>
          </w:sdt>
          <w:sdt>
            <w:sdtPr>
              <w:tag w:val="goog_rdk_21"/>
            </w:sdtPr>
            <w:sdtContent>
              <w:p w:rsidR="00000000" w:rsidDel="00000000" w:rsidP="00000000" w:rsidRDefault="00000000" w:rsidRPr="00000000" w14:paraId="00000022">
                <w:pPr>
                  <w:pStyle w:val="Heading1"/>
                  <w:spacing w:after="0" w:before="0" w:line="331.2"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Оцінка______________/_____</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3"/>
                    <w:szCs w:val="23"/>
                    <w:rtl w:val="0"/>
                  </w:rPr>
                  <w:t xml:space="preserve">___/______</w:t>
                </w:r>
              </w:p>
            </w:sdtContent>
          </w:sdt>
          <w:sdt>
            <w:sdtPr>
              <w:tag w:val="goog_rdk_22"/>
            </w:sdtPr>
            <w:sdtContent>
              <w:p w:rsidR="00000000" w:rsidDel="00000000" w:rsidP="00000000" w:rsidRDefault="00000000" w:rsidRPr="00000000" w14:paraId="00000023">
                <w:pPr>
                  <w:pStyle w:val="Heading1"/>
                  <w:spacing w:after="0" w:before="0" w:line="288" w:lineRule="auto"/>
                  <w:jc w:val="left"/>
                  <w:rPr>
                    <w:rFonts w:ascii="Times New Roman" w:cs="Times New Roman" w:eastAsia="Times New Roman" w:hAnsi="Times New Roman"/>
                    <w:sz w:val="17"/>
                    <w:szCs w:val="17"/>
                  </w:rPr>
                </w:pPr>
                <w:bookmarkStart w:colFirst="0" w:colLast="0" w:name="_heading=h.5a3s7z8bngk4" w:id="0"/>
                <w:bookmarkEnd w:id="0"/>
                <w:r w:rsidDel="00000000" w:rsidR="00000000" w:rsidRPr="00000000">
                  <w:rPr>
                    <w:rFonts w:ascii="Times New Roman" w:cs="Times New Roman" w:eastAsia="Times New Roman" w:hAnsi="Times New Roman"/>
                    <w:sz w:val="17"/>
                    <w:szCs w:val="17"/>
                    <w:rtl w:val="0"/>
                  </w:rPr>
                  <w:t xml:space="preserve">         (за національною шкалою/шкалою ЕСТS/ бали)</w:t>
                </w:r>
              </w:p>
            </w:sdtContent>
          </w:sdt>
          <w:sdt>
            <w:sdtPr>
              <w:tag w:val="goog_rdk_23"/>
            </w:sdtPr>
            <w:sdtContent>
              <w:p w:rsidR="00000000" w:rsidDel="00000000" w:rsidP="00000000" w:rsidRDefault="00000000" w:rsidRPr="00000000" w14:paraId="00000024">
                <w:pPr>
                  <w:pStyle w:val="Heading1"/>
                  <w:spacing w:after="0" w:before="0" w:line="288" w:lineRule="auto"/>
                  <w:jc w:val="both"/>
                  <w:rPr>
                    <w:rFonts w:ascii="Times New Roman" w:cs="Times New Roman" w:eastAsia="Times New Roman" w:hAnsi="Times New Roman"/>
                    <w:sz w:val="23"/>
                    <w:szCs w:val="23"/>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Голова ЕК</w:t>
                </w:r>
              </w:p>
            </w:sdtContent>
          </w:sdt>
          <w:sdt>
            <w:sdtPr>
              <w:tag w:val="goog_rdk_24"/>
            </w:sdtPr>
            <w:sdtContent>
              <w:p w:rsidR="00000000" w:rsidDel="00000000" w:rsidP="00000000" w:rsidRDefault="00000000" w:rsidRPr="00000000" w14:paraId="00000025">
                <w:pPr>
                  <w:pStyle w:val="Heading1"/>
                  <w:spacing w:after="0" w:before="0" w:line="288" w:lineRule="auto"/>
                  <w:jc w:val="both"/>
                  <w:rPr>
                    <w:rFonts w:ascii="Times New Roman" w:cs="Times New Roman" w:eastAsia="Times New Roman" w:hAnsi="Times New Roman"/>
                    <w:sz w:val="17"/>
                    <w:szCs w:val="17"/>
                  </w:rPr>
                </w:pPr>
                <w:bookmarkStart w:colFirst="0" w:colLast="0" w:name="_heading=h.5a3s7z8bngk4" w:id="0"/>
                <w:bookmarkEnd w:id="0"/>
                <w:r w:rsidDel="00000000" w:rsidR="00000000" w:rsidRPr="00000000">
                  <w:rPr>
                    <w:rFonts w:ascii="Times New Roman" w:cs="Times New Roman" w:eastAsia="Times New Roman" w:hAnsi="Times New Roman"/>
                    <w:sz w:val="23"/>
                    <w:szCs w:val="23"/>
                    <w:rtl w:val="0"/>
                  </w:rPr>
                  <w:t xml:space="preserve">___________ </w:t>
                </w:r>
                <w:r w:rsidDel="00000000" w:rsidR="00000000" w:rsidRPr="00000000">
                  <w:rPr>
                    <w:rFonts w:ascii="Times New Roman" w:cs="Times New Roman" w:eastAsia="Times New Roman" w:hAnsi="Times New Roman"/>
                    <w:sz w:val="23"/>
                    <w:szCs w:val="23"/>
                    <w:u w:val="single"/>
                    <w:rtl w:val="0"/>
                  </w:rPr>
                  <w:t xml:space="preserve">Євдокія СТРЕЛЬЦОВА </w:t>
                </w:r>
                <w:r w:rsidDel="00000000" w:rsidR="00000000" w:rsidRPr="00000000">
                  <w:rPr>
                    <w:rFonts w:ascii="Times New Roman" w:cs="Times New Roman" w:eastAsia="Times New Roman" w:hAnsi="Times New Roman"/>
                    <w:sz w:val="17"/>
                    <w:szCs w:val="17"/>
                    <w:rtl w:val="0"/>
                  </w:rPr>
                  <w:t xml:space="preserve">       </w:t>
                </w:r>
              </w:p>
            </w:sdtContent>
          </w:sdt>
          <w:sdt>
            <w:sdtPr>
              <w:tag w:val="goog_rdk_25"/>
            </w:sdtPr>
            <w:sdtContent>
              <w:p w:rsidR="00000000" w:rsidDel="00000000" w:rsidP="00000000" w:rsidRDefault="00000000" w:rsidRPr="00000000" w14:paraId="00000026">
                <w:pPr>
                  <w:pStyle w:val="Heading1"/>
                  <w:spacing w:after="0" w:before="0" w:line="288" w:lineRule="auto"/>
                  <w:jc w:val="both"/>
                  <w:rPr/>
                </w:pPr>
                <w:bookmarkStart w:colFirst="0" w:colLast="0" w:name="_heading=h.5a3s7z8bngk4" w:id="0"/>
                <w:bookmarkEnd w:id="0"/>
                <w:r w:rsidDel="00000000" w:rsidR="00000000" w:rsidRPr="00000000">
                  <w:rPr>
                    <w:rFonts w:ascii="Times New Roman" w:cs="Times New Roman" w:eastAsia="Times New Roman" w:hAnsi="Times New Roman"/>
                    <w:sz w:val="17"/>
                    <w:szCs w:val="17"/>
                    <w:rtl w:val="0"/>
                  </w:rPr>
                  <w:t xml:space="preserve">        (підпис)                       (прізвище, ім’я)</w:t>
                </w:r>
                <w:r w:rsidDel="00000000" w:rsidR="00000000" w:rsidRPr="00000000">
                  <w:rPr>
                    <w:rtl w:val="0"/>
                  </w:rPr>
                </w:r>
              </w:p>
            </w:sdtContent>
          </w:sdt>
        </w:tc>
      </w:tr>
    </w:tbl>
    <w:p w:rsidR="00000000" w:rsidDel="00000000" w:rsidP="00000000" w:rsidRDefault="00000000" w:rsidRPr="00000000" w14:paraId="00000027">
      <w:pPr>
        <w:pStyle w:val="Heading1"/>
        <w:spacing w:after="0" w:before="0" w:line="360" w:lineRule="auto"/>
        <w:rPr>
          <w:rFonts w:ascii="Times New Roman" w:cs="Times New Roman" w:eastAsia="Times New Roman" w:hAnsi="Times New Roman"/>
          <w:sz w:val="18"/>
          <w:szCs w:val="18"/>
        </w:rPr>
      </w:pPr>
      <w:bookmarkStart w:colFirst="0" w:colLast="0" w:name="_heading=h.3jv8vj5osz9t" w:id="4"/>
      <w:bookmarkEnd w:id="4"/>
      <w:r w:rsidDel="00000000" w:rsidR="00000000" w:rsidRPr="00000000">
        <w:rPr>
          <w:rFonts w:ascii="Times New Roman" w:cs="Times New Roman" w:eastAsia="Times New Roman" w:hAnsi="Times New Roman"/>
          <w:sz w:val="18"/>
          <w:szCs w:val="18"/>
          <w:rtl w:val="0"/>
        </w:rPr>
        <w:t xml:space="preserve">                                                                </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spacing w:line="360" w:lineRule="auto"/>
        <w:jc w:val="center"/>
        <w:rPr>
          <w:rFonts w:ascii="Times New Roman" w:cs="Times New Roman" w:eastAsia="Times New Roman" w:hAnsi="Times New Roman"/>
          <w:b w:val="1"/>
          <w:sz w:val="26"/>
          <w:szCs w:val="26"/>
        </w:rPr>
        <w:sectPr>
          <w:headerReference r:id="rId7" w:type="default"/>
          <w:headerReference r:id="rId8" w:type="first"/>
          <w:footerReference r:id="rId9" w:type="default"/>
          <w:pgSz w:h="16834" w:w="11909" w:orient="portrait"/>
          <w:pgMar w:bottom="1133.8582677165355" w:top="1133.8582677165355" w:left="1984.2519685039372" w:right="963.7795275590553" w:header="0" w:footer="0"/>
          <w:pgNumType w:start="1"/>
          <w:titlePg w:val="1"/>
        </w:sectPr>
      </w:pPr>
      <w:bookmarkStart w:colFirst="0" w:colLast="0" w:name="_heading=h.30j0zll" w:id="5"/>
      <w:bookmarkEnd w:id="5"/>
      <w:r w:rsidDel="00000000" w:rsidR="00000000" w:rsidRPr="00000000">
        <w:rPr>
          <w:rFonts w:ascii="Times New Roman" w:cs="Times New Roman" w:eastAsia="Times New Roman" w:hAnsi="Times New Roman"/>
          <w:b w:val="1"/>
          <w:sz w:val="26"/>
          <w:szCs w:val="26"/>
          <w:rtl w:val="0"/>
        </w:rPr>
        <w:t xml:space="preserve">Одеса</w:t>
      </w:r>
      <w:r w:rsidDel="00000000" w:rsidR="00000000" w:rsidRPr="00000000">
        <w:rPr>
          <w:rFonts w:ascii="Times New Roman" w:cs="Times New Roman" w:eastAsia="Times New Roman" w:hAnsi="Times New Roman"/>
          <w:b w:val="1"/>
          <w:sz w:val="26"/>
          <w:szCs w:val="26"/>
          <w:rtl w:val="0"/>
        </w:rPr>
        <w:t xml:space="preserve"> 2023</w:t>
      </w:r>
    </w:p>
    <w:p w:rsidR="00000000" w:rsidDel="00000000" w:rsidP="00000000" w:rsidRDefault="00000000" w:rsidRPr="00000000" w14:paraId="0000002A">
      <w:pPr>
        <w:spacing w:line="360" w:lineRule="auto"/>
        <w:jc w:val="center"/>
        <w:rPr>
          <w:rFonts w:ascii="Times New Roman" w:cs="Times New Roman" w:eastAsia="Times New Roman" w:hAnsi="Times New Roman"/>
          <w:b w:val="1"/>
          <w:sz w:val="28"/>
          <w:szCs w:val="28"/>
        </w:rPr>
      </w:pPr>
      <w:bookmarkStart w:colFirst="0" w:colLast="0" w:name="_heading=h.49x2ik5" w:id="6"/>
      <w:bookmarkEnd w:id="6"/>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ПЕРЕЛІК УМОВНИХ ПОЗНАЧЕНЬ</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2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8"/>
          <w:szCs w:val="28"/>
          <w:rtl w:val="0"/>
        </w:rPr>
        <w:t xml:space="preserve">…….4</w:t>
      </w:r>
    </w:p>
    <w:p w:rsidR="00000000" w:rsidDel="00000000" w:rsidP="00000000" w:rsidRDefault="00000000" w:rsidRPr="00000000" w14:paraId="0000002E">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ТЕОРЕТИЧНІ АСПЕКТИ ЗАХИСТУ ПЕРСОНАЛЬНИХ </w:t>
      </w:r>
    </w:p>
    <w:p w:rsidR="00000000" w:rsidDel="00000000" w:rsidP="00000000" w:rsidRDefault="00000000" w:rsidRPr="00000000" w14:paraId="0000002F">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ДАНИХ ПРИ ЗДІЙСНЕННІ ПРАВОСУДДЯ</w:t>
      </w:r>
    </w:p>
    <w:p w:rsidR="00000000" w:rsidDel="00000000" w:rsidP="00000000" w:rsidRDefault="00000000" w:rsidRPr="00000000" w14:paraId="0000003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Етапи формування інституту захисту персональних даних. Поняття </w:t>
      </w:r>
    </w:p>
    <w:p w:rsidR="00000000" w:rsidDel="00000000" w:rsidP="00000000" w:rsidRDefault="00000000" w:rsidRPr="00000000" w14:paraId="000000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значення персональних даних у контексті правової системи……..…...8</w:t>
      </w:r>
    </w:p>
    <w:p w:rsidR="00000000" w:rsidDel="00000000" w:rsidP="00000000" w:rsidRDefault="00000000" w:rsidRPr="00000000" w14:paraId="000000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Правові принципи захисту та обробки персональних даних……….16</w:t>
      </w:r>
    </w:p>
    <w:p w:rsidR="00000000" w:rsidDel="00000000" w:rsidP="00000000" w:rsidRDefault="00000000" w:rsidRPr="00000000" w14:paraId="0000003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r>
      <w:r w:rsidDel="00000000" w:rsidR="00000000" w:rsidRPr="00000000">
        <w:rPr>
          <w:rFonts w:ascii="Times New Roman" w:cs="Times New Roman" w:eastAsia="Times New Roman" w:hAnsi="Times New Roman"/>
          <w:sz w:val="28"/>
          <w:szCs w:val="28"/>
          <w:rtl w:val="0"/>
        </w:rPr>
        <w:t xml:space="preserve">……………………………………………….…....24</w:t>
      </w:r>
    </w:p>
    <w:p w:rsidR="00000000" w:rsidDel="00000000" w:rsidP="00000000" w:rsidRDefault="00000000" w:rsidRPr="00000000" w14:paraId="00000034">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ПРОБЛЕМИ ПРАВОВОГО РЕГУЛЮВАННЯ ЗАХИСТУ </w:t>
      </w:r>
    </w:p>
    <w:p w:rsidR="00000000" w:rsidDel="00000000" w:rsidP="00000000" w:rsidRDefault="00000000" w:rsidRPr="00000000" w14:paraId="00000036">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ПЕРСОНАЛЬНИХ ДАНИХ ПРИ ЗДІЙСНЕННІ </w:t>
      </w:r>
    </w:p>
    <w:p w:rsidR="00000000" w:rsidDel="00000000" w:rsidP="00000000" w:rsidRDefault="00000000" w:rsidRPr="00000000" w14:paraId="000000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ПРАВОСУДДЯ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Недоліки та прогалини у судовій практиці: конфлікт між правом на інформацію та правом на приватність………………………………...…..27</w:t>
      </w:r>
    </w:p>
    <w:p w:rsidR="00000000" w:rsidDel="00000000" w:rsidP="00000000" w:rsidRDefault="00000000" w:rsidRPr="00000000" w14:paraId="0000003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Обмеження права доступу до персональних даних та права на захист персональних даних…………………………………………………..……35</w:t>
      </w:r>
    </w:p>
    <w:p w:rsidR="00000000" w:rsidDel="00000000" w:rsidP="00000000" w:rsidRDefault="00000000" w:rsidRPr="00000000" w14:paraId="0000003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r w:rsidDel="00000000" w:rsidR="00000000" w:rsidRPr="00000000">
        <w:rPr>
          <w:rFonts w:ascii="Times New Roman" w:cs="Times New Roman" w:eastAsia="Times New Roman" w:hAnsi="Times New Roman"/>
          <w:sz w:val="28"/>
          <w:szCs w:val="28"/>
          <w:rtl w:val="0"/>
        </w:rPr>
        <w:t xml:space="preserve">……………………………………………….....…50</w:t>
      </w:r>
    </w:p>
    <w:p w:rsidR="00000000" w:rsidDel="00000000" w:rsidP="00000000" w:rsidRDefault="00000000" w:rsidRPr="00000000" w14:paraId="0000003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C">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ПРОБЛЕМИ ПРАВОЗАСТОСОВНОЇ ДІЯЛЬНОСТІ У</w:t>
      </w:r>
    </w:p>
    <w:p w:rsidR="00000000" w:rsidDel="00000000" w:rsidP="00000000" w:rsidRDefault="00000000" w:rsidRPr="00000000" w14:paraId="0000003D">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СФЕРІ ЗАХИСТУ ПЕРСОНАЛЬНИХ ДАНИХ </w:t>
      </w:r>
    </w:p>
    <w:p w:rsidR="00000000" w:rsidDel="00000000" w:rsidP="00000000" w:rsidRDefault="00000000" w:rsidRPr="00000000" w14:paraId="0000003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Роль судової системи у забезпеченні захисту персональних даних...53</w:t>
      </w:r>
    </w:p>
    <w:p w:rsidR="00000000" w:rsidDel="00000000" w:rsidP="00000000" w:rsidRDefault="00000000" w:rsidRPr="00000000" w14:paraId="0000003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r w:rsidDel="00000000" w:rsidR="00000000" w:rsidRPr="00000000">
        <w:rPr>
          <w:rFonts w:ascii="Times New Roman" w:cs="Times New Roman" w:eastAsia="Times New Roman" w:hAnsi="Times New Roman"/>
          <w:sz w:val="28"/>
          <w:szCs w:val="28"/>
          <w:rtl w:val="0"/>
        </w:rPr>
        <w:t xml:space="preserve">…………………………………………………..…61</w:t>
      </w:r>
    </w:p>
    <w:p w:rsidR="00000000" w:rsidDel="00000000" w:rsidP="00000000" w:rsidRDefault="00000000" w:rsidRPr="00000000" w14:paraId="0000004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6"/>
          <w:szCs w:val="26"/>
          <w:rtl w:val="0"/>
        </w:rPr>
        <w:t xml:space="preserve">…</w:t>
      </w:r>
      <w:r w:rsidDel="00000000" w:rsidR="00000000" w:rsidRPr="00000000">
        <w:rPr>
          <w:rFonts w:ascii="Times New Roman" w:cs="Times New Roman" w:eastAsia="Times New Roman" w:hAnsi="Times New Roman"/>
          <w:sz w:val="28"/>
          <w:szCs w:val="28"/>
          <w:rtl w:val="0"/>
        </w:rPr>
        <w:t xml:space="preserve">…..…63</w:t>
      </w:r>
    </w:p>
    <w:p w:rsidR="00000000" w:rsidDel="00000000" w:rsidP="00000000" w:rsidRDefault="00000000" w:rsidRPr="00000000" w14:paraId="0000004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30"/>
          <w:szCs w:val="30"/>
          <w:rtl w:val="0"/>
        </w:rPr>
        <w:t xml:space="preserve">….</w:t>
      </w:r>
      <w:r w:rsidDel="00000000" w:rsidR="00000000" w:rsidRPr="00000000">
        <w:rPr>
          <w:rFonts w:ascii="Times New Roman" w:cs="Times New Roman" w:eastAsia="Times New Roman" w:hAnsi="Times New Roman"/>
          <w:sz w:val="28"/>
          <w:szCs w:val="28"/>
          <w:rtl w:val="0"/>
        </w:rPr>
        <w:t xml:space="preserve">.........66</w:t>
      </w:r>
    </w:p>
    <w:p w:rsidR="00000000" w:rsidDel="00000000" w:rsidP="00000000" w:rsidRDefault="00000000" w:rsidRPr="00000000" w14:paraId="00000043">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4">
      <w:pPr>
        <w:pStyle w:val="Heading1"/>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ПЕРЕЛІК УМОВНИХ ПОЗНАЧЕНЬ </w:t>
      </w:r>
    </w:p>
    <w:p w:rsidR="00000000" w:rsidDel="00000000" w:rsidP="00000000" w:rsidRDefault="00000000" w:rsidRPr="00000000" w14:paraId="00000045">
      <w:pPr>
        <w:pStyle w:val="Heading1"/>
        <w:spacing w:after="0" w:before="0" w:line="360" w:lineRule="auto"/>
        <w:jc w:val="both"/>
        <w:rPr>
          <w:rFonts w:ascii="Times New Roman" w:cs="Times New Roman" w:eastAsia="Times New Roman" w:hAnsi="Times New Roman"/>
          <w:b w:val="1"/>
          <w:sz w:val="28"/>
          <w:szCs w:val="28"/>
        </w:rPr>
      </w:pPr>
      <w:bookmarkStart w:colFirst="0" w:colLast="0" w:name="_heading=h.2p2csry" w:id="7"/>
      <w:bookmarkEnd w:id="7"/>
      <w:r w:rsidDel="00000000" w:rsidR="00000000" w:rsidRPr="00000000">
        <w:rPr>
          <w:rtl w:val="0"/>
        </w:rPr>
      </w:r>
    </w:p>
    <w:tbl>
      <w:tblPr>
        <w:tblStyle w:val="Table2"/>
        <w:tblW w:w="8850.0" w:type="dxa"/>
        <w:jc w:val="left"/>
        <w:tblInd w:w="80.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2385"/>
        <w:gridCol w:w="6465"/>
        <w:tblGridChange w:id="0">
          <w:tblGrid>
            <w:gridCol w:w="2385"/>
            <w:gridCol w:w="646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6">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Директива</w:t>
            </w:r>
          </w:p>
        </w:tc>
        <w:tc>
          <w:tcPr>
            <w:shd w:fill="auto" w:val="clear"/>
            <w:tcMar>
              <w:top w:w="100.0" w:type="dxa"/>
              <w:left w:w="100.0" w:type="dxa"/>
              <w:bottom w:w="100.0" w:type="dxa"/>
              <w:right w:w="100.0" w:type="dxa"/>
            </w:tcMar>
          </w:tcPr>
          <w:p w:rsidR="00000000" w:rsidDel="00000000" w:rsidP="00000000" w:rsidRDefault="00000000" w:rsidRPr="00000000" w14:paraId="0000004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Директива 95/46/ЄС Європейського Парламенту і Ради «Про захист фізичних осіб при обробці персональних даних і про вільне переміщення таких даних»</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8">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Закон</w:t>
            </w:r>
          </w:p>
        </w:tc>
        <w:tc>
          <w:tcPr>
            <w:shd w:fill="auto" w:val="clear"/>
            <w:tcMar>
              <w:top w:w="100.0" w:type="dxa"/>
              <w:left w:w="100.0" w:type="dxa"/>
              <w:bottom w:w="100.0" w:type="dxa"/>
              <w:right w:w="100.0" w:type="dxa"/>
            </w:tcMar>
          </w:tcPr>
          <w:p w:rsidR="00000000" w:rsidDel="00000000" w:rsidP="00000000" w:rsidRDefault="00000000" w:rsidRPr="00000000" w14:paraId="00000049">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захист персональних даних»</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A">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Регламент</w:t>
            </w:r>
          </w:p>
        </w:tc>
        <w:tc>
          <w:tcPr>
            <w:shd w:fill="auto" w:val="clear"/>
            <w:tcMar>
              <w:top w:w="100.0" w:type="dxa"/>
              <w:left w:w="100.0" w:type="dxa"/>
              <w:bottom w:w="100.0" w:type="dxa"/>
              <w:right w:w="100.0" w:type="dxa"/>
            </w:tcMar>
          </w:tcPr>
          <w:p w:rsidR="00000000" w:rsidDel="00000000" w:rsidP="00000000" w:rsidRDefault="00000000" w:rsidRPr="00000000" w14:paraId="0000004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Регламент Європейського парламенту і Ради (ЄС) 2016/679 про захист фізичних осіб у зв'язку з опрацюванням персональних даних і про вільний рух таких даних, та про скасування Директиви 95/46/ЄС</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C">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Конвенція 108</w:t>
            </w:r>
          </w:p>
        </w:tc>
        <w:tc>
          <w:tcPr>
            <w:shd w:fill="auto" w:val="clear"/>
            <w:tcMar>
              <w:top w:w="100.0" w:type="dxa"/>
              <w:left w:w="100.0" w:type="dxa"/>
              <w:bottom w:w="100.0" w:type="dxa"/>
              <w:right w:w="100.0" w:type="dxa"/>
            </w:tcMar>
          </w:tcPr>
          <w:p w:rsidR="00000000" w:rsidDel="00000000" w:rsidP="00000000" w:rsidRDefault="00000000" w:rsidRPr="00000000" w14:paraId="0000004D">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Конвенція Ради Європи «Про захист осіб у зв’язку з автоматизованою обробкою персональних даних»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4E">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Хартія</w:t>
            </w:r>
          </w:p>
        </w:tc>
        <w:tc>
          <w:tcPr>
            <w:shd w:fill="auto" w:val="clear"/>
            <w:tcMar>
              <w:top w:w="100.0" w:type="dxa"/>
              <w:left w:w="100.0" w:type="dxa"/>
              <w:bottom w:w="100.0" w:type="dxa"/>
              <w:right w:w="100.0" w:type="dxa"/>
            </w:tcMar>
          </w:tcPr>
          <w:p w:rsidR="00000000" w:rsidDel="00000000" w:rsidP="00000000" w:rsidRDefault="00000000" w:rsidRPr="00000000" w14:paraId="0000004F">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Хартії основних прав Європейського Союзу</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0">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ЄСПЛ</w:t>
            </w:r>
          </w:p>
        </w:tc>
        <w:tc>
          <w:tcPr>
            <w:shd w:fill="auto" w:val="clear"/>
            <w:tcMar>
              <w:top w:w="100.0" w:type="dxa"/>
              <w:left w:w="100.0" w:type="dxa"/>
              <w:bottom w:w="100.0" w:type="dxa"/>
              <w:right w:w="100.0" w:type="dxa"/>
            </w:tcMar>
          </w:tcPr>
          <w:p w:rsidR="00000000" w:rsidDel="00000000" w:rsidP="00000000" w:rsidRDefault="00000000" w:rsidRPr="00000000" w14:paraId="00000051">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суд з прав людини</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2">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ЄКПЛ</w:t>
            </w:r>
          </w:p>
        </w:tc>
        <w:tc>
          <w:tcPr>
            <w:shd w:fill="auto" w:val="clear"/>
            <w:tcMar>
              <w:top w:w="100.0" w:type="dxa"/>
              <w:left w:w="100.0" w:type="dxa"/>
              <w:bottom w:w="100.0" w:type="dxa"/>
              <w:right w:w="100.0" w:type="dxa"/>
            </w:tcMar>
          </w:tcPr>
          <w:p w:rsidR="00000000" w:rsidDel="00000000" w:rsidP="00000000" w:rsidRDefault="00000000" w:rsidRPr="00000000" w14:paraId="00000053">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Конвенція про захист прав людини і основоположних свобод</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4">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РЄ</w:t>
            </w:r>
          </w:p>
        </w:tc>
        <w:tc>
          <w:tcPr>
            <w:shd w:fill="auto" w:val="clear"/>
            <w:tcMar>
              <w:top w:w="100.0" w:type="dxa"/>
              <w:left w:w="100.0" w:type="dxa"/>
              <w:bottom w:w="100.0" w:type="dxa"/>
              <w:right w:w="100.0" w:type="dxa"/>
            </w:tcMar>
          </w:tcPr>
          <w:p w:rsidR="00000000" w:rsidDel="00000000" w:rsidP="00000000" w:rsidRDefault="00000000" w:rsidRPr="00000000" w14:paraId="00000055">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Рада Європи</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6">
            <w:pPr>
              <w:widowControl w:val="0"/>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ЄС</w:t>
            </w:r>
          </w:p>
        </w:tc>
        <w:tc>
          <w:tcPr>
            <w:shd w:fill="auto" w:val="clear"/>
            <w:tcMar>
              <w:top w:w="100.0" w:type="dxa"/>
              <w:left w:w="100.0" w:type="dxa"/>
              <w:bottom w:w="100.0" w:type="dxa"/>
              <w:right w:w="100.0" w:type="dxa"/>
            </w:tcMar>
          </w:tcPr>
          <w:p w:rsidR="00000000" w:rsidDel="00000000" w:rsidP="00000000" w:rsidRDefault="00000000" w:rsidRPr="00000000" w14:paraId="0000005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Європейський Союз</w:t>
            </w:r>
          </w:p>
        </w:tc>
      </w:tr>
    </w:tbl>
    <w:p w:rsidR="00000000" w:rsidDel="00000000" w:rsidP="00000000" w:rsidRDefault="00000000" w:rsidRPr="00000000" w14:paraId="00000058">
      <w:pPr>
        <w:rPr/>
      </w:pPr>
      <w:bookmarkStart w:colFirst="0" w:colLast="0" w:name="_heading=h.147n2zr" w:id="8"/>
      <w:bookmarkEnd w:id="8"/>
      <w:r w:rsidDel="00000000" w:rsidR="00000000" w:rsidRPr="00000000">
        <w:rPr>
          <w:rtl w:val="0"/>
        </w:rPr>
      </w:r>
    </w:p>
    <w:p w:rsidR="00000000" w:rsidDel="00000000" w:rsidP="00000000" w:rsidRDefault="00000000" w:rsidRPr="00000000" w14:paraId="00000059">
      <w:pPr>
        <w:rPr>
          <w:rFonts w:ascii="Times New Roman" w:cs="Times New Roman" w:eastAsia="Times New Roman" w:hAnsi="Times New Roman"/>
          <w:b w:val="1"/>
          <w:sz w:val="28"/>
          <w:szCs w:val="28"/>
        </w:rPr>
      </w:pPr>
      <w:bookmarkStart w:colFirst="0" w:colLast="0" w:name="_heading=h.3o7alnk" w:id="9"/>
      <w:bookmarkEnd w:id="9"/>
      <w:r w:rsidDel="00000000" w:rsidR="00000000" w:rsidRPr="00000000">
        <w:br w:type="page"/>
      </w:r>
      <w:r w:rsidDel="00000000" w:rsidR="00000000" w:rsidRPr="00000000">
        <w:rPr>
          <w:rtl w:val="0"/>
        </w:rPr>
      </w:r>
    </w:p>
    <w:p w:rsidR="00000000" w:rsidDel="00000000" w:rsidP="00000000" w:rsidRDefault="00000000" w:rsidRPr="00000000" w14:paraId="0000005A">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5B">
      <w:pPr>
        <w:ind w:firstLine="708"/>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В сучасному світі, де технології швидко розвиваються, захист персональних даних стає все більш важливим. Кожного дня люди в різних формах розкривають персональну інформацію у побуті, на роботі, в магазині чи просто при спілкуванні із знайомими. Більшість людей навіть не придає значення тому, скільки інформації можна дізнатися про людину через її власну необережність або неналежну конфіденційність осіб, які володіють інформацією про таку людину. </w:t>
      </w:r>
    </w:p>
    <w:p w:rsidR="00000000" w:rsidDel="00000000" w:rsidP="00000000" w:rsidRDefault="00000000" w:rsidRPr="00000000" w14:paraId="0000005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кожним роком ми стаємо свідками стрімкого розвитку цифрових технологій, які започатковують нові стандарти ведення бізнесу, освіти, медицини та інших галузей. Однак цей розвиток супроводжується збільшенням обсягу персональних даних, які зберігаються та обробляються. Зростання продуктів і складності кіберзагроз негативно впливає на те, що зловмисники стають все більш винахідливими в сфері кібератак. Не тільки великі корпорації, але і звичайні громадяни стають об'єктами цифрового вторгнення. Багато країн активно пристосовує своє законодавство для врахування сучасних викликів у сфері захисту персональних даних. Після вступу в дію Загального регламента щодо захисту персональних даних (GDPR) в Європейському Союзі з’явилися нові стандарти та вимоги щодо обробки особистої інформації. Розгляд цих законодавчих змін і їх вплив на практику обробки даних є масштабним аспектом розуміння актуальності теми. </w:t>
      </w:r>
    </w:p>
    <w:p w:rsidR="00000000" w:rsidDel="00000000" w:rsidP="00000000" w:rsidRDefault="00000000" w:rsidRPr="00000000" w14:paraId="0000005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провадження біометричних технологій та зростання кількості Інтернет пристроїв та речей, які збирають та обробляють персональні дані, створюють нові виклики для забезпечення приватності особи.</w:t>
      </w:r>
    </w:p>
    <w:p w:rsidR="00000000" w:rsidDel="00000000" w:rsidP="00000000" w:rsidRDefault="00000000" w:rsidRPr="00000000" w14:paraId="0000005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вимоги щодо забезпечення безпеки персональних даних стосуються практично всіх сфер. Це пояснюється тим, що до інформаційних систем можуть відноситися нетипові персональні дані, такі як білінгові системи, call-центри або автоматизовані системи бюро пропусків. Крім того, якщо продавець просто набирає список клієнтів з іменами та телефонами на своєму пристрої, ця інформація повинна бути надійно захищена. З кожним днем зростає як цінність інформації, так і креативність методів її несанкціонованого отримання. І хоча не всі дані можуть бути однаково цінними, персональні дані залишаються особливо популярним об’єктом для зловмисників. Тому одним із ключових пріоритетів в Україні є вдосконалення законодавства про захист персональних даних. </w:t>
      </w:r>
    </w:p>
    <w:p w:rsidR="00000000" w:rsidDel="00000000" w:rsidP="00000000" w:rsidRDefault="00000000" w:rsidRPr="00000000" w14:paraId="0000006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дивлячись на те, що в країнах Європейського Союзу склалася уніфікована юридико-правова дефініція щодо персональних даних та їх принципів, під впливом появи нових видів даних та з метою врегулювання питання захисту прав людини щодо цих даних право ЄС досить швидко та гнучко пристосовується до нових потреб законодавчої модернізації.</w:t>
      </w:r>
    </w:p>
    <w:p w:rsidR="00000000" w:rsidDel="00000000" w:rsidP="00000000" w:rsidRDefault="00000000" w:rsidRPr="00000000" w14:paraId="0000006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цим необхідно усвідомлювати, що ефективний захист персональних даних неможливий, якщо розглядати його як окрему, ізольовану мету, не враховуючи той факт, що в остаточному підсумку весь механізм захисту особистої інформації є невід’ємною частиною загальної системи забезпечення основних прав людини і громадянина.</w:t>
      </w:r>
    </w:p>
    <w:p w:rsidR="00000000" w:rsidDel="00000000" w:rsidP="00000000" w:rsidRDefault="00000000" w:rsidRPr="00000000" w14:paraId="0000006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до цього факту приділяє Марі Жорж, яка є фахівцем у галузі захисту даних у Національній комісії Франції з інформаційних технологій та свободи. Це виявляється під час її аналізу однієї з редакцій Закону України «Про захист персональних даних». Зокрема, вона зазначила, що «назва Закону говорить про те, що у ньому йдеться про «захист персональних даних». Ця цитата дещо заплутує, адже здається, що йдеться тільки про питання безпеки даних, тоді як ані Конституція України, ані Конвенція 108 чи Директива ЄС не використовують такий термін. Європейські тексти визначають мету/предмет, використовуючи набагато ширше та чіткіше формулювання: «забезпечення захисту основних прав громадян, зокрема, на їх особисте життя у зв’язку з обробкою персональних даних» [1]. </w:t>
      </w:r>
    </w:p>
    <w:p w:rsidR="00000000" w:rsidDel="00000000" w:rsidP="00000000" w:rsidRDefault="00000000" w:rsidRPr="00000000" w14:paraId="0000006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цього факту дає зрозуміти, що національне законодавство України потребує вдосконалення та гармонізації із міжнародним правом, особливо у зв’язку із вступом України в Європейський Союз. </w:t>
      </w:r>
    </w:p>
    <w:p w:rsidR="00000000" w:rsidDel="00000000" w:rsidP="00000000" w:rsidRDefault="00000000" w:rsidRPr="00000000" w14:paraId="0000006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українських науковців окремі питання щодо захисту персональних даних висвітлювали такі науковці, як М.В. Бєлова, Д.М.Бєлов, М.В. Бем, І.М. Городиський, О.І. Нагнічук, Д.І. Опришко, М.Швець та деякі інші. </w:t>
      </w:r>
    </w:p>
    <w:p w:rsidR="00000000" w:rsidDel="00000000" w:rsidP="00000000" w:rsidRDefault="00000000" w:rsidRPr="00000000" w14:paraId="0000006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значною мірою актуальність дослідження зумовлена змінами в інформаційно-технологічній сфері та появою нових видів даних та способів їх опрацювання.</w:t>
      </w:r>
    </w:p>
    <w:p w:rsidR="00000000" w:rsidDel="00000000" w:rsidP="00000000" w:rsidRDefault="00000000" w:rsidRPr="00000000" w14:paraId="0000006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і задачі дослідження.</w:t>
      </w:r>
      <w:r w:rsidDel="00000000" w:rsidR="00000000" w:rsidRPr="00000000">
        <w:rPr>
          <w:rFonts w:ascii="Times New Roman" w:cs="Times New Roman" w:eastAsia="Times New Roman" w:hAnsi="Times New Roman"/>
          <w:sz w:val="28"/>
          <w:szCs w:val="28"/>
          <w:rtl w:val="0"/>
        </w:rPr>
        <w:t xml:space="preserve"> Мета дослідження полягає у визначенні змісту персональних даних, особливостей принципів опрацювання персональних даних, проблем та недоліків судової практики та обґрунтуванні способів вирішення проблем правового регулювання та правозастосовної діяльності захисту персональних даних.</w:t>
      </w:r>
    </w:p>
    <w:p w:rsidR="00000000" w:rsidDel="00000000" w:rsidP="00000000" w:rsidRDefault="00000000" w:rsidRPr="00000000" w14:paraId="0000006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Окреслена мета визначила такі задачі дослідження:</w:t>
      </w:r>
    </w:p>
    <w:p w:rsidR="00000000" w:rsidDel="00000000" w:rsidP="00000000" w:rsidRDefault="00000000" w:rsidRPr="00000000" w14:paraId="00000068">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охарактеризувати історію формування інституту захисту персональних даних; </w:t>
      </w:r>
    </w:p>
    <w:p w:rsidR="00000000" w:rsidDel="00000000" w:rsidP="00000000" w:rsidRDefault="00000000" w:rsidRPr="00000000" w14:paraId="00000069">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розкрити сутність принципів обробки персональних даних;</w:t>
      </w:r>
    </w:p>
    <w:p w:rsidR="00000000" w:rsidDel="00000000" w:rsidP="00000000" w:rsidRDefault="00000000" w:rsidRPr="00000000" w14:paraId="0000006A">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окреслити недоліки та прогалини у судовій практиці у вирішенні справ щодо захисту персональних даних;</w:t>
      </w:r>
    </w:p>
    <w:p w:rsidR="00000000" w:rsidDel="00000000" w:rsidP="00000000" w:rsidRDefault="00000000" w:rsidRPr="00000000" w14:paraId="0000006B">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розкрити зміст обмеження права доступу до персональних даних та права на захист персональних даних;</w:t>
      </w:r>
    </w:p>
    <w:p w:rsidR="00000000" w:rsidDel="00000000" w:rsidP="00000000" w:rsidRDefault="00000000" w:rsidRPr="00000000" w14:paraId="0000006C">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окреслити роль судової системи в інституті захисту персональних даних;</w:t>
      </w:r>
    </w:p>
    <w:p w:rsidR="00000000" w:rsidDel="00000000" w:rsidP="00000000" w:rsidRDefault="00000000" w:rsidRPr="00000000" w14:paraId="0000006D">
      <w:pPr>
        <w:numPr>
          <w:ilvl w:val="0"/>
          <w:numId w:val="18"/>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запропонувати шляхи вирішення проблем правового регулювання та правозастосовної діяльності захисту персональних даних.</w:t>
      </w:r>
    </w:p>
    <w:p w:rsidR="00000000" w:rsidDel="00000000" w:rsidP="00000000" w:rsidRDefault="00000000" w:rsidRPr="00000000" w14:paraId="0000006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суспільні відносини у сфері захисту персональних даних.</w:t>
      </w:r>
    </w:p>
    <w:p w:rsidR="00000000" w:rsidDel="00000000" w:rsidP="00000000" w:rsidRDefault="00000000" w:rsidRPr="00000000" w14:paraId="0000006F">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є інститут захисту персональних даних.</w:t>
      </w:r>
    </w:p>
    <w:p w:rsidR="00000000" w:rsidDel="00000000" w:rsidP="00000000" w:rsidRDefault="00000000" w:rsidRPr="00000000" w14:paraId="00000070">
      <w:pPr>
        <w:spacing w:line="360" w:lineRule="auto"/>
        <w:ind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Методологічну основу дослідження склали загальнонаукові та спеціально-юридичні методи науково-юридичного пізнання. Застосування історичного методу та методу аналізу дозволило охарактеризувати періоди формування інституту захисту персональних даних (Розділ 1, підрозділ 1.1). Формально-юридичний метод застосовувався при дослідженні та розкритті поняття персональних даних (Розділ 1, підпункт 1.1). Застосування методу аналізу дозволило розкрити сутність та значення принципів захисту та обробки персональних даних (Розділ 1, підпункт 1.2). Застосування методу аналізу дозволило окреслити конфлікт між правом на інформацію та правом на приватність (Розділ 2, підпункт 2.1), а застосування порівняльно-правового методу у взаємодії із системно-структурним дозволило розкрити обмеження прав особи щодо персональних даних (Розділ 2, підпункт 2.2). Застосування методу аналізу із системно-структурним методом дозволило визначити роль судової системи в інституті захисту персональних даних (Розділ 3, підпункт 3.1).</w:t>
      </w:r>
    </w:p>
    <w:p w:rsidR="00000000" w:rsidDel="00000000" w:rsidP="00000000" w:rsidRDefault="00000000" w:rsidRPr="00000000" w14:paraId="0000007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переліку умовних позначень, трьох розділів, п’яти підрозділів, висновків та списку використаних джерел.</w:t>
      </w:r>
    </w:p>
    <w:p w:rsidR="00000000" w:rsidDel="00000000" w:rsidP="00000000" w:rsidRDefault="00000000" w:rsidRPr="00000000" w14:paraId="00000072">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3">
      <w:pPr>
        <w:rPr>
          <w:rFonts w:ascii="Times New Roman" w:cs="Times New Roman" w:eastAsia="Times New Roman" w:hAnsi="Times New Roman"/>
          <w:b w:val="1"/>
          <w:sz w:val="28"/>
          <w:szCs w:val="28"/>
        </w:rPr>
      </w:pPr>
      <w:bookmarkStart w:colFirst="0" w:colLast="0" w:name="_heading=h.23ckvvd" w:id="10"/>
      <w:bookmarkEnd w:id="10"/>
      <w:r w:rsidDel="00000000" w:rsidR="00000000" w:rsidRPr="00000000">
        <w:br w:type="page"/>
      </w:r>
      <w:r w:rsidDel="00000000" w:rsidR="00000000" w:rsidRPr="00000000">
        <w:rPr>
          <w:rtl w:val="0"/>
        </w:rPr>
      </w:r>
    </w:p>
    <w:p w:rsidR="00000000" w:rsidDel="00000000" w:rsidP="00000000" w:rsidRDefault="00000000" w:rsidRPr="00000000" w14:paraId="00000074">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p>
    <w:p w:rsidR="00000000" w:rsidDel="00000000" w:rsidP="00000000" w:rsidRDefault="00000000" w:rsidRPr="00000000" w14:paraId="00000075">
      <w:pPr>
        <w:spacing w:line="360" w:lineRule="auto"/>
        <w:ind w:firstLine="708"/>
        <w:jc w:val="center"/>
        <w:rPr>
          <w:rFonts w:ascii="Times New Roman" w:cs="Times New Roman" w:eastAsia="Times New Roman" w:hAnsi="Times New Roman"/>
          <w:b w:val="1"/>
          <w:sz w:val="28"/>
          <w:szCs w:val="28"/>
        </w:rPr>
      </w:pPr>
      <w:bookmarkStart w:colFirst="0" w:colLast="0" w:name="_heading=h.ihv636" w:id="11"/>
      <w:bookmarkEnd w:id="11"/>
      <w:r w:rsidDel="00000000" w:rsidR="00000000" w:rsidRPr="00000000">
        <w:rPr>
          <w:rFonts w:ascii="Times New Roman" w:cs="Times New Roman" w:eastAsia="Times New Roman" w:hAnsi="Times New Roman"/>
          <w:b w:val="1"/>
          <w:sz w:val="28"/>
          <w:szCs w:val="28"/>
          <w:rtl w:val="0"/>
        </w:rPr>
        <w:t xml:space="preserve">ТЕОРЕТИЧНІ АСПЕКТИ ЗАХИСТУ ПЕРСОНАЛЬНИХ ДАНИХ ПРИ ЗДІЙСНЕННІ ПРАВОСУДДЯ</w:t>
      </w:r>
    </w:p>
    <w:p w:rsidR="00000000" w:rsidDel="00000000" w:rsidP="00000000" w:rsidRDefault="00000000" w:rsidRPr="00000000" w14:paraId="00000076">
      <w:pPr>
        <w:spacing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7">
      <w:pPr>
        <w:spacing w:line="360" w:lineRule="auto"/>
        <w:ind w:firstLine="708"/>
        <w:jc w:val="both"/>
        <w:rPr>
          <w:rFonts w:ascii="Times New Roman" w:cs="Times New Roman" w:eastAsia="Times New Roman" w:hAnsi="Times New Roman"/>
          <w:b w:val="1"/>
          <w:sz w:val="28"/>
          <w:szCs w:val="28"/>
        </w:rPr>
      </w:pPr>
      <w:bookmarkStart w:colFirst="0" w:colLast="0" w:name="_heading=h.32hioqz" w:id="12"/>
      <w:bookmarkEnd w:id="12"/>
      <w:r w:rsidDel="00000000" w:rsidR="00000000" w:rsidRPr="00000000">
        <w:rPr>
          <w:rFonts w:ascii="Times New Roman" w:cs="Times New Roman" w:eastAsia="Times New Roman" w:hAnsi="Times New Roman"/>
          <w:b w:val="1"/>
          <w:sz w:val="28"/>
          <w:szCs w:val="28"/>
          <w:rtl w:val="0"/>
        </w:rPr>
        <w:t xml:space="preserve">1.1. Етапи формування інституту захисту персональних даних. Поняття та значення персональних даних у контексті правової системи.</w:t>
      </w:r>
    </w:p>
    <w:p w:rsidR="00000000" w:rsidDel="00000000" w:rsidP="00000000" w:rsidRDefault="00000000" w:rsidRPr="00000000" w14:paraId="00000078">
      <w:pPr>
        <w:spacing w:line="360" w:lineRule="auto"/>
        <w:ind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норми з правового регулювання захисту персональних даних були закріплені в положеннях міжнародних договорів з прав людини в якості складової права на приватність. Так, у ст. 12 Загальної декларації прав людини 1948 року закріплено: «Ніхто не може зазнавати безпідставного втручання в його особисте і сімейне життя, безпідставного посягання на недоторканність його житла, таємницю його кореспонденції або на його честь і репутацію. Кожна людина має право на захист закону від такого втручання або таких посягань» [2]. </w:t>
      </w:r>
    </w:p>
    <w:p w:rsidR="00000000" w:rsidDel="00000000" w:rsidP="00000000" w:rsidRDefault="00000000" w:rsidRPr="00000000" w14:paraId="0000007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18 років це право було гарантовано у Пакті про громадянські та політичні права 1966 року, у статті 17 встановлено, що «Ніхто не повинен зазнавати свавільного чи незаконного втручання в його особисте і сімейне життя, свавільних чи незаконних посягань на недоторканність його житла або таємницю його кореспонденції чи незаконних посягань на його честь і репутацію. Кожна людина має право на захист закону від такого втручання чи таких посягань» [3].</w:t>
      </w:r>
    </w:p>
    <w:p w:rsidR="00000000" w:rsidDel="00000000" w:rsidP="00000000" w:rsidRDefault="00000000" w:rsidRPr="00000000" w14:paraId="0000007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впливом все більшого поширення проблеми визнання права на приватне життя, воно перетворилося на універсальне і віднайшло своє відображення у міжнародно-правових актах, які регламентують права та свободи окремих груп суспільства або в певних сферах діяльності. Тому подібні за змістом положення з’явилися в статті 16 Конвенції про права дитини 1989 року [4], статті 22 Конвенції про права осіб з інвалідністю 2006 р. [5].</w:t>
      </w:r>
    </w:p>
    <w:p w:rsidR="00000000" w:rsidDel="00000000" w:rsidP="00000000" w:rsidRDefault="00000000" w:rsidRPr="00000000" w14:paraId="0000007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Осторонь від цієї теми не залишились і міжнародні організації, зокрема 14 грудня 1990 року Резолюцією Генеральної Асамблеї Організації Об’єднаних Націй №/95 (XLV) було ухвалено Керівні принципи ООН щодо регламентації комп’ютеризованих картотек, які містять персональні дані [6]. Крім того 23 вересня 1980 року було схвалено Базові принципи захисту недоторканності приватного життя і транскордонних потоків персональних даних, які було розроблені Організацією з економічного співробітництва та розвитку (далі – ОЕСР) [7].</w:t>
      </w:r>
    </w:p>
    <w:p w:rsidR="00000000" w:rsidDel="00000000" w:rsidP="00000000" w:rsidRDefault="00000000" w:rsidRPr="00000000" w14:paraId="0000007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цим же вектором право на приватність було закріплено в регіональних міжнародних актах, таких як Американська конвенція з прав людини 1969 року [8] та Хартія основних прав Європейського Союзу 2000 року. Зокрема статтею 8 Хартії закріплено, що «Кожна людина має право на захист персональних даних щодо неї. Такі дані мають використовуватися належним чином для визначених цілей та на підставі згоди такої людини або інших обґрунтованих підставах, встановлених законом. Кожна людина має право на доступ до даних, зібраних щодо неї, та право на виправлення в них помилок. Дотримання цих правил підлягає контролю з боку незалежного державного органу» [9]. </w:t>
      </w:r>
    </w:p>
    <w:p w:rsidR="00000000" w:rsidDel="00000000" w:rsidP="00000000" w:rsidRDefault="00000000" w:rsidRPr="00000000" w14:paraId="0000007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Відтак, саме це положення стало основою і першоджерелом системи персональних даних, яка існує в Україні сьогодні. </w:t>
      </w:r>
    </w:p>
    <w:p w:rsidR="00000000" w:rsidDel="00000000" w:rsidP="00000000" w:rsidRDefault="00000000" w:rsidRPr="00000000" w14:paraId="0000007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зазначимо, що процес реформування системи правового регулювання захисту персональних даних постійно триває, адже персональні дані з плином часу видозмінюються і у сучасному суспільстві потребують все більшого захисту. </w:t>
      </w:r>
    </w:p>
    <w:p w:rsidR="00000000" w:rsidDel="00000000" w:rsidP="00000000" w:rsidRDefault="00000000" w:rsidRPr="00000000" w14:paraId="0000008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Відтак 24 жовтня 1995 року було прийнято Директиву 95/46/ЄС Європейського Парламенту і Ради «Про захист фізичних осіб при обробці персональних даних і про вільне переміщення таких даних» [10] (далі – Директива). Директивою було закріплено детальні вимоги щодо організації системи захисту персональних даних у державі. </w:t>
      </w:r>
    </w:p>
    <w:p w:rsidR="00000000" w:rsidDel="00000000" w:rsidP="00000000" w:rsidRDefault="00000000" w:rsidRPr="00000000" w14:paraId="0000008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тому Директива 95/46/ЄС стала зразковим нормативно-правовим актом на основі якого було розроблено два ключових документи у сфері захисту персональних даних в Україні – статтю 32 Конституції України, відповідно до якої, «ніхто не може зазнавати втручання в його особисте і сімейне життя, крім випадків, передбачених Конституцією України. Не допускається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 [11] та Закон України «Про захист персональних даних», прийнятий Верховною радою 01.06.2010 року [12] (далі – Закон). </w:t>
      </w:r>
    </w:p>
    <w:p w:rsidR="00000000" w:rsidDel="00000000" w:rsidP="00000000" w:rsidRDefault="00000000" w:rsidRPr="00000000" w14:paraId="0000008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Формально Директива не була частиною українського законодавства. Однак, так як вона відіграла ключову роль у системі захисту персональних даних держав-членів Європейського Союзу і стала орієнтиром розвитку їх політичної, економічної та правової системи, положення Закону України «Про захист персональних даних» отримали свою базу саме на її положеннях. У науковій спільноті існує думка, «що якби не Директива, положення Закону було би вкрай важко правильно розуміти. Так, низка положень Директиви недостатньо чітко/правильно сформульовані в Законі, тому для його правильного розуміння рекомендовано звертатися до відповідних положень Директиви» [13, с.17].</w:t>
      </w:r>
    </w:p>
    <w:p w:rsidR="00000000" w:rsidDel="00000000" w:rsidP="00000000" w:rsidRDefault="00000000" w:rsidRPr="00000000" w14:paraId="0000008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орієнтованість національного законодавства про захист персональних даних на європейські стандарти обумовлюється тим, що співробітництво в цій сфері визначено Угодою про асоціацію між Україною та ЄС від 27.06.2014 року, зокрема у статті 15 йдеться, що «Сторони домовились співробітничати з метою забезпечення належного рівня захисту персональних даних відповідно до найвищих європейських та міжнародних стандартів» [14].</w:t>
      </w:r>
    </w:p>
    <w:p w:rsidR="00000000" w:rsidDel="00000000" w:rsidP="00000000" w:rsidRDefault="00000000" w:rsidRPr="00000000" w14:paraId="0000008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часом стало зрозуміло, що суспільство потребувало рамкового документу, який на відміну від Директиви був би актом прямої дії, тому 17 квітня 2016 року було прийнято Регламент Європейського парламенту і Ради (ЄС) 2016/679 про захист фізичних осіб у зв'язку з опрацюванням персональних даних і про вільний рух таких даних, та про скасування Директиви 95/46/ЄС [15] (далі – Регламент).</w:t>
      </w:r>
    </w:p>
    <w:p w:rsidR="00000000" w:rsidDel="00000000" w:rsidP="00000000" w:rsidRDefault="00000000" w:rsidRPr="00000000" w14:paraId="0000008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розділ 3 Регламенту містить повний перелік прав суб’єктів персональних даних, які були раніше закріплені в Директиві та Хартії.</w:t>
      </w:r>
    </w:p>
    <w:p w:rsidR="00000000" w:rsidDel="00000000" w:rsidP="00000000" w:rsidRDefault="00000000" w:rsidRPr="00000000" w14:paraId="0000008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маємо зазначити, що частина положення Закону України «Про захист персональних даних» базується на Конвенції Ради Європи «Про захист осіб у зв’язку з автоматизованою обробкою персональних даних» 1981 року [16] (далі – Конвенція 108). У цьому документі вперше викладено ключові принципи обробки персональних даних, права особи у зв’язку з обробкою її персональних даних, базові норми щодо транскордонної передачі даних, а також передбачено створення консультативного комітету, до чиїх обов’язків входить проведення аналізу застосування Конвенції 108. Крім того 8 листопада 2001 року, було ухвалено Додатковий протокол до Конвенції 108, який деталізував її положення у частині транскордонної передачі даних та передбачав створення сторонами Конвенції наглядового органу, який би вів контроль за додержанням законодавства про захист персональних даних на національному рівні.</w:t>
      </w:r>
    </w:p>
    <w:p w:rsidR="00000000" w:rsidDel="00000000" w:rsidP="00000000" w:rsidRDefault="00000000" w:rsidRPr="00000000" w14:paraId="0000008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тому в Законі України «Про захист персональних даних» передбачена вимога щодо прийняття наглядовим органом у сфері захисту персональних даних, в Україні ним є Уповноважений Верховної Ради України з прав людини, низки підзаконних нормативно-правових актів.</w:t>
      </w:r>
    </w:p>
    <w:p w:rsidR="00000000" w:rsidDel="00000000" w:rsidP="00000000" w:rsidRDefault="00000000" w:rsidRPr="00000000" w14:paraId="0000008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чим наказом Уповноваженого Верховної Ради України з прав людини від 8 січня 2014 року № 1/02–14 [17] було затверджено:</w:t>
      </w:r>
    </w:p>
    <w:p w:rsidR="00000000" w:rsidDel="00000000" w:rsidP="00000000" w:rsidRDefault="00000000" w:rsidRPr="00000000" w14:paraId="00000089">
      <w:pPr>
        <w:numPr>
          <w:ilvl w:val="0"/>
          <w:numId w:val="14"/>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Типовий порядок обробки персональних даних;</w:t>
      </w:r>
    </w:p>
    <w:p w:rsidR="00000000" w:rsidDel="00000000" w:rsidP="00000000" w:rsidRDefault="00000000" w:rsidRPr="00000000" w14:paraId="0000008A">
      <w:pPr>
        <w:numPr>
          <w:ilvl w:val="0"/>
          <w:numId w:val="14"/>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здійснення Уповноваженим ВРУ контролю за додержанням законодавства про захист персональних даних;</w:t>
      </w:r>
    </w:p>
    <w:p w:rsidR="00000000" w:rsidDel="00000000" w:rsidP="00000000" w:rsidRDefault="00000000" w:rsidRPr="00000000" w14:paraId="0000008B">
      <w:pPr>
        <w:numPr>
          <w:ilvl w:val="0"/>
          <w:numId w:val="14"/>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повідомлення Уповноваженого ВРУ з прав людини про обробку персональних даних, яка становить особливий ризик для прав і свобод суб’єктів персональних даних, про структурний підрозділ або відповідальну особу, що організовує роботу, пов’язану із захистом персональних даних при їх обробці, а також оприлюднення вказаної інформації.</w:t>
      </w:r>
    </w:p>
    <w:p w:rsidR="00000000" w:rsidDel="00000000" w:rsidP="00000000" w:rsidRDefault="00000000" w:rsidRPr="00000000" w14:paraId="0000008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цього, важливе значення у сфері захисту персональних даних мають норми, якими встановлюється відповідальність за порушення законодавства про захист персональних даних. Так, статтею 182 Кримінального кодексу України (далі КК України) передбачено відповідальність за «незаконне збирання, зберігання, використання, знищення, поширення конфіденційної інформації про особу або незаконну зміну такої інформації» [18] та статтею 188-39 Кодексу України про адміністративні правопорушення (далі – КУпАП) передбачено відповідальність за «недодержання встановленого законодавством про захист персональних даних порядку захисту персональних даних, що призвело до незаконного доступу до них або порушення прав суб’єкта персональних даних» [19].</w:t>
      </w:r>
    </w:p>
    <w:p w:rsidR="00000000" w:rsidDel="00000000" w:rsidP="00000000" w:rsidRDefault="00000000" w:rsidRPr="00000000" w14:paraId="0000008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особистих даних є ключовою складовою сучасної інформаційної безпеки та пов'язаний із забезпеченням конфіденційності та прав громадян на контроль над своїми відомостями. Формування інституту захисту персональних даних включає кілька важливих етапів:</w:t>
      </w:r>
    </w:p>
    <w:p w:rsidR="00000000" w:rsidDel="00000000" w:rsidP="00000000" w:rsidRDefault="00000000" w:rsidRPr="00000000" w14:paraId="0000008E">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законодавства;</w:t>
      </w:r>
    </w:p>
    <w:p w:rsidR="00000000" w:rsidDel="00000000" w:rsidP="00000000" w:rsidRDefault="00000000" w:rsidRPr="00000000" w14:paraId="0000008F">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регуляторного акту;</w:t>
      </w:r>
    </w:p>
    <w:p w:rsidR="00000000" w:rsidDel="00000000" w:rsidP="00000000" w:rsidRDefault="00000000" w:rsidRPr="00000000" w14:paraId="00000090">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стандартів та процедур;</w:t>
      </w:r>
    </w:p>
    <w:p w:rsidR="00000000" w:rsidDel="00000000" w:rsidP="00000000" w:rsidRDefault="00000000" w:rsidRPr="00000000" w14:paraId="00000091">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 та підвищення обізнаності; </w:t>
      </w:r>
    </w:p>
    <w:p w:rsidR="00000000" w:rsidDel="00000000" w:rsidP="00000000" w:rsidRDefault="00000000" w:rsidRPr="00000000" w14:paraId="00000092">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актуалізація;</w:t>
      </w:r>
    </w:p>
    <w:p w:rsidR="00000000" w:rsidDel="00000000" w:rsidP="00000000" w:rsidRDefault="00000000" w:rsidRPr="00000000" w14:paraId="00000093">
      <w:pPr>
        <w:numPr>
          <w:ilvl w:val="0"/>
          <w:numId w:val="2"/>
        </w:numPr>
        <w:spacing w:line="360" w:lineRule="auto"/>
        <w:ind w:left="1133" w:right="7" w:hanging="28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міжнародне співробітництво.</w:t>
      </w:r>
    </w:p>
    <w:p w:rsidR="00000000" w:rsidDel="00000000" w:rsidP="00000000" w:rsidRDefault="00000000" w:rsidRPr="00000000" w14:paraId="0000009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інституту захисту персональних даних вимагає комплексного підходу та спільних зусиль законодавчих, організаційних та освітніх ініціатив. Зокрема, найбільше проблем в Україні на етапі моніторингу та актуалізації законодавства по захисту персональних даних. Детальніше про цю проблему та рекомендації по її вирішенню будуть надані далі.</w:t>
      </w:r>
    </w:p>
    <w:p w:rsidR="00000000" w:rsidDel="00000000" w:rsidP="00000000" w:rsidRDefault="00000000" w:rsidRPr="00000000" w14:paraId="0000009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сучасному інформаційному суспільстві персональні дані стали не лише цінним ресурсом, але й об'єктом особливої уваги та регулювання в правовій сфері. Поняття персональних даних, їх обробка та захист займають центральне місце у сфері правосуддя, де врахування індивідуальної приватності та забезпечення прав громадян стає важливим завданням.</w:t>
      </w:r>
    </w:p>
    <w:p w:rsidR="00000000" w:rsidDel="00000000" w:rsidP="00000000" w:rsidRDefault="00000000" w:rsidRPr="00000000" w14:paraId="0000009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розділі ми окремо розглянемо сутність та значення поняття «персональні дані» у контексті правової системи.</w:t>
      </w:r>
    </w:p>
    <w:p w:rsidR="00000000" w:rsidDel="00000000" w:rsidP="00000000" w:rsidRDefault="00000000" w:rsidRPr="00000000" w14:paraId="0000009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поняття «персональні дані» визначається як інформація, яка стосується ідентифікованої або ідентифікованої можливої фізичної особи (суб'єкта персональних даних). Це може включати такі дані, як ім'я, адреса, номер телефону, адреса електронної пошти, фізичні характеристики, медична інформація, фінансові дані та інші аспекти, які дозволяють ідентифікувати конкретну особу.</w:t>
      </w:r>
    </w:p>
    <w:p w:rsidR="00000000" w:rsidDel="00000000" w:rsidP="00000000" w:rsidRDefault="00000000" w:rsidRPr="00000000" w14:paraId="0000009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поняття «персональні дані» полягає в тому, що ця інформація має особистий характер та пов'язана із конкретною людиною. З точки зору правової системи, захист персональних даних стає ключовим завданням для забезпечення приватності та прав осіб.</w:t>
      </w:r>
    </w:p>
    <w:p w:rsidR="00000000" w:rsidDel="00000000" w:rsidP="00000000" w:rsidRDefault="00000000" w:rsidRPr="00000000" w14:paraId="0000009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поняття «персональні дані» у правовій системі включає в себе регулювання збирання, обробки, зберігання та передачі цих даних. В багатьох юрисдикціях існують спеціальні закони та нормативні акти, що визначають правила та обов'язки стосовно персональних даних з метою захисту прав та свобод осіб. Це також враховує необхідність забезпечення безпеки та конфіденційності цих даних, а також надання суб'єктам персональних даних контролю над їхнім використанням.</w:t>
      </w:r>
    </w:p>
    <w:p w:rsidR="00000000" w:rsidDel="00000000" w:rsidP="00000000" w:rsidRDefault="00000000" w:rsidRPr="00000000" w14:paraId="0000009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слід зазначити, що персональні дані не можна розглядати окремо від чотирьох таких складових як:</w:t>
      </w:r>
    </w:p>
    <w:p w:rsidR="00000000" w:rsidDel="00000000" w:rsidP="00000000" w:rsidRDefault="00000000" w:rsidRPr="00000000" w14:paraId="0000009B">
      <w:pPr>
        <w:numPr>
          <w:ilvl w:val="0"/>
          <w:numId w:val="2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ідентифікація особи. Персональні дані включають інформацію, яка дозволяє однозначно встановити фізичну особу, таку як ім’я, прізвище, адреса, номер телефону, електронна пошта чи інші дані, які можуть бути пов’язані з конкретною особою;</w:t>
      </w:r>
    </w:p>
    <w:p w:rsidR="00000000" w:rsidDel="00000000" w:rsidP="00000000" w:rsidRDefault="00000000" w:rsidRPr="00000000" w14:paraId="0000009C">
      <w:pPr>
        <w:numPr>
          <w:ilvl w:val="0"/>
          <w:numId w:val="2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розширений спектр інформації (чутлива інформація). Поняття персональні дані охоплює не лише базові ідентифікаційні дані, але й ширший спектр особистої інформації, такої як біометричні дані, генетична інформація, соціальні ідентифікатори, інформація про стан здоров’я тощо.</w:t>
      </w:r>
    </w:p>
    <w:p w:rsidR="00000000" w:rsidDel="00000000" w:rsidP="00000000" w:rsidRDefault="00000000" w:rsidRPr="00000000" w14:paraId="0000009D">
      <w:pPr>
        <w:numPr>
          <w:ilvl w:val="0"/>
          <w:numId w:val="2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та контроль. Правові норми, якими регулюються суспільні відносини в сфері персональних даних, встановлюють порядок їх обробки та зобов’язання забезпечення адекватного захисту цих даних від незаконної обробки.</w:t>
      </w:r>
    </w:p>
    <w:p w:rsidR="00000000" w:rsidDel="00000000" w:rsidP="00000000" w:rsidRDefault="00000000" w:rsidRPr="00000000" w14:paraId="0000009E">
      <w:pPr>
        <w:numPr>
          <w:ilvl w:val="0"/>
          <w:numId w:val="2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права суб’єкта персональних даних. Найголовнішим аспектом до якого зводиться мета захисту персональних даних – визнання прав суб'єкта персональних даних на контроль.</w:t>
      </w:r>
    </w:p>
    <w:p w:rsidR="00000000" w:rsidDel="00000000" w:rsidP="00000000" w:rsidRDefault="00000000" w:rsidRPr="00000000" w14:paraId="0000009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поняття «персональні дані», що закріплено у Конвенції, Директиві, Регламенті та Законі має наступне значення «персональні дані – це будь-яка інформація, яка стосується ідентифікованої особи або особи, яка може бути ідентифікована». </w:t>
      </w:r>
    </w:p>
    <w:p w:rsidR="00000000" w:rsidDel="00000000" w:rsidP="00000000" w:rsidRDefault="00000000" w:rsidRPr="00000000" w14:paraId="000000A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Розберемо це поняття на частини. Ідентифікована особа – та, яку за наявною (наданою) інформацією можна безсумнівно (безпомилково) визначити або виділити серед інших осіб. До такої інформації належить суто індивідуальна або комплексна інформація. До суто індивідуальної інформації можна віднести: ідентифікаційний номер фізичної особи, номер паспорту, код Єдиного державного реєстру підприємств та організацій України.</w:t>
      </w:r>
    </w:p>
    <w:p w:rsidR="00000000" w:rsidDel="00000000" w:rsidP="00000000" w:rsidRDefault="00000000" w:rsidRPr="00000000" w14:paraId="000000A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існують випадки, коли тільки одного виду інформації недостатньо, але за наявності комплексу «прізвище + ім’я + по-батькові» , «адреса: вулиця + будинок + квартира», «назва + візуальне зображення», можна вважати особу ідентифікованою. Наприклад, у чаті ОСББ оприлюднено інформацію про боржників із даними про квартиру та суму заборгованості або на сайті селищної ради було опубліковано оголошення в якому зазначили повне ПІБ особи і мешканці будинку або громада селищної ради може легко встановити про кого саме йдеться в зазначених повідомленнях. Але і в цьому випадку треба розуміти, що ідентифікація без додаткових уточнень можлива лише коли йдеться про обмежене коло залучених осіб. Бо лише сусіди знають, хто в живе в квартирі поруч з ними, або громада, яка налічує невелику кількість осіб, де кожен знає один одного поіменно. </w:t>
      </w:r>
    </w:p>
    <w:p w:rsidR="00000000" w:rsidDel="00000000" w:rsidP="00000000" w:rsidRDefault="00000000" w:rsidRPr="00000000" w14:paraId="000000A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якщо після використання додаткової інформації до персональних даних фізичної особи можна приписати псевдонім, такі дані необхідно розглядати як інформацію про фізичну особу, яку можна ідентифікувати.</w:t>
      </w:r>
    </w:p>
    <w:p w:rsidR="00000000" w:rsidDel="00000000" w:rsidP="00000000" w:rsidRDefault="00000000" w:rsidRPr="00000000" w14:paraId="000000A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Інша ситуація виникає, коли мова йдеться про представників правоохоронних або державних органів, в яких є доступ до реєстрів або списків і знаючи точну адресу вони можуть встановити проживаючих осіб за нею осіб.</w:t>
      </w:r>
    </w:p>
    <w:p w:rsidR="00000000" w:rsidDel="00000000" w:rsidP="00000000" w:rsidRDefault="00000000" w:rsidRPr="00000000" w14:paraId="000000A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лише деякі найпоширеніші приклади інформації за якою особа може бути ідентифікована.</w:t>
      </w:r>
    </w:p>
    <w:p w:rsidR="00000000" w:rsidDel="00000000" w:rsidP="00000000" w:rsidRDefault="00000000" w:rsidRPr="00000000" w14:paraId="000000A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Регламенті поняття «особи, що може бути ідентифікована трактується наступним чином, “це особа яку можна ідентифікувати прямо чи опосередковано, зокрема вказавши такі ідентифікатори, як ім’я, ідентифікаційний номер, дані щодо місцезнаходження, онлайн ідентифікатор чи інші особливості фізичної, фізіологічної, генетичної, духовної, економічної, культурної чи соціальної ідентичності такої фізичної особи» [15].</w:t>
      </w:r>
    </w:p>
    <w:p w:rsidR="00000000" w:rsidDel="00000000" w:rsidP="00000000" w:rsidRDefault="00000000" w:rsidRPr="00000000" w14:paraId="000000A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ідентифікація особи відбувається не лише за класичними ознаками, але й шляхом безпомилкового виділення такої особи з невизначеного кола осіб за допомогою сукупності наявних відомостей. В даному мова йде про те, що за наявності взятих окремо відомостей неможливо ідентифікувати особу, на відміну від того випадку, коли ми розглядаємо їх у поєднанні.</w:t>
      </w:r>
    </w:p>
    <w:p w:rsidR="00000000" w:rsidDel="00000000" w:rsidP="00000000" w:rsidRDefault="00000000" w:rsidRPr="00000000" w14:paraId="000000A7">
      <w:pPr>
        <w:spacing w:line="360" w:lineRule="auto"/>
        <w:ind w:right="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line="360" w:lineRule="auto"/>
        <w:ind w:firstLine="708"/>
        <w:jc w:val="both"/>
        <w:rPr>
          <w:rFonts w:ascii="Times New Roman" w:cs="Times New Roman" w:eastAsia="Times New Roman" w:hAnsi="Times New Roman"/>
          <w:b w:val="1"/>
          <w:sz w:val="28"/>
          <w:szCs w:val="28"/>
        </w:rPr>
      </w:pPr>
      <w:bookmarkStart w:colFirst="0" w:colLast="0" w:name="_heading=h.1hmsyys" w:id="13"/>
      <w:bookmarkEnd w:id="13"/>
      <w:r w:rsidDel="00000000" w:rsidR="00000000" w:rsidRPr="00000000">
        <w:rPr>
          <w:rFonts w:ascii="Times New Roman" w:cs="Times New Roman" w:eastAsia="Times New Roman" w:hAnsi="Times New Roman"/>
          <w:b w:val="1"/>
          <w:sz w:val="28"/>
          <w:szCs w:val="28"/>
          <w:rtl w:val="0"/>
        </w:rPr>
        <w:t xml:space="preserve">1.2. Правові принципи захисту та обробки персональних даних.</w:t>
      </w:r>
    </w:p>
    <w:p w:rsidR="00000000" w:rsidDel="00000000" w:rsidP="00000000" w:rsidRDefault="00000000" w:rsidRPr="00000000" w14:paraId="000000A9">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 захисту персональних даних ґрунтується на принципах законності, об’єктивності інформації, обмеження розкриття персональних даних, цільової визначеності, інформаційної безпеки, мінімальності та участі суб’єкта персональних даних у здійсненні контролю. Зокрема, Регламентом визначено, що «принципи і норми щодо захисту фізичних осіб у зв'язку з опрацюванням їхніх персональних даних передбачають, незалежно від їхнього громадянства або місця проживання, дотримання їхніх фундаментальних прав і свобод, зокрема їхнього права на захист персональних даних» [15].</w:t>
      </w:r>
    </w:p>
    <w:p w:rsidR="00000000" w:rsidDel="00000000" w:rsidP="00000000" w:rsidRDefault="00000000" w:rsidRPr="00000000" w14:paraId="000000A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 захисту персональних даних мають застосовуватися до будь-якої інформації про особу яку можна ідентифікувати, або яку вже ідентифіковано. Однак, такі принципи не можна застосовувати до анонімної інформації, яка не стосується особи або персональних даних, що стали анонімними у такий спосіб, що суб'єкта даних неможливо чи більше неможливо ідентифікувати.</w:t>
      </w:r>
    </w:p>
    <w:p w:rsidR="00000000" w:rsidDel="00000000" w:rsidP="00000000" w:rsidRDefault="00000000" w:rsidRPr="00000000" w14:paraId="000000A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захист персональної інформації нерозривно пов’язаний із обробкою інформації, тому принципи захисту та обробки необхідно розглядати в сукупності.</w:t>
      </w:r>
    </w:p>
    <w:p w:rsidR="00000000" w:rsidDel="00000000" w:rsidP="00000000" w:rsidRDefault="00000000" w:rsidRPr="00000000" w14:paraId="000000A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Закону України «Про захист персональних даних», обробка персональних даних – це «будь-яка дія або сукупність дій, таких як збирання, реєстрація, накопичення, зберігання, адаптування, зміна, поновлення, використання і поширення (розповмюдження, реалізація, передача), знеособлення, знищення персональних даних, у тому числі з використанням інформаційних (автоматичних) систем» [12].</w:t>
      </w:r>
    </w:p>
    <w:p w:rsidR="00000000" w:rsidDel="00000000" w:rsidP="00000000" w:rsidRDefault="00000000" w:rsidRPr="00000000" w14:paraId="000000A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розуміти, що обробка інформації не обмежується вже перерахованими діями виключно за допомогою систематизованої сукупності персональних даних, наприклад, реєстром, досьє або базою даних. Оскільки накопичення або будь-яка інша дія з даними про суб’єкта з боку володільця інформації також вважається обробкою персональних даних відповідно до закону. Наприклад, у вас є сестра і ви знаєте, що вона посварилася зі своєю подругою, в цьому випадку той факт, що ви знаєте цю інформацію вже буде вважатися обробкою інформації. З цього випливає наступне твердження – ви як володілець інформації зобов’язані дотримуватися принципів обробки персональної інформації про вашу сестру.</w:t>
      </w:r>
    </w:p>
    <w:p w:rsidR="00000000" w:rsidDel="00000000" w:rsidP="00000000" w:rsidRDefault="00000000" w:rsidRPr="00000000" w14:paraId="000000A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тим в українському законодавстві відсутні положення, які б широко тлумачили принципи обробки персональних даних, оскільки імплементуючи міжнародні норми в Закон України «Про захист персональних даних» законодавець використовував прагматичний підхід до написання тексту закону і поєднав принципи та підстави обробки персональних даних у статті 6 Закону. </w:t>
      </w:r>
    </w:p>
    <w:p w:rsidR="00000000" w:rsidDel="00000000" w:rsidP="00000000" w:rsidRDefault="00000000" w:rsidRPr="00000000" w14:paraId="000000B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змісту цих статей можна виділити наступні принципи:</w:t>
      </w:r>
    </w:p>
    <w:p w:rsidR="00000000" w:rsidDel="00000000" w:rsidP="00000000" w:rsidRDefault="00000000" w:rsidRPr="00000000" w14:paraId="000000B1">
      <w:pPr>
        <w:numPr>
          <w:ilvl w:val="0"/>
          <w:numId w:val="15"/>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законність;</w:t>
      </w:r>
    </w:p>
    <w:p w:rsidR="00000000" w:rsidDel="00000000" w:rsidP="00000000" w:rsidRDefault="00000000" w:rsidRPr="00000000" w14:paraId="000000B2">
      <w:pPr>
        <w:numPr>
          <w:ilvl w:val="0"/>
          <w:numId w:val="15"/>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конкретизація мети;</w:t>
      </w:r>
    </w:p>
    <w:p w:rsidR="00000000" w:rsidDel="00000000" w:rsidP="00000000" w:rsidRDefault="00000000" w:rsidRPr="00000000" w14:paraId="000000B3">
      <w:pPr>
        <w:numPr>
          <w:ilvl w:val="0"/>
          <w:numId w:val="15"/>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відкритість та прозорість;</w:t>
      </w:r>
    </w:p>
    <w:p w:rsidR="00000000" w:rsidDel="00000000" w:rsidP="00000000" w:rsidRDefault="00000000" w:rsidRPr="00000000" w14:paraId="000000B4">
      <w:pPr>
        <w:numPr>
          <w:ilvl w:val="0"/>
          <w:numId w:val="15"/>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даних.</w:t>
      </w:r>
    </w:p>
    <w:p w:rsidR="00000000" w:rsidDel="00000000" w:rsidP="00000000" w:rsidRDefault="00000000" w:rsidRPr="00000000" w14:paraId="000000B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українського законодавства статтею 5 Регламенту [15] чітко передбачені принципи, які регулюють обробку персональних даних. До них належать: </w:t>
      </w:r>
    </w:p>
    <w:p w:rsidR="00000000" w:rsidDel="00000000" w:rsidP="00000000" w:rsidRDefault="00000000" w:rsidRPr="00000000" w14:paraId="000000B6">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законність, чесність та прозорість;</w:t>
      </w:r>
    </w:p>
    <w:p w:rsidR="00000000" w:rsidDel="00000000" w:rsidP="00000000" w:rsidRDefault="00000000" w:rsidRPr="00000000" w14:paraId="000000B7">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цілі;</w:t>
      </w:r>
    </w:p>
    <w:p w:rsidR="00000000" w:rsidDel="00000000" w:rsidP="00000000" w:rsidRDefault="00000000" w:rsidRPr="00000000" w14:paraId="000000B8">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мінімізацію даних;</w:t>
      </w:r>
    </w:p>
    <w:p w:rsidR="00000000" w:rsidDel="00000000" w:rsidP="00000000" w:rsidRDefault="00000000" w:rsidRPr="00000000" w14:paraId="000000B9">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даних;</w:t>
      </w:r>
    </w:p>
    <w:p w:rsidR="00000000" w:rsidDel="00000000" w:rsidP="00000000" w:rsidRDefault="00000000" w:rsidRPr="00000000" w14:paraId="000000BA">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зберігання;</w:t>
      </w:r>
    </w:p>
    <w:p w:rsidR="00000000" w:rsidDel="00000000" w:rsidP="00000000" w:rsidRDefault="00000000" w:rsidRPr="00000000" w14:paraId="000000BB">
      <w:pPr>
        <w:numPr>
          <w:ilvl w:val="0"/>
          <w:numId w:val="3"/>
        </w:numPr>
        <w:spacing w:line="360" w:lineRule="auto"/>
        <w:ind w:left="1133" w:right="7"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цілісність та конфіденційність.</w:t>
      </w:r>
    </w:p>
    <w:p w:rsidR="00000000" w:rsidDel="00000000" w:rsidP="00000000" w:rsidRDefault="00000000" w:rsidRPr="00000000" w14:paraId="000000B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права ЄС обмеження щодо цих принципів обробки дозволяються тільки в тій мірі, в якій вони відповідають правам та обов’язкам, передбаченим статтями 12–20, вони також повинні поважати суть основоположних прав та свобод. Будь-які винятки і обмеження щодо цих ключових принципів мають бути передбачені на рівні ЄС або національному рівні; бути визначені законом, переслідувати легітимну мету і бути необхідними та пропорційними в демократичному суспільстві [15]. Всі три умови мають бути дотримані. </w:t>
      </w:r>
    </w:p>
    <w:p w:rsidR="00000000" w:rsidDel="00000000" w:rsidP="00000000" w:rsidRDefault="00000000" w:rsidRPr="00000000" w14:paraId="000000BD">
      <w:pPr>
        <w:spacing w:line="360" w:lineRule="auto"/>
        <w:ind w:right="7"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Законність.</w:t>
      </w:r>
    </w:p>
    <w:p w:rsidR="00000000" w:rsidDel="00000000" w:rsidP="00000000" w:rsidRDefault="00000000" w:rsidRPr="00000000" w14:paraId="000000B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Законом України «обробка персональних даних має здійснюватися для конкретних і законних цілей, визначених за згодою суб’єкта персональних даних, або у випадках, передбачених законами України, у порядку, встановленому законодавством» [12]. </w:t>
      </w:r>
    </w:p>
    <w:p w:rsidR="00000000" w:rsidDel="00000000" w:rsidP="00000000" w:rsidRDefault="00000000" w:rsidRPr="00000000" w14:paraId="000000B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Найширше тлумачення цього принципу було передбачено в статті 7 Директиви 95/46/ЄС. Так, «персональні дані можуть оброблятися тільки за умови, що: суб'єкт даних недвозначно дав свою згоду; чи обробка необхідна для виконання контракту, стороною якого є суб'єкт даних, чи для вживання заходів на прохання суб'єкта даних до підписання контракту; чи обробка необхідна для дотримання правового зобов'язання, яким зв'язаний контролер; чи обробка необхідна для захисту життєво важливих інтересів суб'єкта даних; чи обробка необхідна для виконання завдання, здійснюваного в суспільних інтересах, чи при виконанні офіційних повноважень, якими наділений контролер або третя сторона, якій надаються дані; чи обробка необхідна в цілях законних інтересів, переслідуваних контролером чи третьою стороною або сторонами, для яких надаються дані, крім випадків, коли над такими інтересами переважають інтереси основних прав і свобод суб'єкта даних, що вимагають захисту згідно з пунктом 1 статті 1» [10].</w:t>
      </w:r>
    </w:p>
    <w:p w:rsidR="00000000" w:rsidDel="00000000" w:rsidP="00000000" w:rsidRDefault="00000000" w:rsidRPr="00000000" w14:paraId="000000C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принципом законності передбачено, що обробка персональних даних може відбуватися як за згодою відповідної особи, так і без її згоди, але виключно на підставі закону, яким визначається необхідність такої обробки.</w:t>
      </w:r>
    </w:p>
    <w:p w:rsidR="00000000" w:rsidDel="00000000" w:rsidP="00000000" w:rsidRDefault="00000000" w:rsidRPr="00000000" w14:paraId="000000C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одного боку, наявність можливості обробки персональних даних без згоди особи фактично може стати обмеженням прав людини, оскільки матиме місце втручанням у її права. Однак оскільки таке втручання допускається виключно на підставі закону, тоді таке обмеження можна вважати правомірним і таким, що не порушує прав людини.</w:t>
      </w:r>
    </w:p>
    <w:p w:rsidR="00000000" w:rsidDel="00000000" w:rsidP="00000000" w:rsidRDefault="00000000" w:rsidRPr="00000000" w14:paraId="000000C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як базовий, Закон України містить тільки узагальнені положення, що не дає змоги здійснити належну деталізацію всіх випадків обробки персональних даних, як того вимагають європейські принципи. Тому вважаємо, що положення Закону України мають бути деталізовані в інших нормативно-правових актах, якими регламентується діяльність володільця персональних даних.</w:t>
      </w:r>
    </w:p>
    <w:p w:rsidR="00000000" w:rsidDel="00000000" w:rsidP="00000000" w:rsidRDefault="00000000" w:rsidRPr="00000000" w14:paraId="000000C3">
      <w:pPr>
        <w:spacing w:line="360" w:lineRule="auto"/>
        <w:ind w:right="7"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Конкретизація мети.</w:t>
      </w:r>
    </w:p>
    <w:p w:rsidR="00000000" w:rsidDel="00000000" w:rsidP="00000000" w:rsidRDefault="00000000" w:rsidRPr="00000000" w14:paraId="000000C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Законом України «мета обробки має бути сформульована в законах, інших нормативно-правових актах, положеннях, установчих чи інших документах, які регулюють діяльність володільця персональних даних, та відповідати законодавству про захист персональних даних» [12].</w:t>
      </w:r>
    </w:p>
    <w:p w:rsidR="00000000" w:rsidDel="00000000" w:rsidP="00000000" w:rsidRDefault="00000000" w:rsidRPr="00000000" w14:paraId="000000C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має бути законною та чітко визначеною до початку збору даних. Зокрема, мета має надавати суб’єкту персональних даних уявлення про очікуваний результат, та обмеження можливостей щодо обробки персональних даних.</w:t>
      </w:r>
    </w:p>
    <w:p w:rsidR="00000000" w:rsidDel="00000000" w:rsidP="00000000" w:rsidRDefault="00000000" w:rsidRPr="00000000" w14:paraId="000000C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якщо мета обробки персональних даних буде змінена на таку, «що несумісна з попередньою, для подальшої обробки даних володілець персональних даних повинен отримати згоду суб’єкта персональних даних на обробку його даних відповідно до зміненої мети, якщо інше не передбачено законом» [12]. Окремо слід зазначити, що у випадку передачі персональних даних третій особі, якщо цього не було заздалегідь передбачено самим суб’єктом персональних даних або закон, така передача буде вважатися новою метою обробки даних. І для подальшого використання персональних даних з новою метою, що не узгоджується з початковою, також необхідні додаткові правові підстави. Як виняток, за умови належного захисту даних, з цього правила можна розглядати подальшу обробку персональних даних у наукових, історичних або статистичних цілях, оскільки до них не застосовуються визначені законодавством вимоги до обробки персональних даних.</w:t>
      </w:r>
    </w:p>
    <w:p w:rsidR="00000000" w:rsidDel="00000000" w:rsidP="00000000" w:rsidRDefault="00000000" w:rsidRPr="00000000" w14:paraId="000000C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також розуміти, що сама обробка не може бути метою, тому виводити мету через необхідність ведення реєстру або збір інформації, оскільки обробка персональних даних може були виключно засобом досягнення мети.</w:t>
      </w:r>
    </w:p>
    <w:p w:rsidR="00000000" w:rsidDel="00000000" w:rsidP="00000000" w:rsidRDefault="00000000" w:rsidRPr="00000000" w14:paraId="000000C8">
      <w:pPr>
        <w:spacing w:line="360" w:lineRule="auto"/>
        <w:ind w:right="7"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Відкритість та прозорість.</w:t>
      </w:r>
    </w:p>
    <w:p w:rsidR="00000000" w:rsidDel="00000000" w:rsidP="00000000" w:rsidRDefault="00000000" w:rsidRPr="00000000" w14:paraId="000000C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принцип передбачає, що особа має право знати ким і з як обробляються її персональні дані.</w:t>
      </w:r>
    </w:p>
    <w:p w:rsidR="00000000" w:rsidDel="00000000" w:rsidP="00000000" w:rsidRDefault="00000000" w:rsidRPr="00000000" w14:paraId="000000C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українське законодавство визначає, що «обробка персональних даних здійснюється відкрито і прозоро із застосуванням засобів та у спосіб, що відповідають визначеним цілям такої обробки» [12]. Тобто, від суб’єкта персональних даних не можу бути приховано обробку, крім того, якщо інше не передбачено законом, суб’єкти мають право на доступ до своїх даних, де б вони не оброблювалися. Як приклад, винятком із цього правила буде здійснення негласних слідчих (розшукових) дій під час яких суб’єкту невідомо про обробку (збір) його персональних даних.</w:t>
      </w:r>
    </w:p>
    <w:p w:rsidR="00000000" w:rsidDel="00000000" w:rsidP="00000000" w:rsidRDefault="00000000" w:rsidRPr="00000000" w14:paraId="000000C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забезпечення принципу прозорості володілець персональних даних повинен повідомити суб’єкта персональних даних про склад і зміст зібраних про нього персональних даних, мету збору персональних даних та інформацію про третіх осіб, яким передаються його персональні дані. Наприклад, під час реєстрації онлайн-сервіси повідомляють нового користувача про подальшу обробку його персональних даних, найчастіше таке повідомлення подається адміністраторами онлайн-сервісів у формі «політики конфіденційності».</w:t>
      </w:r>
    </w:p>
    <w:p w:rsidR="00000000" w:rsidDel="00000000" w:rsidP="00000000" w:rsidRDefault="00000000" w:rsidRPr="00000000" w14:paraId="000000C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належне інформування про обробку персональних є однією з фундаментальних гарантій законності обробки персональних даних, оскільки забезпечує право особи контролювати використання конфіденційної інформації про своє приватне життя.</w:t>
      </w:r>
    </w:p>
    <w:p w:rsidR="00000000" w:rsidDel="00000000" w:rsidP="00000000" w:rsidRDefault="00000000" w:rsidRPr="00000000" w14:paraId="000000CD">
      <w:pPr>
        <w:spacing w:line="360" w:lineRule="auto"/>
        <w:ind w:right="7"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Якість даних.</w:t>
      </w:r>
    </w:p>
    <w:p w:rsidR="00000000" w:rsidDel="00000000" w:rsidP="00000000" w:rsidRDefault="00000000" w:rsidRPr="00000000" w14:paraId="000000C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здійснення всіх операцій з обробки персональних даних володілець інформації зобов’язаний впевнитися, що персональні дані не суперечать переліку обов’язкових умов. Зокрема, Конвенцією про захист осіб у зв’язку з автоматизованою обробкою персональних даних визначено, що «Персональні дані, що піддаються автоматизованій обробці, повинні:</w:t>
      </w:r>
    </w:p>
    <w:p w:rsidR="00000000" w:rsidDel="00000000" w:rsidP="00000000" w:rsidRDefault="00000000" w:rsidRPr="00000000" w14:paraId="000000C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отримуватися та оброблятися сумлінно та законно;</w:t>
      </w:r>
    </w:p>
    <w:p w:rsidR="00000000" w:rsidDel="00000000" w:rsidP="00000000" w:rsidRDefault="00000000" w:rsidRPr="00000000" w14:paraId="000000D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зберігатися для визначених і законних цілей та не використовуватися в спосіб, не сумісний із цими цілями;</w:t>
      </w:r>
    </w:p>
    <w:p w:rsidR="00000000" w:rsidDel="00000000" w:rsidP="00000000" w:rsidRDefault="00000000" w:rsidRPr="00000000" w14:paraId="000000D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бути адекватними, відповідними та ненадмірними стосовно цілей, для яких вони зберігаються;</w:t>
      </w:r>
    </w:p>
    <w:p w:rsidR="00000000" w:rsidDel="00000000" w:rsidP="00000000" w:rsidRDefault="00000000" w:rsidRPr="00000000" w14:paraId="000000D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бути точними та в разі необхідності оновлюватися;</w:t>
      </w:r>
    </w:p>
    <w:p w:rsidR="00000000" w:rsidDel="00000000" w:rsidP="00000000" w:rsidRDefault="00000000" w:rsidRPr="00000000" w14:paraId="000000D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зберігатись у формі, яка дозволяє ідентифікацію суб'єктів даних не довше, ніж це необхідно для мети, для якої такі дані зберігаються» [16].</w:t>
      </w:r>
    </w:p>
    <w:p w:rsidR="00000000" w:rsidDel="00000000" w:rsidP="00000000" w:rsidRDefault="00000000" w:rsidRPr="00000000" w14:paraId="000000D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якісних характеристики даних, які оброблятимуться з метою виконання повноважень державного органу, повинно бути передбачено в нормативно-правовому акті, який регулює діяльність та порядок такої обробки державним органом. Крім того в цьому випадку оброблятися повинні лише ті персональні дані, які необхідні для належного виконання цих повноважень. </w:t>
      </w:r>
    </w:p>
    <w:p w:rsidR="00000000" w:rsidDel="00000000" w:rsidP="00000000" w:rsidRDefault="00000000" w:rsidRPr="00000000" w14:paraId="000000D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вимог статті 6 Закону України «Про захист персональних даних» можна виділити наступні вимоги до якості даних:</w:t>
      </w:r>
    </w:p>
    <w:p w:rsidR="00000000" w:rsidDel="00000000" w:rsidP="00000000" w:rsidRDefault="00000000" w:rsidRPr="00000000" w14:paraId="000000D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відповідність даних меті обробки. Зокрема, «склад та зміст персональних даних мають бути відповідними, адекватними та ненадмірними стосовно визначеної мети їх обробки» [12]. З огляду на зазначене, володілець може обробляти тільки ті дані, без обробки яких неможливо досягти визначеної мети, в іншому випадку, обробка всіх інших персональних даних буде незаконною;</w:t>
      </w:r>
    </w:p>
    <w:p w:rsidR="00000000" w:rsidDel="00000000" w:rsidP="00000000" w:rsidRDefault="00000000" w:rsidRPr="00000000" w14:paraId="000000D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точність, достовірність та вчасне оновлення даних. «Персональні дані мають бути точними, достовірними та оновлюватися в міру потреби, визначеної метою їх обробки. Первинними джерелами відомостей про фізичну особу є: видані на її ім’я документи; підписані нею документи; відомості, які особа надає про себе» [12]. Тобто, для забезпечення точності та актуальності даних, володілець персональних даних має їх перевіряти. Та у випадку виявлення невідповідностей, такі відомості мають бути невідкладно видалені, змінені або знищені у спосіб, що виключає подальшу можливість поновлення таких даних;</w:t>
      </w:r>
    </w:p>
    <w:p w:rsidR="00000000" w:rsidDel="00000000" w:rsidP="00000000" w:rsidRDefault="00000000" w:rsidRPr="00000000" w14:paraId="000000D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обмеження періоду зберігання персональних даних. «Персональні дані обробляються у формі, що допускає ідентифікацію фізичної особи, якої вони стосуються, не довше, ніж це необхідно для законних цілей, у яких вони збиралися або надалі оброблялися» [12]. Цей принцип фактично встановлює спеціальні гарантії для суб’єктів персональних даних та передбачає необхідність видалення даних, як тільки у них зникне потреба або буде досягнуто мету, заради якої вони збиралися. Однак, вимога щодо обмеження періоду зберігання персональних даних стосується виключно обробки даних у формі, що дозволяє ідентифікацію особи. З огляду не це, подальше зберігання даних можливе за умови їх знеособлення;</w:t>
      </w:r>
    </w:p>
    <w:p w:rsidR="00000000" w:rsidDel="00000000" w:rsidP="00000000" w:rsidRDefault="00000000" w:rsidRPr="00000000" w14:paraId="000000D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захищеність даних. Тобто, обробка персональних даних має відбуватися у такий спосіб, щоб сторонні особи не мали до неї доступу незалежно залежно від способу їх зберігання. Для цього володілець персональних даних зобов’язаний заздалегідь належним чином забезпечити захищеність режиму обробки персональних даних.</w:t>
      </w:r>
    </w:p>
    <w:p w:rsidR="00000000" w:rsidDel="00000000" w:rsidP="00000000" w:rsidRDefault="00000000" w:rsidRPr="00000000" w14:paraId="000000D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вже згаданих принципів Регламентом [15] передбачено додаткові принципи, зокрема: об’єктивності інформації, обмеження розкриття персональних даних, цільової визначеності, інформаційної безпеки, мінімальності та участі суб’єкта персональних даних у здійсненні контролю.</w:t>
      </w:r>
    </w:p>
    <w:p w:rsidR="00000000" w:rsidDel="00000000" w:rsidP="00000000" w:rsidRDefault="00000000" w:rsidRPr="00000000" w14:paraId="000000D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принципом об’єктивності інформації передбачається використання інформації без спотвореного відображення фактів та маніпулювання даними. Тобто розпорядник інформації має вживати заходів, аби виправляти, оновлювати чи видаляти неправильні чи неповні дані.</w:t>
      </w:r>
    </w:p>
    <w:p w:rsidR="00000000" w:rsidDel="00000000" w:rsidP="00000000" w:rsidRDefault="00000000" w:rsidRPr="00000000" w14:paraId="000000D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обмеження розкриття персональних даних передбачає, що дані збираються лише з явною, визначеною та законною метою.</w:t>
      </w:r>
    </w:p>
    <w:p w:rsidR="00000000" w:rsidDel="00000000" w:rsidP="00000000" w:rsidRDefault="00000000" w:rsidRPr="00000000" w14:paraId="000000D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цільової визначеності означає, що інформація, яка потребує збору має бути розкрита з метою досягнення конкретної цілі.</w:t>
      </w:r>
    </w:p>
    <w:p w:rsidR="00000000" w:rsidDel="00000000" w:rsidP="00000000" w:rsidRDefault="00000000" w:rsidRPr="00000000" w14:paraId="000000D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інформаційної безпеки базується на захисті інформації від втрати, пошкодження, спотворення, несанкціонованого копіювання та використання.</w:t>
      </w:r>
    </w:p>
    <w:p w:rsidR="00000000" w:rsidDel="00000000" w:rsidP="00000000" w:rsidRDefault="00000000" w:rsidRPr="00000000" w14:paraId="000000D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мінімальності передбачає те, що збиратися можуть тільки ті дані, які необхідні для досягнення певної мети. Наприклад, якщо продавець хоче зібрати клієнтів для своєї електронної розсилки, він має право запитати тільки інформацію, необхідну для розсилки своїх матеріалів. </w:t>
      </w:r>
    </w:p>
    <w:p w:rsidR="00000000" w:rsidDel="00000000" w:rsidP="00000000" w:rsidRDefault="00000000" w:rsidRPr="00000000" w14:paraId="000000E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принципом участі суб’єкта персональних даних у здійсненні контролю передбачається обов’язкова згода суб’єкта на розкриття своїх персональних даних.</w:t>
      </w:r>
    </w:p>
    <w:p w:rsidR="00000000" w:rsidDel="00000000" w:rsidP="00000000" w:rsidRDefault="00000000" w:rsidRPr="00000000" w14:paraId="000000E1">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spacing w:line="360" w:lineRule="auto"/>
        <w:ind w:firstLine="708"/>
        <w:jc w:val="both"/>
        <w:rPr>
          <w:rFonts w:ascii="Times New Roman" w:cs="Times New Roman" w:eastAsia="Times New Roman" w:hAnsi="Times New Roman"/>
          <w:b w:val="1"/>
          <w:sz w:val="28"/>
          <w:szCs w:val="28"/>
        </w:rPr>
      </w:pPr>
      <w:bookmarkStart w:colFirst="0" w:colLast="0" w:name="_heading=h.41mghml" w:id="14"/>
      <w:bookmarkEnd w:id="14"/>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0E3">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стрімкий розвиток інформаційних технологій визначення поняття персональних даних, його значення та способи захисту у контексті законодавчого врегулювання можуть стикатися із проблемами та викликами. Зокрема, деякі з них включають:</w:t>
      </w:r>
    </w:p>
    <w:p w:rsidR="00000000" w:rsidDel="00000000" w:rsidP="00000000" w:rsidRDefault="00000000" w:rsidRPr="00000000" w14:paraId="000000E5">
      <w:pPr>
        <w:numPr>
          <w:ilvl w:val="0"/>
          <w:numId w:val="16"/>
        </w:numPr>
        <w:spacing w:line="360" w:lineRule="auto"/>
        <w:ind w:left="720" w:right="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технологічний розвиток, який може викликати несумісність визначення персональних даних з новими формами інформації;</w:t>
      </w:r>
    </w:p>
    <w:p w:rsidR="00000000" w:rsidDel="00000000" w:rsidP="00000000" w:rsidRDefault="00000000" w:rsidRPr="00000000" w14:paraId="000000E6">
      <w:pPr>
        <w:numPr>
          <w:ilvl w:val="0"/>
          <w:numId w:val="16"/>
        </w:numPr>
        <w:spacing w:line="360" w:lineRule="auto"/>
        <w:ind w:left="720" w:right="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глобалізації, що призводить до розбіжностей в тлумаченні та інтерпретації визначення персональних даних в різних країнах;</w:t>
      </w:r>
    </w:p>
    <w:p w:rsidR="00000000" w:rsidDel="00000000" w:rsidP="00000000" w:rsidRDefault="00000000" w:rsidRPr="00000000" w14:paraId="000000E7">
      <w:pPr>
        <w:numPr>
          <w:ilvl w:val="0"/>
          <w:numId w:val="16"/>
        </w:numPr>
        <w:spacing w:line="360" w:lineRule="auto"/>
        <w:ind w:left="720" w:right="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обсягу особистої інформації, включаючи біометричні дані та інші види даних, неврегулювання яких призводить до обмеження права особи на захист;</w:t>
      </w:r>
    </w:p>
    <w:p w:rsidR="00000000" w:rsidDel="00000000" w:rsidP="00000000" w:rsidRDefault="00000000" w:rsidRPr="00000000" w14:paraId="000000E8">
      <w:pPr>
        <w:numPr>
          <w:ilvl w:val="0"/>
          <w:numId w:val="16"/>
        </w:numPr>
        <w:spacing w:line="360" w:lineRule="auto"/>
        <w:ind w:left="720" w:right="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розбіжності у визначенні національних законів та нормативно-правових актів.</w:t>
      </w:r>
    </w:p>
    <w:p w:rsidR="00000000" w:rsidDel="00000000" w:rsidP="00000000" w:rsidRDefault="00000000" w:rsidRPr="00000000" w14:paraId="000000E9">
      <w:pPr>
        <w:spacing w:line="360" w:lineRule="auto"/>
        <w:ind w:right="7" w:firstLine="566"/>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rtl w:val="0"/>
        </w:rPr>
        <w:t xml:space="preserve">З метою попередження та вирішення вже існуючих проблем пропонуємо переглянути та адаптувати чинне законодавство з урахуванням нових технологічних реалій. Особливої уваги законодавця потребує сфера штучного інтелекту, оскільки «одна з головних проблем полягає у зборі та зберіганні великої кількості персональних даних, які потім використовуються для навчання ШІ. Ці дані можуть включати особисту ідентифікаційну інформацію, медичні записи, фінансові дані, геолокаційні дані та іншу конфіденційну інформацію про користувачів. Недостатня захищеність цих даних може призвести до їх несанкціонованого доступу, втрати або використання в злочинних цілях» [20, с. 18].</w:t>
      </w:r>
      <w:r w:rsidDel="00000000" w:rsidR="00000000" w:rsidRPr="00000000">
        <w:rPr>
          <w:rtl w:val="0"/>
        </w:rPr>
      </w:r>
    </w:p>
    <w:p w:rsidR="00000000" w:rsidDel="00000000" w:rsidP="00000000" w:rsidRDefault="00000000" w:rsidRPr="00000000" w14:paraId="000000EA">
      <w:pPr>
        <w:spacing w:line="360" w:lineRule="auto"/>
        <w:ind w:right="7" w:firstLine="566"/>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highlight w:val="yellow"/>
          <w:rtl w:val="0"/>
        </w:rPr>
        <w:t xml:space="preserve">Штучний інтелект буває все більшого застосування в різних галузях, тому це збільшує обсяги обробки особистих даних і породжує нові ризики та виклики щодо приватності та захисту інформації.</w:t>
      </w:r>
    </w:p>
    <w:p w:rsidR="00000000" w:rsidDel="00000000" w:rsidP="00000000" w:rsidRDefault="00000000" w:rsidRPr="00000000" w14:paraId="000000EB">
      <w:pPr>
        <w:spacing w:line="360" w:lineRule="auto"/>
        <w:ind w:right="7"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штучний інтелект може бути використано для маніпулювання даними з метою шахрайства або дискримінації. В даному аспекті доцільним буде встановити нові правила для обробки персональних даних, зобов’язати володільцев інформації анонімізувати та шифрувати дані, прийняти типові політики безпеки для державних органів та осіб, які є володільцями великого обсягу персональних даних, наприклад, мобільних операторів.</w:t>
      </w:r>
    </w:p>
    <w:p w:rsidR="00000000" w:rsidDel="00000000" w:rsidP="00000000" w:rsidRDefault="00000000" w:rsidRPr="00000000" w14:paraId="000000EC">
      <w:pPr>
        <w:spacing w:line="360" w:lineRule="auto"/>
        <w:ind w:right="7"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оновити законодавство та запровадити нове регулярне визначення, яке б врахувало нові категорії даних. «Адаптація законодавства до швидко змінюваних технологій та нових видів інформації має відбуватись на постійній основі кожен рік та за нагальної потреби. Та обов’язковою умовою має бути залучення громадськості в процес формування та визначення оновлення персональних даних для врахування різноманітних поглядів через проведення опитувань, консультацій з громадськістю та громадських слухань відповідно до Порядку проведення консультацій з громадськістю з питань формування та реалізації державної політики» [21].</w:t>
      </w:r>
    </w:p>
    <w:p w:rsidR="00000000" w:rsidDel="00000000" w:rsidP="00000000" w:rsidRDefault="00000000" w:rsidRPr="00000000" w14:paraId="000000ED">
      <w:pPr>
        <w:spacing w:line="360" w:lineRule="auto"/>
        <w:ind w:right="7" w:firstLine="566"/>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Зазначені процеси мають проходити у співпраці із організаціями та іншими країнами на міжнародному рівні з метою розробки єдиної міжнародної бази визначень у сфері персональних даних для уникнення непорозумінь. </w:t>
      </w:r>
    </w:p>
    <w:p w:rsidR="00000000" w:rsidDel="00000000" w:rsidP="00000000" w:rsidRDefault="00000000" w:rsidRPr="00000000" w14:paraId="000000EE">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b w:val="1"/>
          <w:sz w:val="28"/>
          <w:szCs w:val="28"/>
        </w:rPr>
      </w:pPr>
      <w:bookmarkStart w:colFirst="0" w:colLast="0" w:name="_heading=h.2grqrue" w:id="15"/>
      <w:bookmarkEnd w:id="15"/>
      <w:r w:rsidDel="00000000" w:rsidR="00000000" w:rsidRPr="00000000">
        <w:br w:type="page"/>
      </w:r>
      <w:r w:rsidDel="00000000" w:rsidR="00000000" w:rsidRPr="00000000">
        <w:rPr>
          <w:rtl w:val="0"/>
        </w:rPr>
      </w:r>
    </w:p>
    <w:p w:rsidR="00000000" w:rsidDel="00000000" w:rsidP="00000000" w:rsidRDefault="00000000" w:rsidRPr="00000000" w14:paraId="000000F0">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w:t>
      </w:r>
    </w:p>
    <w:p w:rsidR="00000000" w:rsidDel="00000000" w:rsidP="00000000" w:rsidRDefault="00000000" w:rsidRPr="00000000" w14:paraId="000000F1">
      <w:pPr>
        <w:spacing w:line="360" w:lineRule="auto"/>
        <w:ind w:firstLine="708"/>
        <w:jc w:val="center"/>
        <w:rPr>
          <w:rFonts w:ascii="Times New Roman" w:cs="Times New Roman" w:eastAsia="Times New Roman" w:hAnsi="Times New Roman"/>
          <w:b w:val="1"/>
          <w:sz w:val="28"/>
          <w:szCs w:val="28"/>
        </w:rPr>
      </w:pPr>
      <w:bookmarkStart w:colFirst="0" w:colLast="0" w:name="_heading=h.vx1227" w:id="16"/>
      <w:bookmarkEnd w:id="16"/>
      <w:r w:rsidDel="00000000" w:rsidR="00000000" w:rsidRPr="00000000">
        <w:rPr>
          <w:rFonts w:ascii="Times New Roman" w:cs="Times New Roman" w:eastAsia="Times New Roman" w:hAnsi="Times New Roman"/>
          <w:b w:val="1"/>
          <w:sz w:val="28"/>
          <w:szCs w:val="28"/>
          <w:rtl w:val="0"/>
        </w:rPr>
        <w:t xml:space="preserve">ПРОБЛЕМИ ПРАВОВОГО РЕГУЛЮВАННЯ ЗАХИСТУ ПЕРСОНАЛЬНИХ ДАНИХ ПРИ ЗДІЙСНЕННІ ПРАВОСУДДЯ</w:t>
      </w:r>
    </w:p>
    <w:p w:rsidR="00000000" w:rsidDel="00000000" w:rsidP="00000000" w:rsidRDefault="00000000" w:rsidRPr="00000000" w14:paraId="000000F2">
      <w:pPr>
        <w:spacing w:line="360" w:lineRule="auto"/>
        <w:ind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3">
      <w:pPr>
        <w:spacing w:line="360" w:lineRule="auto"/>
        <w:ind w:firstLine="708"/>
        <w:jc w:val="both"/>
        <w:rPr>
          <w:rFonts w:ascii="Times New Roman" w:cs="Times New Roman" w:eastAsia="Times New Roman" w:hAnsi="Times New Roman"/>
          <w:b w:val="1"/>
          <w:sz w:val="28"/>
          <w:szCs w:val="28"/>
        </w:rPr>
      </w:pPr>
      <w:bookmarkStart w:colFirst="0" w:colLast="0" w:name="_heading=h.3fwokq0" w:id="17"/>
      <w:bookmarkEnd w:id="17"/>
      <w:r w:rsidDel="00000000" w:rsidR="00000000" w:rsidRPr="00000000">
        <w:rPr>
          <w:rFonts w:ascii="Times New Roman" w:cs="Times New Roman" w:eastAsia="Times New Roman" w:hAnsi="Times New Roman"/>
          <w:b w:val="1"/>
          <w:sz w:val="28"/>
          <w:szCs w:val="28"/>
          <w:rtl w:val="0"/>
        </w:rPr>
        <w:t xml:space="preserve">2.1. Недоліки та прогалини у судовій практиці: конфлікт між правом на інформацію та правом на приватність.</w:t>
      </w:r>
    </w:p>
    <w:p w:rsidR="00000000" w:rsidDel="00000000" w:rsidP="00000000" w:rsidRDefault="00000000" w:rsidRPr="00000000" w14:paraId="000000F4">
      <w:pPr>
        <w:spacing w:line="360" w:lineRule="auto"/>
        <w:ind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світлі стрімкого розвитку інформаційних технологій та широкого доступу до інформації, судова практика стикається зі складним завданням забезпечення балансу між двома важливими принципами – правом на інформацію та правом на приватність. У практиці, невдоволення сторін чи громадськості може виникнути через недоліки та прогалини в регулюванні цього конфлікту.</w:t>
      </w:r>
    </w:p>
    <w:p w:rsidR="00000000" w:rsidDel="00000000" w:rsidP="00000000" w:rsidRDefault="00000000" w:rsidRPr="00000000" w14:paraId="000000F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інформацію є одним із основоположних принципів демократії та вільного суспільства. Громадяни мають право на доступ до інформації, яка стосується громадських питань, роботи державних органів та інших аспектів суспільного життя.</w:t>
      </w:r>
    </w:p>
    <w:p w:rsidR="00000000" w:rsidDel="00000000" w:rsidP="00000000" w:rsidRDefault="00000000" w:rsidRPr="00000000" w14:paraId="000000F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приватність передбачає невторгнення в особисте життя та захист особистих даних від неправомірного використання. Це право є гарантією збереження в таємниці приватного життя особи в сучасному цифровому світі.</w:t>
      </w:r>
    </w:p>
    <w:p w:rsidR="00000000" w:rsidDel="00000000" w:rsidP="00000000" w:rsidRDefault="00000000" w:rsidRPr="00000000" w14:paraId="000000F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одного боку, право на інформацію є однією з основних складових демократичного суспільства, дозволяючи громадянам отримувати доступ до публічної інформації та забезпечуючи прозорість влади. З іншого боку, право на приватність є фундаментальним принципом, який захищає особисті дані та інтимність громадян.</w:t>
      </w:r>
    </w:p>
    <w:p w:rsidR="00000000" w:rsidDel="00000000" w:rsidP="00000000" w:rsidRDefault="00000000" w:rsidRPr="00000000" w14:paraId="000000F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існують недоліки у судовій практиці, які можуть породжувати конфлікт між цими правами. Неоднозначність у визначенні обсягу публікації судових рішень, амбівалентність критеріїв конфіденційності та недостатній захист персональних даних можуть призвести до ситуацій, де прагнення до прозорості суперечить праву особи на збереження своєї приватності.</w:t>
      </w:r>
    </w:p>
    <w:p w:rsidR="00000000" w:rsidDel="00000000" w:rsidP="00000000" w:rsidRDefault="00000000" w:rsidRPr="00000000" w14:paraId="000000FA">
      <w:pPr>
        <w:spacing w:line="360" w:lineRule="auto"/>
        <w:ind w:right="7"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У цьому контексті виникає необхідність детального вивчення та вдосконалення правового регулювання, яке б враховувало сучасні реалії та динаміку суспільства. </w:t>
      </w:r>
      <w:r w:rsidDel="00000000" w:rsidR="00000000" w:rsidRPr="00000000">
        <w:rPr>
          <w:rtl w:val="0"/>
        </w:rPr>
      </w:r>
    </w:p>
    <w:p w:rsidR="00000000" w:rsidDel="00000000" w:rsidP="00000000" w:rsidRDefault="00000000" w:rsidRPr="00000000" w14:paraId="000000F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балансу між правом на свободу вираження поглядів і захистом права на приватне життя є досить неоднозначним, адже судам доводиться шукати його між конституційними гарантіями свободи вираження та приватними інтересами осіб» [22] «Суд при вирішенні питання стосовно конфлікту цих двох прав зазвичай обмежується аргументацією тієї чи іншої статті, аналізуючи певні випадки відповідно до статті 10 і з посиланням на частину 2 статті 10 з обґрунтуванням «захисту репутації або прав інших осіб» [23, с. 44].</w:t>
      </w:r>
    </w:p>
    <w:p w:rsidR="00000000" w:rsidDel="00000000" w:rsidP="00000000" w:rsidRDefault="00000000" w:rsidRPr="00000000" w14:paraId="000000F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питанню захисту персональної інформації приділено так багато уваги як національними, так і міжнародними інституціями» [22]. «Найчастіше конфлікт між цими правами виникає тоді, коли засоби масової інформації публікують статтю чи фотографії тієї чи іншої особи, при цьому стверджуючи, що особа, про яку опубліковано інформацію, втратила своє право на недоторканність приватного життя, оскільки стала публічною особою» [24].</w:t>
      </w:r>
    </w:p>
    <w:p w:rsidR="00000000" w:rsidDel="00000000" w:rsidP="00000000" w:rsidRDefault="00000000" w:rsidRPr="00000000" w14:paraId="000000F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доктрина права розрізняє два види обробки персональних даних: на підставі згоди особи або за законом. «Дане положення конкретизується статтею 11 Закону та статтею 7 Директиви та статтею 6 Регламенту. Так, стаття 11 Закону встановлює вичерпний перелік випадків та умов, за яких може здійснюватися обробка персональних даних суб’єкта. Ця стаття є першим «фільтром» на шляху до законної обробки» [26, с. 32]. </w:t>
      </w:r>
    </w:p>
    <w:p w:rsidR="00000000" w:rsidDel="00000000" w:rsidP="00000000" w:rsidRDefault="00000000" w:rsidRPr="00000000" w14:paraId="000000F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«Згода суб’єкта персональних даних – це добровільне волевиявлення фізичної особи (за умови її поінформованості) щодо надання дозволу на обробку її персональних даних відповідно до сформульованої мети їх обробки, висловлене у письмовій формі або у формі, що дає змогу зробити висновок про надання згоди» [15]. «А відтак кожен, хто реєструвався у соціальних мережах, відповідав “так” на твердження “Надаю згоду на обробку персональних даних” для того аби завершити реєстрацію та підтверджував факт ознайомлення з “політикою конфіденційності”. Тому вся інформація, яка поширена особою в цій соціальній мережі на законних підставах, обробляється та використовується адміністратором соціальної мережі. Однак судова практика неоднозначно відповідає на питання: “чи можуть таку інформацію використовувати та поширювати інші особи» [22].</w:t>
      </w:r>
    </w:p>
    <w:p w:rsidR="00000000" w:rsidDel="00000000" w:rsidP="00000000" w:rsidRDefault="00000000" w:rsidRPr="00000000" w14:paraId="000000F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«Фон Ганновер проти Німеччини» заявник, старша донька принца Реньє III Монако, подала скаргу до Європейського суду на рішення національних судів про відмову в забороні публікації фотографій її приватного життя в пресі [26].</w:t>
      </w:r>
    </w:p>
    <w:p w:rsidR="00000000" w:rsidDel="00000000" w:rsidP="00000000" w:rsidRDefault="00000000" w:rsidRPr="00000000" w14:paraId="0000010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«ЄСПЛ зазначив, що при вирішенні цієї справи необхідно відзначити, що заявник як представник правлячої династії представляє її на певних культурних та благодійних заходах, однак не виконує жодних функцій в інтересах чи від імені держави Монако або її інституцій.</w:t>
      </w:r>
    </w:p>
    <w:p w:rsidR="00000000" w:rsidDel="00000000" w:rsidP="00000000" w:rsidRDefault="00000000" w:rsidRPr="00000000" w14:paraId="0000010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Національними судами було визначено статус заявника як «фігура сучасного суспільства», якій надано дуже обмежений захист на приватне життя. Однак ЄСПЛ із вказаним не погодився, вважаючи, що потрібно розрізняти «фігур сучасного суспільства», таких як політики, та «відносних публічних осіб» [22].</w:t>
      </w:r>
    </w:p>
    <w:p w:rsidR="00000000" w:rsidDel="00000000" w:rsidP="00000000" w:rsidRDefault="00000000" w:rsidRPr="00000000" w14:paraId="0000010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Адже «кожна особа, навіть публічна, повинна знати, де пролягає межа між її приватним життям та тим, де можливе втручання з боку інших. Крім того існує фундаментальна різниця між публічним висвітленням інформації, яка сприяє виконанню політичних функцій особи та висвітленням приватного, особлико коли така людина не виконує жодних офіційних функцій. Якщо в першому випадку медіа виконує роль «запобіжнка», сприяючи поширенню інформації що належить до суспільного інтересу, то в другому це не має місця. </w:t>
      </w:r>
    </w:p>
    <w:p w:rsidR="00000000" w:rsidDel="00000000" w:rsidP="00000000" w:rsidRDefault="00000000" w:rsidRPr="00000000" w14:paraId="0000010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Публікація фотографій у справі Фон Ганновер була заради привернення уваги аудиторії, так як у цій справі інформація не була предметом суспільного інтересу. Тому Суд дійшов висновку, що право на приватність публічної особи в цьому випадку було порушено» [22].</w:t>
      </w:r>
    </w:p>
    <w:p w:rsidR="00000000" w:rsidDel="00000000" w:rsidP="00000000" w:rsidRDefault="00000000" w:rsidRPr="00000000" w14:paraId="0000010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Кардинально протилежний випадок був у справі «Кроне Ферлаг ГмбХ і Ко КГ» проти Австрії» [27]. «Позивачем був член парламенту, який оскаржував публікацію своєї фотографії поруч зі статтею, в якій він був звинувачений у незаконному отриманні заробітної плати. Національні суди задовольнили вимоги позивача, вказуючи, що фотографія не мала значення для питання, порушеного в статті, позивач не був відомою особою, а у зв’язку з опублікуванням фотографії його стало можливо ідентифікувати. Але ЄСПЛ дійшов іншого висновку: він вказав, що не має значення, чи є особа відомою суспільству, треба встановити, чи вийшла вона на публічну арену. Позивач як політик, безумовно, вважається такою особою. Крім того фотографія не розкриває жодних подробиць його приватного життя, тому засудження заявників не відповідало ст. 10 Конвенції» [27].</w:t>
      </w:r>
    </w:p>
    <w:p w:rsidR="00000000" w:rsidDel="00000000" w:rsidP="00000000" w:rsidRDefault="00000000" w:rsidRPr="00000000" w14:paraId="0000010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одне цікаве рішення було по справі справі «Асоціація візуальних художників проти Австрії» [28]. «Предметом розгляду була заборона національними судами показу картини, на якій були зображені публічні особи голими в різних позах сексуального характеру. Позивачем у справі був член парламенту. У своєму рішенні ЄСПЛ зазначив, що картина являла собою не реалістичне зображення публічних осіб, а радше їх карикатуру з використанням сатиричних елементів. Сатира є формою мистецького вираження і соціального коментування, їй притаманне перебільшення, природно вона спрямована на провокацію й агітацію. У цій справі карикатура стосується не приватного життя позивача, а його політичної діяльності. Крім того слід зважати на те, що межі критики щодо політика є ширшими, ніж стосовно звичайного громадянина. Позивач був зображений в оточенні осіб, які були набагато більш відомими, ніж він, тому важко запам’ятовувався публіці.</w:t>
      </w:r>
    </w:p>
    <w:p w:rsidR="00000000" w:rsidDel="00000000" w:rsidP="00000000" w:rsidRDefault="00000000" w:rsidRPr="00000000" w14:paraId="0000010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на думку ЄСПЛ, спірна картина могла розглядатися як свого роду контратака проти Австрійської партії свободи, члени якої різко критикували роботу художника» [22].</w:t>
      </w:r>
    </w:p>
    <w:p w:rsidR="00000000" w:rsidDel="00000000" w:rsidP="00000000" w:rsidRDefault="00000000" w:rsidRPr="00000000" w14:paraId="0000010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ж, Суд наголосив, що, крім пана Мейшбергера, на картині зображено серію з тридцяти трьох осіб. Пан Мейшбергер, який на час подій був звичайним членом парламенту, безумовно, був одним із найменш 30 відомих серед усіх людей, що з'явились на картині, а на час розгляду справи, пішовши із політики, взагалі тим, кого громадськість навряд чи пам'ятає.</w:t>
      </w:r>
    </w:p>
    <w:p w:rsidR="00000000" w:rsidDel="00000000" w:rsidP="00000000" w:rsidRDefault="00000000" w:rsidRPr="00000000" w14:paraId="0000010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 також зауважив, що ще до того, як пан Мейшбергер порушив провадження, частина картини, на якій він був намальований, була пошкоджена, зокрема, образливе зображення його тіла було повністю покрито червоною фарбою» [29, с. 29-30].</w:t>
      </w:r>
    </w:p>
    <w:p w:rsidR="00000000" w:rsidDel="00000000" w:rsidP="00000000" w:rsidRDefault="00000000" w:rsidRPr="00000000" w14:paraId="0000010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 викладеного можна зробити висновок, що межа між публічним та приватним життям завжди дуже розмита та ключову роль відіграє те, наскільки суспільний інтерес переважає над особистими правами людини.</w:t>
      </w:r>
    </w:p>
    <w:p w:rsidR="00000000" w:rsidDel="00000000" w:rsidP="00000000" w:rsidRDefault="00000000" w:rsidRPr="00000000" w14:paraId="0000010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зважаючи на практику Європейського суду з прав людини можна дійти наступних висновків:</w:t>
      </w:r>
    </w:p>
    <w:p w:rsidR="00000000" w:rsidDel="00000000" w:rsidP="00000000" w:rsidRDefault="00000000" w:rsidRPr="00000000" w14:paraId="0000010B">
      <w:pPr>
        <w:numPr>
          <w:ilvl w:val="0"/>
          <w:numId w:val="17"/>
        </w:numPr>
        <w:spacing w:line="360" w:lineRule="auto"/>
        <w:ind w:left="720"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особа має право на захист від поширення недостовірної інформації про неї.</w:t>
      </w:r>
    </w:p>
    <w:p w:rsidR="00000000" w:rsidDel="00000000" w:rsidP="00000000" w:rsidRDefault="00000000" w:rsidRPr="00000000" w14:paraId="0000010C">
      <w:pPr>
        <w:numPr>
          <w:ilvl w:val="0"/>
          <w:numId w:val="17"/>
        </w:numPr>
        <w:spacing w:line="360" w:lineRule="auto"/>
        <w:ind w:left="720"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Інформація, пов'язана з діяльністю публічної особи, яка має політичний вплив, не може вважатися конфіденційною.</w:t>
      </w:r>
    </w:p>
    <w:p w:rsidR="00000000" w:rsidDel="00000000" w:rsidP="00000000" w:rsidRDefault="00000000" w:rsidRPr="00000000" w14:paraId="0000010D">
      <w:pPr>
        <w:numPr>
          <w:ilvl w:val="0"/>
          <w:numId w:val="17"/>
        </w:numPr>
        <w:spacing w:line="360" w:lineRule="auto"/>
        <w:ind w:left="720"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Жоден суспільний інтерес не може слугувати підставою для розголошення приватного життя особи.</w:t>
      </w:r>
    </w:p>
    <w:p w:rsidR="00000000" w:rsidDel="00000000" w:rsidP="00000000" w:rsidRDefault="00000000" w:rsidRPr="00000000" w14:paraId="0000010E">
      <w:pPr>
        <w:numPr>
          <w:ilvl w:val="0"/>
          <w:numId w:val="17"/>
        </w:numPr>
        <w:spacing w:line="360" w:lineRule="auto"/>
        <w:ind w:left="720"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Оприлюднення інформації, в якій відсутні відомості про приватне життя публічної особи, яка має суспільний вплив, законне. </w:t>
      </w:r>
    </w:p>
    <w:p w:rsidR="00000000" w:rsidDel="00000000" w:rsidP="00000000" w:rsidRDefault="00000000" w:rsidRPr="00000000" w14:paraId="0000010F">
      <w:pPr>
        <w:numPr>
          <w:ilvl w:val="0"/>
          <w:numId w:val="17"/>
        </w:numPr>
        <w:spacing w:line="360" w:lineRule="auto"/>
        <w:ind w:left="720"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Втручання в приватне життя можливе у тих випадках, коли воно сприяє публічному інтересу з питань суспільної важливості. </w:t>
      </w:r>
    </w:p>
    <w:p w:rsidR="00000000" w:rsidDel="00000000" w:rsidP="00000000" w:rsidRDefault="00000000" w:rsidRPr="00000000" w14:paraId="0000011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Вважаємо, що сучасне суспільство стало свідком постійного конфлікту між правом на інформацію та правом на приватність, а забезпечення балансу між цими двома основними аспектами стало викликом для судової системи. </w:t>
      </w:r>
    </w:p>
    <w:p w:rsidR="00000000" w:rsidDel="00000000" w:rsidP="00000000" w:rsidRDefault="00000000" w:rsidRPr="00000000" w14:paraId="0000011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Окремою проблемою можна окреслити трактування судами поняття «приватного життя», оскільки у справах «Німіц проти Німеччини» [30], «Пек проти Сполученого Королівства» [31], «E.B. проти Франції» (ВП) [32] та «Прітті проти Сполученого Королівства» [33], судом було визначено, що «це широке поняття, яке не має свого вичерпного визначення» [32]. Однак в своїй практиці Суд створив настанови, що стосуються трактування та обсягу приватного життя в рамках статті 8 Конвенції [36]. Крім того, завдяки широкому підхіду до визначення особистих інтересів почався розвиток прецедентної практики відповідно до сучасних соціальних та технологічних досягнень.</w:t>
      </w:r>
    </w:p>
    <w:p w:rsidR="00000000" w:rsidDel="00000000" w:rsidP="00000000" w:rsidRDefault="00000000" w:rsidRPr="00000000" w14:paraId="0000011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у рішеннях «Klass та інші проти Німеччини» [35], «Копп проти Швейцарії» Суд вживає терміни «приватне життя» і «кореспонденція», не конкретизуючи, які індивідуальні інтереси опинилися під загрозою. Крім того у рішенні Niemietz проти Німеччини [36] було зазначено, що «Суд не вважає можливим або необхідним спробувати надати вичерпне визначення поняття «приватне життя». Однак було б надто суворим обмежувати це поняття «внутрішнім колом», в якому людина може жити своїм власним особистим життям, яке він обере, і повністю виключати з цього зовнішній світ, не охоплений цим колом» [35]. Оскільки повага Повага до особистого життя також у певній мірі включає в себе право встановити та розвивати взаємовідносини з іншими особами. </w:t>
      </w:r>
    </w:p>
    <w:p w:rsidR="00000000" w:rsidDel="00000000" w:rsidP="00000000" w:rsidRDefault="00000000" w:rsidRPr="00000000" w14:paraId="0000011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«Леандер проти Швеції» «Суд встановив, що таємна перевірка осіб, які подають документи для працевлаштування на важливі з точки зору національної безпеки посади, не суперечить принципу необхідності» [62]. Так як в національному законодавстві передбачені спеціальних гарантій для захисту інтересів суб’єктів персональних даних, зокрема, парламентом і Канцлером юстиції здійснюється контроль обробкою цих даних, тому ЄСПЛ дійшов висновку, що шведська система здійснення перевірки персоналу відповідає вимогам статті 8 (2) ЄКПЛ. «Беручи до уваги наявні у неї широкі межі розсуду, держава-відповідач мала право вважати, що у справі заявника інтереси національної безпеки переважали над особистими. Суд дійшов висновку, що статтю 8 ЄКПЛ не було порушено» [62].</w:t>
      </w:r>
    </w:p>
    <w:p w:rsidR="00000000" w:rsidDel="00000000" w:rsidP="00000000" w:rsidRDefault="00000000" w:rsidRPr="00000000" w14:paraId="0000011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«The Bavarian Lager Co. Ltd проти Європейської Комісії» [63] компанія попросила Європейську Комісію надати доступ до повного протоколу засідання Комісією, на якій розглядалися питання, що мали відношення до цієї компанії. З огляду на переважні інтереси захисту персональних даних Комісія відмовила в задоволенні запиту. «The Bavarian Lager» подали до Суду першої інстанції скаргу на це рішення. Суд першої інстанції своїм рішенням скасував рішення Комісії. В свою чергу, Європейська Комісія подала апеляцію на це рішення до Суду ЄС. У складі ВП Суд ЄС виніс рішення, яким було скасовано рішення Суду першої інстанції. Суд ЄС вважав, що «Комісія діяла законно, відмовляючи в розкритті інформації, оскільки учасниками не було надано згоди на розголошення їх персональних даних. Крім того, на думку Суду, компанією не було доведено необхідність доступу до подібної інформації» [63].</w:t>
      </w:r>
    </w:p>
    <w:p w:rsidR="00000000" w:rsidDel="00000000" w:rsidP="00000000" w:rsidRDefault="00000000" w:rsidRPr="00000000" w14:paraId="0000011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«Заїченко проти України (№2)» [64] ЄСПЛ визнав порушення статті 8 Конвенції у зв’язку із незаконним діями органів внутрішніх справ по збору відомостей щодо судово-психіатричної експертизи заявника без його згоди. </w:t>
      </w:r>
    </w:p>
    <w:p w:rsidR="00000000" w:rsidDel="00000000" w:rsidP="00000000" w:rsidRDefault="00000000" w:rsidRPr="00000000" w14:paraId="0000011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рішенні «Сергій Волосюк проти України» (Sergey Volosyuk v. Ukraine) від 12 березня 2009 року (заява № 1291/03) Судом було виявлено порушення права на повагу до приватного та сімейного життя, а також кореспонденції, що гарантовані статтею 8 Конвенції. Так, співробітники СІЗО перевіряли кореспонденцію заявника без законних на то причин. Суд встановив, що «словосполучення «згідно із законом» не лише вимагає дотримання національного закону, а й стосується якості такого закону» [65]. У своїй практиці Суд визнав, що «перевірка кореспонденції в’язнів, здійснювана в автоматичному режимі на підставі правових норм, які сформульовані в досить загальній формі і які надають адміністрації місць позбавлення волі широкі дискреційні повноваження» [65]. Законом не передбачено розмежування між різними категоріями осіб, з якими в’язням було дозволено листуватися. Таким чином, Суд дійшов висновку, що чинні на той момент положення закону належним чином не визначали межі та спосіб здійснення зазначених дискреційних повноважень щодо перевірки кореспонденції осіб, узятих під варту. Тобто оскаржуване втручання здійснювалося не «згідно із законом». </w:t>
      </w:r>
    </w:p>
    <w:p w:rsidR="00000000" w:rsidDel="00000000" w:rsidP="00000000" w:rsidRDefault="00000000" w:rsidRPr="00000000" w14:paraId="0000011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дуже широке коло питань, що охоплює приватне життя, справи, що підпадають під це поняття, були згруповані у три основні категорії (інколи частково дублюючі), щоб забезпечити певні засоби класифікації, а саме: (i) фізичну, психологічну чи моральну цілісність особи, (ii) її приватність та (iii) її ідентичність» [37].</w:t>
      </w:r>
    </w:p>
    <w:p w:rsidR="00000000" w:rsidDel="00000000" w:rsidP="00000000" w:rsidRDefault="00000000" w:rsidRPr="00000000" w14:paraId="0000011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Судом не надано вичерпної відповіді щодо розмежування приватного життя та інформації, яка виходить за межі цього визначення. Ми погоджуємося, що до кожного окремого випадку необхідно підходити індивідуально, але законодавець та Суд у своїй практиці все ж таки мають уніфікувати критерії до поняття «приватного життя».</w:t>
      </w:r>
    </w:p>
    <w:p w:rsidR="00000000" w:rsidDel="00000000" w:rsidP="00000000" w:rsidRDefault="00000000" w:rsidRPr="00000000" w14:paraId="0000011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з огляду на все вищезазначене, першопричиною відсутності єдиного підходу до балансу між правом на інформацію та правом на приватність стала відсутность єдиного стандарту та чітких критерії для вирішення конфлікту між правом на інформацію та правом на приватність. Це може призводити до непередбачуваності в рішеннях та невизначеності в інтерпретації законодавства. Тому, на нашу думку, чинне законодавство потребує концептуальних змін, якими необхідно встановити, що персональні дані є конфіденційною інформацією та їх обробка може здійснюватися виключно на підставі Закону України «Про захист персональних даних» [12].</w:t>
      </w:r>
    </w:p>
    <w:p w:rsidR="00000000" w:rsidDel="00000000" w:rsidP="00000000" w:rsidRDefault="00000000" w:rsidRPr="00000000" w14:paraId="0000011A">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spacing w:line="360" w:lineRule="auto"/>
        <w:ind w:firstLine="708"/>
        <w:jc w:val="both"/>
        <w:rPr>
          <w:rFonts w:ascii="Times New Roman" w:cs="Times New Roman" w:eastAsia="Times New Roman" w:hAnsi="Times New Roman"/>
          <w:b w:val="1"/>
          <w:sz w:val="28"/>
          <w:szCs w:val="28"/>
        </w:rPr>
      </w:pPr>
      <w:bookmarkStart w:colFirst="0" w:colLast="0" w:name="_heading=h.1v1yuxt" w:id="18"/>
      <w:bookmarkEnd w:id="18"/>
      <w:r w:rsidDel="00000000" w:rsidR="00000000" w:rsidRPr="00000000">
        <w:rPr>
          <w:rFonts w:ascii="Times New Roman" w:cs="Times New Roman" w:eastAsia="Times New Roman" w:hAnsi="Times New Roman"/>
          <w:b w:val="1"/>
          <w:sz w:val="28"/>
          <w:szCs w:val="28"/>
          <w:rtl w:val="0"/>
        </w:rPr>
        <w:t xml:space="preserve">2.2. Обмеження права доступу до персональних даних та права на захист персональних даних.</w:t>
      </w:r>
    </w:p>
    <w:p w:rsidR="00000000" w:rsidDel="00000000" w:rsidP="00000000" w:rsidRDefault="00000000" w:rsidRPr="00000000" w14:paraId="0000011C">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права доступу до персональних даних є необхідним заходом для забезпечення приватності та захисту особистої інформації. Ці обмеження спираються на різні принципи та норми, які визначаються законодавством і регулюють доступ до особистих даних в різних контекстах. Зокрема, ключовими аспектами обмежень права доступу до персональних даних є:</w:t>
      </w:r>
    </w:p>
    <w:p w:rsidR="00000000" w:rsidDel="00000000" w:rsidP="00000000" w:rsidRDefault="00000000" w:rsidRPr="00000000" w14:paraId="0000011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законність та справедливість обробки. Збір та обробка персональних даних має відбуватися на визначених законом підставах, тому обмеження доступу до цих даних може мати місце у випадках, коли це суперечить законній основі обробки або порушує принципи справедливості та прозорості;</w:t>
      </w:r>
    </w:p>
    <w:p w:rsidR="00000000" w:rsidDel="00000000" w:rsidP="00000000" w:rsidRDefault="00000000" w:rsidRPr="00000000" w14:paraId="0000011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доступ лише з певною метою. Наприклад, організації та особи, які збирають персональні дані, можуть обмежувати доступ до цих даних тільки для досягнення конкретної мети, зазначеної в момент їхнього збору;</w:t>
      </w:r>
    </w:p>
    <w:p w:rsidR="00000000" w:rsidDel="00000000" w:rsidP="00000000" w:rsidRDefault="00000000" w:rsidRPr="00000000" w14:paraId="0000012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збереження обмеженого доступу. Інформація, яка містить персональні дані, може бути доступною лише обмеженій групі осіб, які до неї доступ для виконання своїх обов'язків; </w:t>
      </w:r>
    </w:p>
    <w:p w:rsidR="00000000" w:rsidDel="00000000" w:rsidP="00000000" w:rsidRDefault="00000000" w:rsidRPr="00000000" w14:paraId="0000012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заборона доступу у випадках конфіденційності чи безпеки. Доступу до певної категорії персональних даних може бути обмежений у тому випадку, коли їх розголошення може порушити конфіденційність або наразити особу, якій належать ці дані на небезпеку. Наприклад, коли володільцем інформації розкриваються персональні дані військовослужбовців під час воєнного стану, такі його дії загрожують життю військовослужбовців;</w:t>
      </w:r>
    </w:p>
    <w:p w:rsidR="00000000" w:rsidDel="00000000" w:rsidP="00000000" w:rsidRDefault="00000000" w:rsidRPr="00000000" w14:paraId="0000012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ґ) обмеження у випадках високої чутливості. Деякі види персональних даних, такі як медична інформація чи біометричні дані, можуть бути об'єктом особливих обмежень, оскільки їх розголошення може викликати серйозні наслідки для особи;</w:t>
      </w:r>
    </w:p>
    <w:p w:rsidR="00000000" w:rsidDel="00000000" w:rsidP="00000000" w:rsidRDefault="00000000" w:rsidRPr="00000000" w14:paraId="0000012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захист від неправомірного доступу. Впровадження таких технічних та організаційних заходів як шифрування чи аутентифікація можуть використовуватися для запобігання неправомірному доступу до персональних даних;</w:t>
      </w:r>
    </w:p>
    <w:p w:rsidR="00000000" w:rsidDel="00000000" w:rsidP="00000000" w:rsidRDefault="00000000" w:rsidRPr="00000000" w14:paraId="0000012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обмеження у випадках суспільного інтересу. деякі обставини, такі як національна безпека чи боротьба зі злочинністю, можуть виправдовувати обмеження права доступу за умови дотримання законності та справедливості.</w:t>
      </w:r>
    </w:p>
    <w:p w:rsidR="00000000" w:rsidDel="00000000" w:rsidP="00000000" w:rsidRDefault="00000000" w:rsidRPr="00000000" w14:paraId="0000012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обмеження служать для забезпечення балансу між необхідністю використання персональних даних у різних сферах та захистом приватності та прав осіб, що стосуються цих даних.</w:t>
      </w:r>
    </w:p>
    <w:p w:rsidR="00000000" w:rsidDel="00000000" w:rsidP="00000000" w:rsidRDefault="00000000" w:rsidRPr="00000000" w14:paraId="0000012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частини 1 статті 25 Закону «обмеження дії статей 6, 7 і 8 Закону може здійснюватися у випадках, передбачених законом, наскільки це необхідно у демократичному суспільстві в інтересах національної безпеки, економічного добробуту або захисту прав і свобод суб’єктів персональних даних чи інших осіб» [12].</w:t>
      </w:r>
    </w:p>
    <w:p w:rsidR="00000000" w:rsidDel="00000000" w:rsidP="00000000" w:rsidRDefault="00000000" w:rsidRPr="00000000" w14:paraId="0000012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обмеження застосування вказаних статей можливо лише у випадках, якщо: </w:t>
      </w:r>
    </w:p>
    <w:p w:rsidR="00000000" w:rsidDel="00000000" w:rsidP="00000000" w:rsidRDefault="00000000" w:rsidRPr="00000000" w14:paraId="0000012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воно передбачено законом; </w:t>
      </w:r>
    </w:p>
    <w:p w:rsidR="00000000" w:rsidDel="00000000" w:rsidP="00000000" w:rsidRDefault="00000000" w:rsidRPr="00000000" w14:paraId="0000012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є необхідним та пропорційним; </w:t>
      </w:r>
    </w:p>
    <w:p w:rsidR="00000000" w:rsidDel="00000000" w:rsidP="00000000" w:rsidRDefault="00000000" w:rsidRPr="00000000" w14:paraId="0000012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спрямоване на досягнення однієї із законних цілей, таких як національна безпека, економічна добробут чи захист прав і свобод суб'єктів персональних даних або інших осіб.</w:t>
      </w:r>
    </w:p>
    <w:p w:rsidR="00000000" w:rsidDel="00000000" w:rsidP="00000000" w:rsidRDefault="00000000" w:rsidRPr="00000000" w14:paraId="0000012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Вказані обмеження повністю відповідають тим, що передбачені чинною редакцією Конвенції. </w:t>
      </w:r>
    </w:p>
    <w:p w:rsidR="00000000" w:rsidDel="00000000" w:rsidP="00000000" w:rsidRDefault="00000000" w:rsidRPr="00000000" w14:paraId="0000012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тут виникає колізія: виходити, що обмеження принципів законності, легітимної мети та необхідності, само повинно бути законним, необхідним та слідувати легітимній меті. Таке формулювання частково зменшує важливість обмеження в контексті цих трьох принципів. </w:t>
      </w:r>
    </w:p>
    <w:p w:rsidR="00000000" w:rsidDel="00000000" w:rsidP="00000000" w:rsidRDefault="00000000" w:rsidRPr="00000000" w14:paraId="0000012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з метою забезпечення національної безпеки, законом передбачено, що державні органи мають право збирати відомості щодо іноземців та осіб без громадянства. Ця інформація містить дані про перетин кордону, порушення режиму кордону та умови перебування на території держави. </w:t>
      </w:r>
    </w:p>
    <w:p w:rsidR="00000000" w:rsidDel="00000000" w:rsidP="00000000" w:rsidRDefault="00000000" w:rsidRPr="00000000" w14:paraId="0000012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у зв'язку з початком збройного конфлікту із сусідньою державою до закону було внесено зміни, які регламентують процеси збору, зберігання, захисту та доступу персональної інформації, строків її зберігання, умов видалення, а також механізми захисту прав відповідних суб’єктів. </w:t>
      </w:r>
    </w:p>
    <w:p w:rsidR="00000000" w:rsidDel="00000000" w:rsidP="00000000" w:rsidRDefault="00000000" w:rsidRPr="00000000" w14:paraId="0000012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 одного боку, ми маємо </w:t>
      </w:r>
      <w:r w:rsidDel="00000000" w:rsidR="00000000" w:rsidRPr="00000000">
        <w:rPr>
          <w:rFonts w:ascii="Times New Roman" w:cs="Times New Roman" w:eastAsia="Times New Roman" w:hAnsi="Times New Roman"/>
          <w:b w:val="1"/>
          <w:sz w:val="28"/>
          <w:szCs w:val="28"/>
          <w:rtl w:val="0"/>
        </w:rPr>
        <w:t xml:space="preserve">обмеження принципу необхідності,</w:t>
      </w:r>
      <w:r w:rsidDel="00000000" w:rsidR="00000000" w:rsidRPr="00000000">
        <w:rPr>
          <w:rFonts w:ascii="Times New Roman" w:cs="Times New Roman" w:eastAsia="Times New Roman" w:hAnsi="Times New Roman"/>
          <w:sz w:val="28"/>
          <w:szCs w:val="28"/>
          <w:rtl w:val="0"/>
        </w:rPr>
        <w:t xml:space="preserve"> оскільки про громадян однієї держави збирають суттєво більше інформації, ніж щодо громадян інших країн. З іншого боку, таке обмеження, передбачене законом, слідує легітимній меті (національна безпека) та </w:t>
      </w:r>
      <w:r w:rsidDel="00000000" w:rsidR="00000000" w:rsidRPr="00000000">
        <w:rPr>
          <w:rFonts w:ascii="Times New Roman" w:cs="Times New Roman" w:eastAsia="Times New Roman" w:hAnsi="Times New Roman"/>
          <w:b w:val="1"/>
          <w:sz w:val="28"/>
          <w:szCs w:val="28"/>
          <w:rtl w:val="0"/>
        </w:rPr>
        <w:t xml:space="preserve">є необхідним у контексті підвищеної загрози</w:t>
      </w:r>
      <w:r w:rsidDel="00000000" w:rsidR="00000000" w:rsidRPr="00000000">
        <w:rPr>
          <w:rFonts w:ascii="Times New Roman" w:cs="Times New Roman" w:eastAsia="Times New Roman" w:hAnsi="Times New Roman"/>
          <w:sz w:val="28"/>
          <w:szCs w:val="28"/>
          <w:rtl w:val="0"/>
        </w:rPr>
        <w:t xml:space="preserve"> саме від представників певної держави, що гарантує підтримку відповідних принципів захисту персональних даних.</w:t>
      </w:r>
    </w:p>
    <w:p w:rsidR="00000000" w:rsidDel="00000000" w:rsidP="00000000" w:rsidRDefault="00000000" w:rsidRPr="00000000" w14:paraId="0000013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вказує на те, що фактично відсутня можливість для обмеження принципів законності, необхідності та легітимної мети. </w:t>
      </w:r>
    </w:p>
    <w:p w:rsidR="00000000" w:rsidDel="00000000" w:rsidP="00000000" w:rsidRDefault="00000000" w:rsidRPr="00000000" w14:paraId="0000013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слід зазначити, що Конвенцією та Рекламентом передбачено набагато ширший перелік цілей, які використовуються для обмеження вищезазначених принципів.</w:t>
      </w:r>
    </w:p>
    <w:p w:rsidR="00000000" w:rsidDel="00000000" w:rsidP="00000000" w:rsidRDefault="00000000" w:rsidRPr="00000000" w14:paraId="00000132">
      <w:pPr>
        <w:spacing w:line="360" w:lineRule="auto"/>
        <w:ind w:left="720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33">
      <w:pPr>
        <w:spacing w:line="24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Перелік цілей для обмеження принципів </w:t>
      </w:r>
    </w:p>
    <w:p w:rsidR="00000000" w:rsidDel="00000000" w:rsidP="00000000" w:rsidRDefault="00000000" w:rsidRPr="00000000" w14:paraId="00000134">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доступу персональних даних</w:t>
      </w:r>
    </w:p>
    <w:tbl>
      <w:tblPr>
        <w:tblStyle w:val="Table3"/>
        <w:tblW w:w="9060.0" w:type="dxa"/>
        <w:jc w:val="left"/>
        <w:tblInd w:w="-99.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70"/>
        <w:gridCol w:w="2820"/>
        <w:gridCol w:w="3270"/>
        <w:tblGridChange w:id="0">
          <w:tblGrid>
            <w:gridCol w:w="2970"/>
            <w:gridCol w:w="2820"/>
            <w:gridCol w:w="327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3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Загальний регламент</w:t>
            </w:r>
          </w:p>
        </w:tc>
        <w:tc>
          <w:tcPr>
            <w:shd w:fill="auto" w:val="clear"/>
            <w:tcMar>
              <w:top w:w="100.0" w:type="dxa"/>
              <w:left w:w="100.0" w:type="dxa"/>
              <w:bottom w:w="100.0" w:type="dxa"/>
              <w:right w:w="100.0" w:type="dxa"/>
            </w:tcMar>
          </w:tcPr>
          <w:p w:rsidR="00000000" w:rsidDel="00000000" w:rsidP="00000000" w:rsidRDefault="00000000" w:rsidRPr="00000000" w14:paraId="0000013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Конвенція №108</w:t>
            </w:r>
          </w:p>
        </w:tc>
        <w:tc>
          <w:tcPr>
            <w:shd w:fill="auto" w:val="clear"/>
            <w:tcMar>
              <w:top w:w="100.0" w:type="dxa"/>
              <w:left w:w="100.0" w:type="dxa"/>
              <w:bottom w:w="100.0" w:type="dxa"/>
              <w:right w:w="100.0" w:type="dxa"/>
            </w:tcMar>
          </w:tcPr>
          <w:p w:rsidR="00000000" w:rsidDel="00000000" w:rsidP="00000000" w:rsidRDefault="00000000" w:rsidRPr="00000000" w14:paraId="0000013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Закон України «Про захист персональних даних»</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38">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Національна безпека;</w:t>
            </w:r>
          </w:p>
          <w:p w:rsidR="00000000" w:rsidDel="00000000" w:rsidP="00000000" w:rsidRDefault="00000000" w:rsidRPr="00000000" w14:paraId="00000139">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Оборона; </w:t>
            </w:r>
          </w:p>
          <w:p w:rsidR="00000000" w:rsidDel="00000000" w:rsidP="00000000" w:rsidRDefault="00000000" w:rsidRPr="00000000" w14:paraId="0000013A">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(с20) Громадська безпека; </w:t>
            </w:r>
          </w:p>
          <w:p w:rsidR="00000000" w:rsidDel="00000000" w:rsidP="00000000" w:rsidRDefault="00000000" w:rsidRPr="00000000" w14:paraId="0000013B">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(d21) Запобігання, розслідування, виявлення та переслідування кримінальних правопорушень чи порушень етики певних професій; </w:t>
            </w:r>
          </w:p>
          <w:p w:rsidR="00000000" w:rsidDel="00000000" w:rsidP="00000000" w:rsidRDefault="00000000" w:rsidRPr="00000000" w14:paraId="0000013C">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(e22) Важливі фінансові та економічні інтереси держави, включаючи монетарні, бюджетні та податкові питання; </w:t>
            </w:r>
          </w:p>
          <w:p w:rsidR="00000000" w:rsidDel="00000000" w:rsidP="00000000" w:rsidRDefault="00000000" w:rsidRPr="00000000" w14:paraId="0000013D">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Нагляд, інспекція чи регуляторна, які пов’язані, навіть випадково, з реалізацією офіційних повноважень у випадках, про які йде мова в п.п. c20, d21 та e22; </w:t>
            </w:r>
          </w:p>
          <w:p w:rsidR="00000000" w:rsidDel="00000000" w:rsidP="00000000" w:rsidRDefault="00000000" w:rsidRPr="00000000" w14:paraId="0000013E">
            <w:pPr>
              <w:widowControl w:val="0"/>
              <w:numPr>
                <w:ilvl w:val="0"/>
                <w:numId w:val="8"/>
              </w:numPr>
              <w:spacing w:line="240" w:lineRule="auto"/>
              <w:ind w:left="283"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Захист суб’єкта персональних даних чи прав та свобод інших.</w:t>
            </w:r>
          </w:p>
        </w:tc>
        <w:tc>
          <w:tcPr>
            <w:shd w:fill="auto" w:val="clear"/>
            <w:tcMar>
              <w:top w:w="100.0" w:type="dxa"/>
              <w:left w:w="100.0" w:type="dxa"/>
              <w:bottom w:w="100.0" w:type="dxa"/>
              <w:right w:w="100.0" w:type="dxa"/>
            </w:tcMar>
          </w:tcPr>
          <w:p w:rsidR="00000000" w:rsidDel="00000000" w:rsidP="00000000" w:rsidRDefault="00000000" w:rsidRPr="00000000" w14:paraId="0000013F">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Державна безпека; </w:t>
            </w:r>
          </w:p>
          <w:p w:rsidR="00000000" w:rsidDel="00000000" w:rsidP="00000000" w:rsidRDefault="00000000" w:rsidRPr="00000000" w14:paraId="00000140">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Громадська безпека; </w:t>
            </w:r>
          </w:p>
          <w:p w:rsidR="00000000" w:rsidDel="00000000" w:rsidP="00000000" w:rsidRDefault="00000000" w:rsidRPr="00000000" w14:paraId="00000141">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Монетарні інтереси держави; </w:t>
            </w:r>
          </w:p>
          <w:p w:rsidR="00000000" w:rsidDel="00000000" w:rsidP="00000000" w:rsidRDefault="00000000" w:rsidRPr="00000000" w14:paraId="00000142">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Боротьба зі злочинністю; </w:t>
            </w:r>
          </w:p>
          <w:p w:rsidR="00000000" w:rsidDel="00000000" w:rsidP="00000000" w:rsidRDefault="00000000" w:rsidRPr="00000000" w14:paraId="00000143">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Захист суб’єкта персональних даних чи прав та свобод інших;</w:t>
            </w:r>
          </w:p>
          <w:p w:rsidR="00000000" w:rsidDel="00000000" w:rsidP="00000000" w:rsidRDefault="00000000" w:rsidRPr="00000000" w14:paraId="00000144">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Економічні та фінансові інтереси;</w:t>
            </w:r>
          </w:p>
          <w:p w:rsidR="00000000" w:rsidDel="00000000" w:rsidP="00000000" w:rsidRDefault="00000000" w:rsidRPr="00000000" w14:paraId="00000145">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Запобігання злочинам;</w:t>
            </w:r>
          </w:p>
          <w:p w:rsidR="00000000" w:rsidDel="00000000" w:rsidP="00000000" w:rsidRDefault="00000000" w:rsidRPr="00000000" w14:paraId="00000146">
            <w:pPr>
              <w:widowControl w:val="0"/>
              <w:numPr>
                <w:ilvl w:val="0"/>
                <w:numId w:val="5"/>
              </w:numPr>
              <w:spacing w:line="240" w:lineRule="auto"/>
              <w:ind w:left="283" w:hanging="28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Захист прав і свобод особи.</w:t>
            </w:r>
          </w:p>
        </w:tc>
        <w:tc>
          <w:tcPr>
            <w:shd w:fill="auto" w:val="clear"/>
            <w:tcMar>
              <w:top w:w="100.0" w:type="dxa"/>
              <w:left w:w="100.0" w:type="dxa"/>
              <w:bottom w:w="100.0" w:type="dxa"/>
              <w:right w:w="100.0" w:type="dxa"/>
            </w:tcMar>
          </w:tcPr>
          <w:p w:rsidR="00000000" w:rsidDel="00000000" w:rsidP="00000000" w:rsidRDefault="00000000" w:rsidRPr="00000000" w14:paraId="00000147">
            <w:pPr>
              <w:widowControl w:val="0"/>
              <w:numPr>
                <w:ilvl w:val="0"/>
                <w:numId w:val="11"/>
              </w:numPr>
              <w:spacing w:line="240" w:lineRule="auto"/>
              <w:ind w:left="425"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Національна безпека;</w:t>
            </w:r>
          </w:p>
          <w:p w:rsidR="00000000" w:rsidDel="00000000" w:rsidP="00000000" w:rsidRDefault="00000000" w:rsidRPr="00000000" w14:paraId="00000148">
            <w:pPr>
              <w:widowControl w:val="0"/>
              <w:numPr>
                <w:ilvl w:val="0"/>
                <w:numId w:val="11"/>
              </w:numPr>
              <w:spacing w:line="240" w:lineRule="auto"/>
              <w:ind w:left="425"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Економічний добробут;</w:t>
            </w:r>
          </w:p>
          <w:p w:rsidR="00000000" w:rsidDel="00000000" w:rsidP="00000000" w:rsidRDefault="00000000" w:rsidRPr="00000000" w14:paraId="00000149">
            <w:pPr>
              <w:widowControl w:val="0"/>
              <w:numPr>
                <w:ilvl w:val="0"/>
                <w:numId w:val="11"/>
              </w:numPr>
              <w:spacing w:line="240" w:lineRule="auto"/>
              <w:ind w:left="425"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Захист прав і свобод особи.</w:t>
            </w:r>
          </w:p>
          <w:p w:rsidR="00000000" w:rsidDel="00000000" w:rsidP="00000000" w:rsidRDefault="00000000" w:rsidRPr="00000000" w14:paraId="0000014A">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4B">
      <w:pPr>
        <w:spacing w:before="200"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Джерело: </w:t>
      </w:r>
      <w:r w:rsidDel="00000000" w:rsidR="00000000" w:rsidRPr="00000000">
        <w:rPr>
          <w:rFonts w:ascii="Times New Roman" w:cs="Times New Roman" w:eastAsia="Times New Roman" w:hAnsi="Times New Roman"/>
          <w:sz w:val="28"/>
          <w:szCs w:val="28"/>
          <w:rtl w:val="0"/>
        </w:rPr>
        <w:t xml:space="preserve">[13, c. 100].</w:t>
      </w:r>
    </w:p>
    <w:p w:rsidR="00000000" w:rsidDel="00000000" w:rsidP="00000000" w:rsidRDefault="00000000" w:rsidRPr="00000000" w14:paraId="0000014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Звісно, передбачені в чинній редакції статті 25 Закону ціли настільки широкі, що вони можуть застосовуватися на практиці до всіх ситуацій, які визначені в Директивах та Конвенціях.</w:t>
      </w:r>
    </w:p>
    <w:p w:rsidR="00000000" w:rsidDel="00000000" w:rsidP="00000000" w:rsidRDefault="00000000" w:rsidRPr="00000000" w14:paraId="0000014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для усунення будь-яких сумнівів у цьому питанні, буде доцільним внести зміни до статті 25 Закону та розширити і конкретизувати перелік припустимих цілей обмеження основних принципів та прав суб'єкта персональних даних. Оскільки, більш чітко визначена мета, жорсткіше обмежує можливості втручання в права особи щодо її приватності.</w:t>
      </w:r>
    </w:p>
    <w:p w:rsidR="00000000" w:rsidDel="00000000" w:rsidP="00000000" w:rsidRDefault="00000000" w:rsidRPr="00000000" w14:paraId="0000014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 на захист персональних даних «не є абсолютним правом, але має розглядатися у зв’язку з його функцією в суспільстві» [38], оскільки за потреби може бути обмежено для задоволення загального інтересу або захисту прав і свобод інших осіб. Умови обмеження права на повагу до приватного життя та права на захист персональних даних передбачені статтею 8 Конвенції про захист прав людини і основоположних свобод [34] (далі – ЄКПЛ) та статтею 52 (1) Хартії основних прав Європейського Союзу [9] (далі – Хартія). Вони були розтлумачені та розвинуті у практиці Європейського суду з прав людини (далі – ЄСПЛ).</w:t>
      </w:r>
    </w:p>
    <w:p w:rsidR="00000000" w:rsidDel="00000000" w:rsidP="00000000" w:rsidRDefault="00000000" w:rsidRPr="00000000" w14:paraId="0000014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Основоположне право на захист персональних даних за статтею 8 Хартії «повинно розглядатися у зв’язку з його функцією в суспільстві. Крім того стаття 52(1) Хартії визнає, що обмеження можуть бути накладені на здійснення прав, таких як ті, що викладені в статтях 7 і 8 Хартії, «якщо обмеження передбачені законом, поважають суть цих прав і свобод і, відповідно до принципу пропорційності, є необхідними та справді відповідають цілям загального інтересу, визнаним Європейським Союзом, або необхідності захисту прав і свобод інших» [9].</w:t>
      </w:r>
    </w:p>
    <w:p w:rsidR="00000000" w:rsidDel="00000000" w:rsidP="00000000" w:rsidRDefault="00000000" w:rsidRPr="00000000" w14:paraId="0000015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персональних даних може становити втручання у право на повагу до приватного життя суб’єкта персональних даних, яке захищається статтею 8 ЄКПЛ» [39]. Однак, нормами ЄКПЛ не передбачено захист персональних даних як окреме основоположне право, оскільки він становить частину прав, які захищаються правом на повагу до приватного життя. Таким чином, статтею 8 ЄКПЛ охоплюється не кожна дія, яка включає обробку персональних даних. Оскільки для застосування цієї статті необхідно визначити, було обмежено право на приватний інтерес або приватне життя особи. «У своїй практиці ЄСПЛ тлумачить поняття «приватне життя» як широку концепцію, що охоплює навіть аспекти професійного життя та публічної поведінки. Він також вирішив, що захист персональних даних є важливим аспектом приватного життя. Однак, попри розширене тлумачення приватного життя, не всі види обробки можуть вважатись обмеженням прав, передбачених статтею 8. Якщо ЄСПЛ визнає, що дія з обробки персональних даних, про яку йдеться, вплинула на право особи на повагу до приватного життя, він буде розглядати, чи було втручання виправданим. Право на повагу до приватного життя не є абсолютним правом, воно має бути збалансоване і узгоджене з іншими легітимними інтересами та правами, незалежно від того, чи це інтереси інших осіб (приватні інтереси), чи інтереси суспільства в цілому (суспільні інтереси)» [40, с. 41].</w:t>
      </w:r>
    </w:p>
    <w:p w:rsidR="00000000" w:rsidDel="00000000" w:rsidP="00000000" w:rsidRDefault="00000000" w:rsidRPr="00000000" w14:paraId="0000015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у справі «Тейлор-Себорі проти Сполученого Королівства» [41] заявником було встановлено незаконне поліцейське спостереження. Поліція перехоплювала надіслані йому повідомлення за допомогою пейджера-клона. На підставі отриманих з пристроя даних заявника було заарештовано та пред’явлено обвинувачення у постачанні наркотиків. Однак на момент судового розгляду справи заявника британське законодавство не містило положень, якими б регулювався процес перехоплення повідомлень, що передаються приватною телекомунікаційною системою. Тому в даному випадку була здійснена незаконна обробка персональних даних заявника. Суд дійшов висновку, що було порушено статтю 8 ЄКПЛ.</w:t>
      </w:r>
    </w:p>
    <w:p w:rsidR="00000000" w:rsidDel="00000000" w:rsidP="00000000" w:rsidRDefault="00000000" w:rsidRPr="00000000" w14:paraId="0000015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«Пек проти Сполученого Королівства» [31] заявник намагався вкоротити собі віку, розрізавши вени на вулиці. Однак спроба самогубства була записана на вуличну камеру відеоспостереження. Після того як заявника було врятовано поліцейськими, вони передали записи замкнутої системи ТВ-спостереження в ЗМІ, які їх оприлюднили, не замаскувавши обличчя заявника. ЄСПЛ було встановлено відсутність легітимної мети, яка б могла виправдати доведення інциденту до відома громадськості без отримання згоди заявника або маскування його особи. ЄСПЛ дійшов висновку, що статтю 8 ЄКПЛ було порушено.</w:t>
      </w:r>
    </w:p>
    <w:p w:rsidR="00000000" w:rsidDel="00000000" w:rsidP="00000000" w:rsidRDefault="00000000" w:rsidRPr="00000000" w14:paraId="0000015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«Хелілі проти Швейцарії» [42] під час проведення рейду поліція знайшла в заявниці візитівки на яких було зазначено номер телефону і текст: «Приваблива, гарна жінка, за тридцять, хотіла б зустріти чоловіка, щоб іноді разом випити або приємно проводити час. Номер тел. [...]» [42]. Після цього поліцейськими було внесено її ім’я в комп’ютерну базу, як повія. Заявниця вимагала видалити слово «повія». ЄСПЛ визнав, що, за загальним правилом, збереження персональних даних особи на підставі, що ця особа може вчинити інший злочин, за певних умов є пропорційним. Однак у справі заявниці </w:t>
      </w:r>
      <w:r w:rsidDel="00000000" w:rsidR="00000000" w:rsidRPr="00000000">
        <w:rPr>
          <w:rFonts w:ascii="Times New Roman" w:cs="Times New Roman" w:eastAsia="Times New Roman" w:hAnsi="Times New Roman"/>
          <w:sz w:val="28"/>
          <w:szCs w:val="28"/>
          <w:rtl w:val="0"/>
        </w:rPr>
        <w:t xml:space="preserve">необґрунтоване</w:t>
      </w:r>
      <w:r w:rsidDel="00000000" w:rsidR="00000000" w:rsidRPr="00000000">
        <w:rPr>
          <w:rFonts w:ascii="Times New Roman" w:cs="Times New Roman" w:eastAsia="Times New Roman" w:hAnsi="Times New Roman"/>
          <w:sz w:val="28"/>
          <w:szCs w:val="28"/>
          <w:rtl w:val="0"/>
        </w:rPr>
        <w:t xml:space="preserve"> обвинувачення в незаконній проституції було безпідставним і не базувалося на конкретних фактах, оскільки її ніколи притягали до відповідальності за незаконне заняття проституцією, і тому подібне втручання не може розглядатися як таке, що відповідає «нагальній суспільній потребі» в розумінні статті 8 ЄКПЛ. Розглядаючи питання доведення достовірності збережених про заявницю даних, Суд постановив, що «збереження слова «повія» у файлах поліції протягом багатьох років не було необхідним у демократичному суспільстві» [42]. ЄСПЛ дійшов висновку, що було порушено статтю 8 ЄКПЛ. </w:t>
      </w:r>
    </w:p>
    <w:p w:rsidR="00000000" w:rsidDel="00000000" w:rsidP="00000000" w:rsidRDefault="00000000" w:rsidRPr="00000000" w14:paraId="0000015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 у справі «С. та Марпер проти Сполученого Королівства» [39] два заявника були заарештовані та обвинувачені у вчиненні кримінального порушення. Поліція на законних підставах зібрала в них відбитки пальців і зразки ДНК. В результаті, заявники так і не були засуджені: один був виправдан судом, щодо другого заявника кримінальне провадження було закрито. Однак відбитки пальців, профілі ДНК та клітинні зразки заявників зберігались поліцією в базі даних, при цьому національним законодавством дозволено безстрокове збереження. Хоча Сполучене Королівство доводило, що переслідувало легітимну мету виявлення та попередження злочинів, оскільки збережені дані допомагають в ідентифікації майбутніх злочинців, суд вирішив, що втручання у право заявників на повагу до приватного життя було не виправданим. ЄСПЛ нагадав, що «ключові принципи захисту персональних даних вимагають, щоб збереження даних було пропорційним стосовно мети їх збору та щоб період збереження даних був обмеженим» [39]. Суд погодився, що розширення бази даних і включення в них профілів ДНК не тільки засуджених осіб, але й осіб, які були підозрюваними, але не були засуджені, могло б сприяти виявленню та попередженню злочинів. Однак, він був «вражений всеосяжним та нерозбірливим характером повноважень щодо збереження даних» [39].</w:t>
      </w:r>
    </w:p>
    <w:p w:rsidR="00000000" w:rsidDel="00000000" w:rsidP="00000000" w:rsidRDefault="00000000" w:rsidRPr="00000000" w14:paraId="0000015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ЄСПЛ неодноразово констатував порушення права на повагу до приватного життя у справах проти України. Так, у справі «Пантелеєнко проти України» Суд зазначає, що як «зберігання державними органами інформації про особисте життя людини, так і її використання є втручанням в право на повагу до приватного життя, гарантоване пунктом 1 статті 8 Конвенції (див. рішення у справі «Ротару проти Румунії» (Rotaru v. Romania) [ВП], заява № 28341/95, п. 46, ECHR 2000-V). У цій справі національний суд надіслав запит і отримав з психіатричної лікарні конфіденційну інформацію про психічний стан і відповідне медичне лікування заявника» [43]. В подальшому ця інформація була оприлюднена суддею сторонам та іншим особам, присутнім у судовій залі під час відкритого судового засідання.</w:t>
      </w:r>
    </w:p>
    <w:p w:rsidR="00000000" w:rsidDel="00000000" w:rsidP="00000000" w:rsidRDefault="00000000" w:rsidRPr="00000000" w14:paraId="0000015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даній справі Суд вирішував, чи було втручання відповідно до закону необхідним у демократичному суспільстві.</w:t>
      </w:r>
    </w:p>
    <w:p w:rsidR="00000000" w:rsidDel="00000000" w:rsidP="00000000" w:rsidRDefault="00000000" w:rsidRPr="00000000" w14:paraId="0000015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В.Тацій зазначає, що «положення п. 2 ст. 15 КПК щодо заборони збирання, зберігання, використання та поширення інформації про приватне життя особи без її згоди, крім випадків, передбачених КПК, стосується лише інформації, отриманої в ході кримінального провадження» [44]. </w:t>
      </w:r>
    </w:p>
    <w:p w:rsidR="00000000" w:rsidDel="00000000" w:rsidP="00000000" w:rsidRDefault="00000000" w:rsidRPr="00000000" w14:paraId="0000015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офіційне тлумачення положень частин 1, 2 ст. 32, частин 2, 3 статті 34 Конституції України дане в рішенні Конституційного Суду України № 2-рп/2012 відповідно до якого інформацією про приватне життя особи є будь-які дані «за винятком передбаченої законами інформації, що стосується здійснення особою, яка займає посади, пов’язаної з виконанням функцій держави або органів місцевого самоврядування, посадових або службових повноважень» [45].</w:t>
      </w:r>
    </w:p>
    <w:p w:rsidR="00000000" w:rsidDel="00000000" w:rsidP="00000000" w:rsidRDefault="00000000" w:rsidRPr="00000000" w14:paraId="0000015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обмеження права на захист персональних даних забезпечується в різних ситуаціях та може бути обґрунтовано ефективним вимірюванням, яке враховує баланс між індивідуальними правами та загальними інтересами суспільства. </w:t>
      </w:r>
    </w:p>
    <w:p w:rsidR="00000000" w:rsidDel="00000000" w:rsidP="00000000" w:rsidRDefault="00000000" w:rsidRPr="00000000" w14:paraId="0000015A">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Загальним регламентом захисту персональних даних передбачено можливість обміну інформацією між країнами. Такий обмін називають вільним потоком даних в межах Європейського Союзу. Однак обмеження на передачу інформації виключно в країни ЄС відсутнє, оскільки Регламентом передбачені особливі вимоги стосовно передачі персональних даних міжнародним організаціям та третім країнам поза межами Європейського Союзу. Такі процедури передачі даних важлива для міжнародного співробітництва та торгівлі. Однак вільний потік створює ризики для персональних даних. У зв’язку з цим право Ради Європи (далі – РЄ) зазначає про важливість впровадження спеціальних вимог до передачі даних державам, які не є її членами та запровадження правил для транскордонних потоків даних, що засновані на вільному русі даних між сторонами.</w:t>
      </w:r>
    </w:p>
    <w:p w:rsidR="00000000" w:rsidDel="00000000" w:rsidP="00000000" w:rsidRDefault="00000000" w:rsidRPr="00000000" w14:paraId="0000015B">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зазначається в пояснювальній записці до Конвенції 108, у праві РЄ транскордонні потоки персональних даних – це передача персональних даних одержувачам, які не знаходяться під юрисдикцією Договірної Сторони.</w:t>
      </w:r>
    </w:p>
    <w:p w:rsidR="00000000" w:rsidDel="00000000" w:rsidP="00000000" w:rsidRDefault="00000000" w:rsidRPr="00000000" w14:paraId="0000015C">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правом ЄС регулюється передача «персональних даних, які перебувають у процесі обробки чи призначені для обробки після передачі третій країні або міжнародній організації» [15]. </w:t>
      </w:r>
    </w:p>
    <w:p w:rsidR="00000000" w:rsidDel="00000000" w:rsidP="00000000" w:rsidRDefault="00000000" w:rsidRPr="00000000" w14:paraId="0000015D">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Суттєвою різницею між правом РЄ та правом ЄС є положення щодо заборони або обмеження вільного руху персональних даних.</w:t>
      </w:r>
    </w:p>
    <w:p w:rsidR="00000000" w:rsidDel="00000000" w:rsidP="00000000" w:rsidRDefault="00000000" w:rsidRPr="00000000" w14:paraId="0000015E">
      <w:pPr>
        <w:spacing w:line="360" w:lineRule="auto"/>
        <w:ind w:right="289" w:firstLine="708"/>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Таблиця 2.2</w:t>
      </w:r>
    </w:p>
    <w:tbl>
      <w:tblPr>
        <w:tblStyle w:val="Table4"/>
        <w:tblW w:w="8647.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95"/>
        <w:gridCol w:w="4252"/>
        <w:tblGridChange w:id="0">
          <w:tblGrid>
            <w:gridCol w:w="4395"/>
            <w:gridCol w:w="4252"/>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5F">
            <w:pPr>
              <w:widowControl w:val="0"/>
              <w:spacing w:line="360" w:lineRule="auto"/>
              <w:ind w:right="289" w:firstLine="708"/>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Відповідно до права РЄ</w:t>
            </w:r>
          </w:p>
        </w:tc>
        <w:tc>
          <w:tcPr>
            <w:shd w:fill="auto" w:val="clear"/>
            <w:tcMar>
              <w:top w:w="100.0" w:type="dxa"/>
              <w:left w:w="100.0" w:type="dxa"/>
              <w:bottom w:w="100.0" w:type="dxa"/>
              <w:right w:w="100.0" w:type="dxa"/>
            </w:tcMar>
          </w:tcPr>
          <w:p w:rsidR="00000000" w:rsidDel="00000000" w:rsidP="00000000" w:rsidRDefault="00000000" w:rsidRPr="00000000" w14:paraId="00000160">
            <w:pPr>
              <w:widowControl w:val="0"/>
              <w:spacing w:line="360" w:lineRule="auto"/>
              <w:ind w:right="289" w:firstLine="708"/>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Відповідно до права ЄС</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61">
            <w:pPr>
              <w:widowControl w:val="0"/>
              <w:spacing w:line="360" w:lineRule="auto"/>
              <w:ind w:right="289"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між Договірними Сторонами повинен існувати вільний потік персональних даних, однак за умови «реального та серйозного ризику  того, що передача до іншої Сторони,  призведе до невиконання положень Конвенції» [16] така передача може бути заборонена.</w:t>
            </w:r>
          </w:p>
        </w:tc>
        <w:tc>
          <w:tcPr>
            <w:shd w:fill="auto" w:val="clear"/>
            <w:tcMar>
              <w:top w:w="100.0" w:type="dxa"/>
              <w:left w:w="100.0" w:type="dxa"/>
              <w:bottom w:w="100.0" w:type="dxa"/>
              <w:right w:w="100.0" w:type="dxa"/>
            </w:tcMar>
          </w:tcPr>
          <w:p w:rsidR="00000000" w:rsidDel="00000000" w:rsidP="00000000" w:rsidRDefault="00000000" w:rsidRPr="00000000" w14:paraId="00000162">
            <w:pPr>
              <w:widowControl w:val="0"/>
              <w:spacing w:line="360" w:lineRule="auto"/>
              <w:ind w:right="289"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заборона або обмеження вільного потоку персональних даних між державами-членами ЄС з міркувань захисту фізичних осіб стосовно обробки персональних даних не дозволяється.</w:t>
            </w:r>
          </w:p>
        </w:tc>
      </w:tr>
    </w:tbl>
    <w:p w:rsidR="00000000" w:rsidDel="00000000" w:rsidP="00000000" w:rsidRDefault="00000000" w:rsidRPr="00000000" w14:paraId="00000163">
      <w:pPr>
        <w:spacing w:line="360" w:lineRule="auto"/>
        <w:ind w:right="289"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4">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якщо філія міжнародної групи компаній, що зареєстровані у декількох державах-членах ЄС, до яких входять Нідерланди та Німеччина, передає персональні дані з Німеччини до Нідерландів, такий потік даних не може бути обмежен національним законодавством Німеччини. Проте якщо ця німецька філія буде передавати ті ж персональні дані до материнської компанії в Бангладеш, та німецький експортер даних зобов’язаний враховувати правила, глави 5 Регламенту. Таким чином, цими положеннями забезпечується захист персональних даних суб’єктів, які підпадають під юрисдикцію ЄС. </w:t>
      </w:r>
    </w:p>
    <w:p w:rsidR="00000000" w:rsidDel="00000000" w:rsidP="00000000" w:rsidRDefault="00000000" w:rsidRPr="00000000" w14:paraId="00000165">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права ЄС існує два способи дозволу передачі персональних даних до міжнародних організацій чи третіх країн. Зокрема, така передача відбувається на підставі: </w:t>
      </w:r>
    </w:p>
    <w:p w:rsidR="00000000" w:rsidDel="00000000" w:rsidP="00000000" w:rsidRDefault="00000000" w:rsidRPr="00000000" w14:paraId="00000166">
      <w:pPr>
        <w:numPr>
          <w:ilvl w:val="0"/>
          <w:numId w:val="9"/>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рішення Європейської комісії про відповідність (відповідно до статті 45 Регламенту); </w:t>
      </w:r>
    </w:p>
    <w:p w:rsidR="00000000" w:rsidDel="00000000" w:rsidP="00000000" w:rsidRDefault="00000000" w:rsidRPr="00000000" w14:paraId="00000167">
      <w:pPr>
        <w:numPr>
          <w:ilvl w:val="0"/>
          <w:numId w:val="9"/>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відсутності такого рішення, якщо контролер чи оператор надає належні гарантії, в тому числі права, забезпечені санкцією, та засоби юридичного захисту для суб’єкта даних (відповідно до статті 46 Регламенту). </w:t>
      </w:r>
    </w:p>
    <w:p w:rsidR="00000000" w:rsidDel="00000000" w:rsidP="00000000" w:rsidRDefault="00000000" w:rsidRPr="00000000" w14:paraId="00000168">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існують виключення із правил, коли відсутнє рішення про відповідність або належні гарантії. </w:t>
      </w:r>
    </w:p>
    <w:p w:rsidR="00000000" w:rsidDel="00000000" w:rsidP="00000000" w:rsidRDefault="00000000" w:rsidRPr="00000000" w14:paraId="00000169">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права РЄ існує виключно дві підстави для вільної передачі даних до держав, що не є сторонами Конвенції: </w:t>
      </w:r>
    </w:p>
    <w:p w:rsidR="00000000" w:rsidDel="00000000" w:rsidP="00000000" w:rsidRDefault="00000000" w:rsidRPr="00000000" w14:paraId="0000016A">
      <w:pPr>
        <w:numPr>
          <w:ilvl w:val="0"/>
          <w:numId w:val="6"/>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наявності гарантій в законодавстві цієї держави або міжнародної організації, включаючи застосовні міжнародні договори або угоди; </w:t>
      </w:r>
    </w:p>
    <w:p w:rsidR="00000000" w:rsidDel="00000000" w:rsidP="00000000" w:rsidRDefault="00000000" w:rsidRPr="00000000" w14:paraId="0000016B">
      <w:pPr>
        <w:numPr>
          <w:ilvl w:val="0"/>
          <w:numId w:val="6"/>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наявності стандартизованих або тимчасових гарантій, які забезпечені інструментами, що приймаються та запроваджуються особами, залученими до передачі та подальшої обробки даних.</w:t>
      </w:r>
    </w:p>
    <w:p w:rsidR="00000000" w:rsidDel="00000000" w:rsidP="00000000" w:rsidRDefault="00000000" w:rsidRPr="00000000" w14:paraId="0000016C">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в праві ЄС, при цьому існує перелік відступів у разі відсутності належного рівня захисту персональних даних.</w:t>
      </w:r>
    </w:p>
    <w:p w:rsidR="00000000" w:rsidDel="00000000" w:rsidP="00000000" w:rsidRDefault="00000000" w:rsidRPr="00000000" w14:paraId="0000016D">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справі  «Максиміліан Шремс проти Уповноваженого із захисту персональних даних» громадянин Австрії декілька років користувався соціальною мережею Facebook. Дані, що були надані Шремсом до соціальної мережі, були передані з ірландського дочірнього підприємства «Facebook» на сервери в США, де виконувалася обробка даних. Заявник подав скаргу до Уповноваженого з захисту персональних даних Ірландії, вважаючи, що спецслужби США ведуть спостереження за користувачами соціальної мережі, оскільки законодавством США не передбачено достатнього рівня  захисту даних, що передаються до неї. Однак Уповноважений відмовив у задоволенні скарги на підставі того, що відповідно до рішення Комісії від 26 липня 2000 року за схемою «Безпечна гавань» в США забезпечується належний рівень захисту переданих персональних даних. </w:t>
      </w:r>
    </w:p>
    <w:p w:rsidR="00000000" w:rsidDel="00000000" w:rsidP="00000000" w:rsidRDefault="00000000" w:rsidRPr="00000000" w14:paraId="0000016E">
      <w:pPr>
        <w:spacing w:line="360" w:lineRule="auto"/>
        <w:ind w:right="289" w:firstLine="708"/>
        <w:jc w:val="both"/>
        <w:rPr>
          <w:rFonts w:ascii="Times New Roman" w:cs="Times New Roman" w:eastAsia="Times New Roman" w:hAnsi="Times New Roman"/>
          <w:i w:val="1"/>
          <w:sz w:val="28"/>
          <w:szCs w:val="28"/>
          <w:highlight w:val="yellow"/>
        </w:rPr>
      </w:pPr>
      <w:r w:rsidDel="00000000" w:rsidR="00000000" w:rsidRPr="00000000">
        <w:rPr>
          <w:rFonts w:ascii="Times New Roman" w:cs="Times New Roman" w:eastAsia="Times New Roman" w:hAnsi="Times New Roman"/>
          <w:sz w:val="28"/>
          <w:szCs w:val="28"/>
          <w:rtl w:val="0"/>
        </w:rPr>
        <w:t xml:space="preserve">Однак Суд ЄС постановив, що рішення Комісії про відповідність системи «Безпечна гавань» є недійсним. Суд зазначив, що </w:t>
      </w:r>
      <w:r w:rsidDel="00000000" w:rsidR="00000000" w:rsidRPr="00000000">
        <w:rPr>
          <w:rFonts w:ascii="Times New Roman" w:cs="Times New Roman" w:eastAsia="Times New Roman" w:hAnsi="Times New Roman"/>
          <w:sz w:val="28"/>
          <w:szCs w:val="28"/>
          <w:highlight w:val="yellow"/>
          <w:rtl w:val="0"/>
        </w:rPr>
        <w:t xml:space="preserve">​​рішення Комісії дало можливість обмежити виконання принципів захисту персональних даних "Безпечна гавань" в інтересах національної безпеки, суспільного інтересу та правоохоронних органів або відповідно до національного законодавства США. Таким чином, це рішення надало можливість втручатися в права осіб, персональні дані яких передавались до США</w:t>
      </w:r>
      <w:r w:rsidDel="00000000" w:rsidR="00000000" w:rsidRPr="00000000">
        <w:rPr>
          <w:rFonts w:ascii="Times New Roman" w:cs="Times New Roman" w:eastAsia="Times New Roman" w:hAnsi="Times New Roman"/>
          <w:sz w:val="28"/>
          <w:szCs w:val="28"/>
          <w:rtl w:val="0"/>
        </w:rPr>
        <w:t xml:space="preserve">. Суд ЄС підкреслив, що «рівень захисту основоположних прав і свобод, гарантований у межах ЄС, вимагає від нормативних актів, які стосуються статей 7 та 8, встановлення чітких і точних правил щодо визначення обсягу та застосовності заходів, а також закріплення мінімальних гарантій, відступів та обмежень стосовно захисту персональних даних…. Таким чином, рівень захисту США не був «по суті рівнозначним» для забезпечення основних прав і свобод, гарантованих ЄС… </w:t>
      </w:r>
      <w:r w:rsidDel="00000000" w:rsidR="00000000" w:rsidRPr="00000000">
        <w:rPr>
          <w:rFonts w:ascii="Times New Roman" w:cs="Times New Roman" w:eastAsia="Times New Roman" w:hAnsi="Times New Roman"/>
          <w:sz w:val="28"/>
          <w:szCs w:val="28"/>
          <w:highlight w:val="yellow"/>
          <w:rtl w:val="0"/>
        </w:rPr>
        <w:t xml:space="preserve">Зокрема, законодавство, яке дозволяє державним органам мати загальний доступ до вмісту електронних комунікацій, повинно розглядатися як таке, що компрометує суть фундаментального права на повагу до приватного життя, гарантованого статтею 7 Конвенції» [66]. </w:t>
      </w:r>
      <w:r w:rsidDel="00000000" w:rsidR="00000000" w:rsidRPr="00000000">
        <w:rPr>
          <w:rtl w:val="0"/>
        </w:rPr>
      </w:r>
    </w:p>
    <w:p w:rsidR="00000000" w:rsidDel="00000000" w:rsidP="00000000" w:rsidRDefault="00000000" w:rsidRPr="00000000" w14:paraId="0000016F">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у праві РЄ, так і в праві ЄС належні гарантії або договірні положення, що існують між контролером, що експортує дані, та одержувачем у третій країні або міжнародною організацією визнаються як можливий засіб забезпечення одержувачем достатнього рівня захисту персональних даних» [40, с. 282-281]. Зокрема, після того, як Суд ЄС визнав рішення «Про безпечну гавань» недійсним, передача персональних даних до США не могла продовжуватися на його підставі. У процесі переговорного процесу з урядом США, який тривав до прийняття нового рішення про відповідність, передачу можна було здійснювати лише на інших юридичних підставах, таких як стандартні договірні положення чи корпоративні правила. Кілька компаній, зокрема «Facebook Ireland» перейшли на стандартні договірні положення. </w:t>
      </w:r>
    </w:p>
    <w:p w:rsidR="00000000" w:rsidDel="00000000" w:rsidP="00000000" w:rsidRDefault="00000000" w:rsidRPr="00000000" w14:paraId="00000170">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на цьому пан Шремс не зупинився. Він подав скаргу до контролюючого органу Ірландії з вимогою про припинення передачі даних до США на підставі стандартних договірних положень. Шремс запевняв, що в нього відсутні гарантії захисту своїх даних так як їх продовжують передавати та на розташовані в США сервери. Оскільки компанія «Facebook Inc.» підпорядковується американським законам, то вона зобов’язана розкрити персональні дані американським правоохоронним органам. </w:t>
      </w:r>
    </w:p>
    <w:p w:rsidR="00000000" w:rsidDel="00000000" w:rsidP="00000000" w:rsidRDefault="00000000" w:rsidRPr="00000000" w14:paraId="00000171">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підставою передачі персональних даних є корпоративні права. Відповідно до права ЄС передача персональних даних на підставі обов’язкових корпоративних правил для міжнародних передач є допустимою, якщо ця передача відбувається в рамках однієї групи компаній або підприємств, які спільно займаються господарською діяльністю. Крім того, перш ніж обов'язкові корпоративні правила бути використані як основа для передачі персональних даних, компетентний контролюючий орган повинен підтвердити їх відповідність до визначених зобов'язальних корпоративних правил за допомогою механізму внутрішнього узгодженості.</w:t>
      </w:r>
    </w:p>
    <w:p w:rsidR="00000000" w:rsidDel="00000000" w:rsidP="00000000" w:rsidRDefault="00000000" w:rsidRPr="00000000" w14:paraId="00000172">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вже зазначалося, «передача персональних даних до третьої країни може бути правомірною навіть у разі відсутності рішення про відповідність чи відсутність таких гарантій, як стандартні договірні положення чи обов’язкові корпоративні правила, за будь-якої з наступних умов: </w:t>
      </w:r>
    </w:p>
    <w:p w:rsidR="00000000" w:rsidDel="00000000" w:rsidP="00000000" w:rsidRDefault="00000000" w:rsidRPr="00000000" w14:paraId="00000173">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надання суб’єктом даних явної згоди на передачу персональних даних;</w:t>
      </w:r>
    </w:p>
    <w:p w:rsidR="00000000" w:rsidDel="00000000" w:rsidP="00000000" w:rsidRDefault="00000000" w:rsidRPr="00000000" w14:paraId="00000174">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суб’єкт даних вступає або готується вступити в договірні правовідносини, для чого необхідна передача даних за кордон;</w:t>
      </w:r>
    </w:p>
    <w:p w:rsidR="00000000" w:rsidDel="00000000" w:rsidP="00000000" w:rsidRDefault="00000000" w:rsidRPr="00000000" w14:paraId="00000175">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укладення договору між контролером та третьою особою в інтересах суб’єкта даних;</w:t>
      </w:r>
    </w:p>
    <w:p w:rsidR="00000000" w:rsidDel="00000000" w:rsidP="00000000" w:rsidRDefault="00000000" w:rsidRPr="00000000" w14:paraId="00000176">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разі існування важливих цілей суспільного інтересу;</w:t>
      </w:r>
    </w:p>
    <w:p w:rsidR="00000000" w:rsidDel="00000000" w:rsidP="00000000" w:rsidRDefault="00000000" w:rsidRPr="00000000" w14:paraId="00000177">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формування, пред’явлення та захисту правових претензій;</w:t>
      </w:r>
    </w:p>
    <w:p w:rsidR="00000000" w:rsidDel="00000000" w:rsidP="00000000" w:rsidRDefault="00000000" w:rsidRPr="00000000" w14:paraId="00000178">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захисту життєво важливих інтересів суб’єктів даних;</w:t>
      </w:r>
    </w:p>
    <w:p w:rsidR="00000000" w:rsidDel="00000000" w:rsidP="00000000" w:rsidRDefault="00000000" w:rsidRPr="00000000" w14:paraId="00000179">
      <w:pPr>
        <w:numPr>
          <w:ilvl w:val="0"/>
          <w:numId w:val="12"/>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передачі даних з публічних реєстрів (це приклад переважного інтересу громадськості в тому, щоб мати доступ до інформації, яка зберігається в публічних реєстрах)» [40, с. 285].</w:t>
      </w:r>
    </w:p>
    <w:p w:rsidR="00000000" w:rsidDel="00000000" w:rsidP="00000000" w:rsidRDefault="00000000" w:rsidRPr="00000000" w14:paraId="0000017A">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жодна з наведених умов не використовується, і передача не може бути обґрунтована рішенням про відповідність або належними гарантіями, така передача може відбутися лише в тому випадку, якщо вона є одноразовою, здійснюється щодо обмеженої кількості даних і є необхідною у зв'язку з обґрунтованими легітимними інтересами контролера даних, при умові, що права суб'єктів даних не переважають.</w:t>
      </w:r>
    </w:p>
    <w:p w:rsidR="00000000" w:rsidDel="00000000" w:rsidP="00000000" w:rsidRDefault="00000000" w:rsidRPr="00000000" w14:paraId="0000017B">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сервісна компанія, яка має свою штаб-квартиру в США, забезпечує систему онлайн-бронювання для широкого спектру авіакомпаній, готелів і круїзів по всьому світу, обробляючи персональні дані десятків мільйонів осіб із країн Європейського Союзу. На етапі початкової передачі даних до серверів у США компанія посилається на відступ як на законну підставу для обробки у зв’язку із забезпеченням укладення договору. Таким чином, вона не забезпечує будь-яких додаткових гарантій для персональних даних з Європи, які передаються до США, а потім розподіляються серед ресурсів по всьому світу (іншими словами, жодних гарантій для подальших передач також). Тобто компанія не виконує вимог Регламенту щодо законної міжнародної передачі даних, після чого вона йде на відступ як на законну підставу для масових передач.</w:t>
      </w:r>
    </w:p>
    <w:p w:rsidR="00000000" w:rsidDel="00000000" w:rsidP="00000000" w:rsidRDefault="00000000" w:rsidRPr="00000000" w14:paraId="0000017C">
      <w:pPr>
        <w:spacing w:line="360" w:lineRule="auto"/>
        <w:ind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зазначене, можна окреслити наступні проблеми міжнародної передачі даних за допомогою потоку персональних даних:</w:t>
      </w:r>
    </w:p>
    <w:p w:rsidR="00000000" w:rsidDel="00000000" w:rsidP="00000000" w:rsidRDefault="00000000" w:rsidRPr="00000000" w14:paraId="0000017D">
      <w:pPr>
        <w:numPr>
          <w:ilvl w:val="0"/>
          <w:numId w:val="4"/>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єдиного міжнародного стандарту у сфері захисту персональних даних та різниці в правових підходах між країнами можуть ускладнити процес передачі даних;</w:t>
      </w:r>
    </w:p>
    <w:p w:rsidR="00000000" w:rsidDel="00000000" w:rsidP="00000000" w:rsidRDefault="00000000" w:rsidRPr="00000000" w14:paraId="0000017E">
      <w:pPr>
        <w:numPr>
          <w:ilvl w:val="0"/>
          <w:numId w:val="4"/>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держави мають власні законодавчі стандарти та вимоги щодо захисту приватності, що створює конфлікти та ускладнює процес перенесення та захисту персональних даних;</w:t>
      </w:r>
    </w:p>
    <w:p w:rsidR="00000000" w:rsidDel="00000000" w:rsidP="00000000" w:rsidRDefault="00000000" w:rsidRPr="00000000" w14:paraId="0000017F">
      <w:pPr>
        <w:numPr>
          <w:ilvl w:val="0"/>
          <w:numId w:val="4"/>
        </w:numPr>
        <w:spacing w:line="360" w:lineRule="auto"/>
        <w:ind w:left="0" w:right="289"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ефективних механізмів узгодження між країнами у сфері обробки та передачі даних стали на заваді ефективного судового захисту.</w:t>
      </w:r>
    </w:p>
    <w:p w:rsidR="00000000" w:rsidDel="00000000" w:rsidP="00000000" w:rsidRDefault="00000000" w:rsidRPr="00000000" w14:paraId="00000180">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1">
      <w:pPr>
        <w:spacing w:line="360" w:lineRule="auto"/>
        <w:ind w:firstLine="708"/>
        <w:jc w:val="both"/>
        <w:rPr>
          <w:rFonts w:ascii="Times New Roman" w:cs="Times New Roman" w:eastAsia="Times New Roman" w:hAnsi="Times New Roman"/>
          <w:b w:val="1"/>
          <w:sz w:val="28"/>
          <w:szCs w:val="28"/>
        </w:rPr>
      </w:pPr>
      <w:bookmarkStart w:colFirst="0" w:colLast="0" w:name="_heading=h.4f1mdlm" w:id="19"/>
      <w:bookmarkEnd w:id="19"/>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182">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та застосування положень Закону України «Про захист персональних даних» [12] зазнає низку проблем, які потребують уваги та вдосконалення. Зокрема, існують неоднозначності та невизначеності в розумінні та тлумаченні його положень судами. Головною причиною недоліків є не стільки відсутність належного регулювання (оскільки суди можуть використовувати аналогічні положення інших законів, які стосуються інформаційних відносин), але й колізійні аспекти регулювання одних правовідносин, зокрема процедур, різних за юридичною силою норм. Зокрема, виникає плутанина в правовому статусі публічної інформації та персональних даних в різних справах. Ця ситуація вимагає не лише перегляду Закону України «Про захист персональних даних» [12], але й інших відповідних законів, що регулюють схожі правовідносини. </w:t>
      </w:r>
    </w:p>
    <w:p w:rsidR="00000000" w:rsidDel="00000000" w:rsidP="00000000" w:rsidRDefault="00000000" w:rsidRPr="00000000" w14:paraId="00000184">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Виявлено, що суди часто звертаються до міжнародних стандартів захисту персональних даних, проте це застосування іноді може бути формальним, обмежуючись цитуванням міжнародних договорів або практики Європейського суду з прав людини. Важливо відзначити, що це вимагає додаткових заходів для розвитку відповідних знань, вмінь та навичок у суддів. Іншою проблемою є те, що застосування законодавства про захист персональних даних стає більш систематичним, але аргументація рішень судів не завжди є достатньою та обґрунтованою. У визначенні меж втручання держави в приватне життя особи важливо не лише докладно вивчити обставини справи, але й правильно оцінити їх, що має відображатися в мотивації судового рішення.</w:t>
      </w:r>
      <w:r w:rsidDel="00000000" w:rsidR="00000000" w:rsidRPr="00000000">
        <w:rPr>
          <w:rtl w:val="0"/>
        </w:rPr>
      </w:r>
    </w:p>
    <w:p w:rsidR="00000000" w:rsidDel="00000000" w:rsidP="00000000" w:rsidRDefault="00000000" w:rsidRPr="00000000" w14:paraId="0000018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однією з проблем є невизначеність у розмежуванні між публічною і приватною сферами у судових рішеннях. Судові рішення, які стосуються осіб або компаній, часто містять персональні дані. Недостатня визначеність щодо обсягу інформації, яка може бути оприлюднена, може призводити до неправомірного порушення приватності та не відповідати сучасним стандартам захисту особистої інформації.</w:t>
      </w:r>
    </w:p>
    <w:p w:rsidR="00000000" w:rsidDel="00000000" w:rsidP="00000000" w:rsidRDefault="00000000" w:rsidRPr="00000000" w14:paraId="0000018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важливо розглянути проблеми технологічного характеру, такі як недостатність заходів безпеки при обробці та зберіганні судових даних. Це може ставити під загрозу конфіденційність інформації та відкривати можливості для незаконного доступу до особистих даних.</w:t>
      </w:r>
    </w:p>
    <w:p w:rsidR="00000000" w:rsidDel="00000000" w:rsidP="00000000" w:rsidRDefault="00000000" w:rsidRPr="00000000" w14:paraId="0000018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покращення судової практики слід впроваджувати нові стандарти безпеки, а також активно вдосконалювати законодавство, зокрема, в частині регулювання обробки та розголошення персональних даних у судових рішеннях. Це дозволить ефективніше забезпечувати баланс між правом на інформацію та правом на приватність, зберігаючи високий ступінь законності та довіри до судової системи.</w:t>
      </w:r>
    </w:p>
    <w:p w:rsidR="00000000" w:rsidDel="00000000" w:rsidP="00000000" w:rsidRDefault="00000000" w:rsidRPr="00000000" w14:paraId="0000018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Недоліки та прогалини у судовій практиці, які виникають у зв'язку з конфліктом між правом на інформацію та правом на приватність, можна виділити в кількох ключових аспектах:</w:t>
      </w:r>
    </w:p>
    <w:p w:rsidR="00000000" w:rsidDel="00000000" w:rsidP="00000000" w:rsidRDefault="00000000" w:rsidRPr="00000000" w14:paraId="0000018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неоднозначність визначення обсягу публікації судових рішень. У судовій практиці часто спостерігається відсутність чіткої нормативної бази щодо того, яка саме інформація в судових рішеннях може вважатися публічною та яка підпадає під захист приватності. Неоднозначність у цьому питанні може вести до неправомірного розголошення особистих даних та порушувати права осіб;</w:t>
      </w:r>
    </w:p>
    <w:p w:rsidR="00000000" w:rsidDel="00000000" w:rsidP="00000000" w:rsidRDefault="00000000" w:rsidRPr="00000000" w14:paraId="0000018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недостатня захищеність персональних даних. В сучасному цифровому середовищі зростає загроза для безпеки персональних даних у судових справах. Недостатні заходи з кіберзахисту можуть призводити до неправомірного доступу до конфіденційної інформації та порушувати приватність сторін;</w:t>
      </w:r>
    </w:p>
    <w:p w:rsidR="00000000" w:rsidDel="00000000" w:rsidP="00000000" w:rsidRDefault="00000000" w:rsidRPr="00000000" w14:paraId="0000018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відсутність єдиного підходу до балансу між правом на інформацію та правом на приватність. В різних юрисдикціях та судових системах відсутній єдиний стандарт або чіткі критерії для вирішення конфлікту між правом на інформацію та правом на приватність. Це може призводити до непередбачуваності в рішеннях та спорів щодо інтерпретації законодавства;</w:t>
      </w:r>
    </w:p>
    <w:p w:rsidR="00000000" w:rsidDel="00000000" w:rsidP="00000000" w:rsidRDefault="00000000" w:rsidRPr="00000000" w14:paraId="0000018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відсутність чітких механізмів анонімізації та обмеження доступу. У судовій практиці недостатньо ефективний механізм анонімізації особистих даних та обмеження доступу до чутливої інформації, що може призводити до неправомірного розголошення особистих даних учасників судового процесу. </w:t>
      </w:r>
    </w:p>
    <w:p w:rsidR="00000000" w:rsidDel="00000000" w:rsidP="00000000" w:rsidRDefault="00000000" w:rsidRPr="00000000" w14:paraId="0000018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цих недоліків необхідно удосконалити законодавство, розробити чіткі стандарти щодо обробки і розголошення інформації у судових рішеннях, а також впровадити сучасні технологічні рішення для захисту персональних даних та забезпечення балансу між правом на інформацію та правом на приватність. </w:t>
      </w:r>
    </w:p>
    <w:p w:rsidR="00000000" w:rsidDel="00000000" w:rsidP="00000000" w:rsidRDefault="00000000" w:rsidRPr="00000000" w14:paraId="0000018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F">
      <w:pPr>
        <w:rPr>
          <w:rFonts w:ascii="Times New Roman" w:cs="Times New Roman" w:eastAsia="Times New Roman" w:hAnsi="Times New Roman"/>
          <w:b w:val="1"/>
          <w:sz w:val="28"/>
          <w:szCs w:val="28"/>
        </w:rPr>
      </w:pPr>
      <w:bookmarkStart w:colFirst="0" w:colLast="0" w:name="_heading=h.2u6wntf" w:id="20"/>
      <w:bookmarkEnd w:id="20"/>
      <w:r w:rsidDel="00000000" w:rsidR="00000000" w:rsidRPr="00000000">
        <w:br w:type="page"/>
      </w:r>
      <w:r w:rsidDel="00000000" w:rsidR="00000000" w:rsidRPr="00000000">
        <w:rPr>
          <w:rtl w:val="0"/>
        </w:rPr>
      </w:r>
    </w:p>
    <w:p w:rsidR="00000000" w:rsidDel="00000000" w:rsidP="00000000" w:rsidRDefault="00000000" w:rsidRPr="00000000" w14:paraId="00000190">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191">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ПРОБЛЕМИ ПРАВОЗАСТОСОВНОЇ ДІЯЛЬНОСТІ У СФЕРІ ЗАХИСТУ ПЕРСОНАЛЬНИХ ДАНИХ</w:t>
      </w:r>
    </w:p>
    <w:p w:rsidR="00000000" w:rsidDel="00000000" w:rsidP="00000000" w:rsidRDefault="00000000" w:rsidRPr="00000000" w14:paraId="00000192">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3">
      <w:pPr>
        <w:spacing w:line="360" w:lineRule="auto"/>
        <w:ind w:right="7" w:firstLine="708"/>
        <w:jc w:val="both"/>
        <w:rPr>
          <w:rFonts w:ascii="Times New Roman" w:cs="Times New Roman" w:eastAsia="Times New Roman" w:hAnsi="Times New Roman"/>
          <w:b w:val="1"/>
          <w:sz w:val="28"/>
          <w:szCs w:val="28"/>
        </w:rPr>
      </w:pPr>
      <w:bookmarkStart w:colFirst="0" w:colLast="0" w:name="_heading=h.19c6y18" w:id="21"/>
      <w:bookmarkEnd w:id="21"/>
      <w:r w:rsidDel="00000000" w:rsidR="00000000" w:rsidRPr="00000000">
        <w:rPr>
          <w:rFonts w:ascii="Times New Roman" w:cs="Times New Roman" w:eastAsia="Times New Roman" w:hAnsi="Times New Roman"/>
          <w:b w:val="1"/>
          <w:sz w:val="28"/>
          <w:szCs w:val="28"/>
          <w:rtl w:val="0"/>
        </w:rPr>
        <w:t xml:space="preserve">3.1. Роль судової системи у забезпеченні захисту персональних даних.</w:t>
      </w:r>
    </w:p>
    <w:p w:rsidR="00000000" w:rsidDel="00000000" w:rsidP="00000000" w:rsidRDefault="00000000" w:rsidRPr="00000000" w14:paraId="00000194">
      <w:pPr>
        <w:spacing w:line="360" w:lineRule="auto"/>
        <w:ind w:right="7"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останні десятиліття персональні дані стали однією з найцінніших сфер в сучасному інформаційному суспільстві. У цьому контексті судова система виступає важливим інструментом, забезпечуючи ефективний механізм захисту персональних даних громадян.</w:t>
      </w:r>
    </w:p>
    <w:p w:rsidR="00000000" w:rsidDel="00000000" w:rsidP="00000000" w:rsidRDefault="00000000" w:rsidRPr="00000000" w14:paraId="0000019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Категорія захисту персональних даних багатозначна та специфічна, зокрема її можна розглядати як:</w:t>
      </w:r>
    </w:p>
    <w:p w:rsidR="00000000" w:rsidDel="00000000" w:rsidP="00000000" w:rsidRDefault="00000000" w:rsidRPr="00000000" w14:paraId="00000197">
      <w:pPr>
        <w:numPr>
          <w:ilvl w:val="0"/>
          <w:numId w:val="1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окреме особисте немайнове право особи; </w:t>
      </w:r>
    </w:p>
    <w:p w:rsidR="00000000" w:rsidDel="00000000" w:rsidP="00000000" w:rsidRDefault="00000000" w:rsidRPr="00000000" w14:paraId="00000198">
      <w:pPr>
        <w:numPr>
          <w:ilvl w:val="0"/>
          <w:numId w:val="1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частину забезпечення права на повагу до приватного життя; </w:t>
      </w:r>
    </w:p>
    <w:p w:rsidR="00000000" w:rsidDel="00000000" w:rsidP="00000000" w:rsidRDefault="00000000" w:rsidRPr="00000000" w14:paraId="00000199">
      <w:pPr>
        <w:numPr>
          <w:ilvl w:val="0"/>
          <w:numId w:val="1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гарантію забезпечення інформаційної безпеки в глобальному контексті; </w:t>
      </w:r>
    </w:p>
    <w:p w:rsidR="00000000" w:rsidDel="00000000" w:rsidP="00000000" w:rsidRDefault="00000000" w:rsidRPr="00000000" w14:paraId="0000019A">
      <w:pPr>
        <w:numPr>
          <w:ilvl w:val="0"/>
          <w:numId w:val="13"/>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окремий інститут інформаційного права тощо. </w:t>
      </w:r>
    </w:p>
    <w:p w:rsidR="00000000" w:rsidDel="00000000" w:rsidP="00000000" w:rsidRDefault="00000000" w:rsidRPr="00000000" w14:paraId="0000019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проблем, з якими стикається судова система у вирішенні справ в яких порушено право особи на захист персональних даних модна виділити такі чинники:</w:t>
      </w:r>
    </w:p>
    <w:p w:rsidR="00000000" w:rsidDel="00000000" w:rsidP="00000000" w:rsidRDefault="00000000" w:rsidRPr="00000000" w14:paraId="0000019C">
      <w:pPr>
        <w:numPr>
          <w:ilvl w:val="0"/>
          <w:numId w:val="20"/>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неоднозначність поняття «захист персональних даних», про яке вже йшлося в попередніх розділах;</w:t>
      </w:r>
    </w:p>
    <w:p w:rsidR="00000000" w:rsidDel="00000000" w:rsidP="00000000" w:rsidRDefault="00000000" w:rsidRPr="00000000" w14:paraId="0000019D">
      <w:pPr>
        <w:numPr>
          <w:ilvl w:val="0"/>
          <w:numId w:val="20"/>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характер правовідносин, що проявляється у тісному взаємозв’язку з приватним життям, «що вимагає від законодавця зважати на моральні засади суспільства, уявлення осіб про межі допустимості втручання держави у сферу персональних даних навіть з метою їх захисту» [46]; </w:t>
      </w:r>
    </w:p>
    <w:p w:rsidR="00000000" w:rsidDel="00000000" w:rsidP="00000000" w:rsidRDefault="00000000" w:rsidRPr="00000000" w14:paraId="0000019E">
      <w:pPr>
        <w:numPr>
          <w:ilvl w:val="0"/>
          <w:numId w:val="20"/>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євроінтеграція, яка вимагає внесення змін в чинне національне законодавство в цій сфері;</w:t>
      </w:r>
    </w:p>
    <w:p w:rsidR="00000000" w:rsidDel="00000000" w:rsidP="00000000" w:rsidRDefault="00000000" w:rsidRPr="00000000" w14:paraId="0000019F">
      <w:pPr>
        <w:numPr>
          <w:ilvl w:val="0"/>
          <w:numId w:val="20"/>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динамічний розвиток технологій, який вимагає постійного перегляду як ефективності діючих норм так і внесення до них змін, а також застосування нових практик, з огляду на те, що міжнародне законодавство в сфері захисту персональних даних значно швидше підластовуєть під сьогоденні реалії.</w:t>
      </w:r>
    </w:p>
    <w:p w:rsidR="00000000" w:rsidDel="00000000" w:rsidP="00000000" w:rsidRDefault="00000000" w:rsidRPr="00000000" w14:paraId="000001A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Судова система встановлює прецеденти, які визначають стандарти та правила захисту персональних даних. Рішення судів у справах, пов'язаних із захистом даних, стають важливими орієнтирами для організацій та громадян. Це робить суди ключовим інструментом у формуванні правової практики та розвитку правового середовища щодо персональних даних.</w:t>
      </w:r>
    </w:p>
    <w:p w:rsidR="00000000" w:rsidDel="00000000" w:rsidP="00000000" w:rsidRDefault="00000000" w:rsidRPr="00000000" w14:paraId="000001A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ролей судової системи є тлумачення та застосування законодавства, що регулює захист персональних даних. Зокрема, якщо розглядати рішення Конституційного Суду, но слід звернути увагу на тлумачення права на захист персональних даних закріплених в ст. 32 Конституції України.</w:t>
      </w:r>
    </w:p>
    <w:p w:rsidR="00000000" w:rsidDel="00000000" w:rsidP="00000000" w:rsidRDefault="00000000" w:rsidRPr="00000000" w14:paraId="000001A2">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рішенні Конституційного Суду №2-рп/2012 від 20.01.2012 року було надано офіційне тлумачення ст. 32 та ст. 34 Конституції України [11], в контексті яких було вирішено, що «інформацією про особисте та сімейне життя особи є будь-які відомості та/або дані про відносини немайнового та майнового характеру, обставини, події, стосунки тощо, пов’язані з особою та членами її сім’ї, за винятком передбаченої законами інформації, що стосується здійснення особою, яка займає посаду, пов’язану з виконанням функцій держави або органів місцевого самоврядування, посадових або службових повноважень. Така інформація про особу є конфіденційною; та збирання, зберігання, використання та поширення конфіденційної інформації про особу без її згоди державою, органами місцевого самоврядування, юридичними або фізичними особами є втручанням в її особисте та сімейне життя. Таке втручання допускається винятково у випадках, визначених законом, і лише в інтересах національної безпеки, економічного добробуту та прав людини» [45]. </w:t>
      </w:r>
    </w:p>
    <w:p w:rsidR="00000000" w:rsidDel="00000000" w:rsidP="00000000" w:rsidRDefault="00000000" w:rsidRPr="00000000" w14:paraId="000001A3">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рішенні Конституційного суду № 7-р/2018 від 11.10.2018 було зазначено, що «положення Бюджетного кодексу України щодо права Міністерства фінансів безоплатно отримувати від органів публічної влади інформацію з персональними даними не відповідає конституційному принципу верховенства права та статті 32 Конституції, оскільки не окреслює межі дискреції Міністерства фінансів (не передбачено критеріїв визначення змісту та обсягу інформації з персональними даними, категорій осіб як суб’єктів персональних даних, строків, порядку та умов їх зберігання), що унеможливлює настання відповідальності держави за можливі зловживання» [47].</w:t>
      </w:r>
    </w:p>
    <w:p w:rsidR="00000000" w:rsidDel="00000000" w:rsidP="00000000" w:rsidRDefault="00000000" w:rsidRPr="00000000" w14:paraId="000001A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Палата Верховного Суду у зразковій справі №806/3265/17 зазначила, що «законодавством не врегульовується питання щодо наслідків відмови особи від обробки її персональних даних» [48], таким чином відсутня будь-яка альтернатива вибору, що демонструє низький рівень якості законодавства та призводить до порушення конституційних прав людини.</w:t>
      </w:r>
    </w:p>
    <w:p w:rsidR="00000000" w:rsidDel="00000000" w:rsidP="00000000" w:rsidRDefault="00000000" w:rsidRPr="00000000" w14:paraId="000001A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1987 році ЄСПЛ виніс перше рішення у сфері доступу до публічної інформації. У справі «Леандер проти Швеції» його правова позиція, стала стандартом у цій сфері: «право на свободу одержувати інформацію, в основному, забороняє Уряду встановлювати будь-якій особі обмеження одержувати інформацію, яку інші особи бажають або можуть бажати повідомити йому. Враховуючи обставини нинішньої справи, стаття 10 не дає приватній особі право на доступ до реєстру, який містить інформацію про її особистий стан, і не покладає на Уряд зобов’язання повідомляти цю інформацію приватній особі» [49]. Таким чином, Суд прямо зазначив, що відповідно до Конвенції на держави не покладається обов’язок забезпечувати доступ до інформації, яка перебуває у їх володінні. З того часу судова практика змінювалася, все більше приділяючи увагу ролі журналістів, ЗМІ та громадських організацій у розголошенні та поширенні важливої ​​суспільної інформації, визнаючи їх функцію «вартового» демократичного суспільства. </w:t>
      </w:r>
    </w:p>
    <w:p w:rsidR="00000000" w:rsidDel="00000000" w:rsidP="00000000" w:rsidRDefault="00000000" w:rsidRPr="00000000" w14:paraId="000001A6">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«Остаточно відповідь на запитання, у яких випадках Суд захищатиме право на доступ до публічної інформації, було надано у 2016 році, коли Велика Палата Європейського суду з прав людини винесла рішення у справі «Угорський Гельсінський комітет проти Угорщини» [50]. У ньому Суд узагальнив свою практику у справах із доступу до публічної інформації» [51] та визначив чотири критерії, відповідно до яких обмеження доступу до інформації може оцінюватись як порушення статті 10 Конвенції: </w:t>
      </w:r>
    </w:p>
    <w:p w:rsidR="00000000" w:rsidDel="00000000" w:rsidP="00000000" w:rsidRDefault="00000000" w:rsidRPr="00000000" w14:paraId="000001A7">
      <w:pPr>
        <w:numPr>
          <w:ilvl w:val="0"/>
          <w:numId w:val="7"/>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запитувача; </w:t>
      </w:r>
    </w:p>
    <w:p w:rsidR="00000000" w:rsidDel="00000000" w:rsidP="00000000" w:rsidRDefault="00000000" w:rsidRPr="00000000" w14:paraId="000001A8">
      <w:pPr>
        <w:numPr>
          <w:ilvl w:val="0"/>
          <w:numId w:val="7"/>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природа (характер) інформації;</w:t>
      </w:r>
    </w:p>
    <w:p w:rsidR="00000000" w:rsidDel="00000000" w:rsidP="00000000" w:rsidRDefault="00000000" w:rsidRPr="00000000" w14:paraId="000001A9">
      <w:pPr>
        <w:numPr>
          <w:ilvl w:val="0"/>
          <w:numId w:val="7"/>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запитувача;</w:t>
      </w:r>
    </w:p>
    <w:p w:rsidR="00000000" w:rsidDel="00000000" w:rsidP="00000000" w:rsidRDefault="00000000" w:rsidRPr="00000000" w14:paraId="000001AA">
      <w:pPr>
        <w:numPr>
          <w:ilvl w:val="0"/>
          <w:numId w:val="7"/>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готова та доступна інформація. </w:t>
      </w:r>
    </w:p>
    <w:p w:rsidR="00000000" w:rsidDel="00000000" w:rsidP="00000000" w:rsidRDefault="00000000" w:rsidRPr="00000000" w14:paraId="000001A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показним є рішення «Центр демократії та верховенства права проти України» [52]. </w:t>
      </w:r>
    </w:p>
    <w:p w:rsidR="00000000" w:rsidDel="00000000" w:rsidP="00000000" w:rsidRDefault="00000000" w:rsidRPr="00000000" w14:paraId="000001A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Громадська організація «Центр демократії та верховенства права» оскаржувала відмову Центральної виборчої комісії (далі – ЦВК) про надання копій автобіографій кандидатів у народні депутати – лідерів виборчих списків 6 політичних партій (Юлії Тимошенко, Віталія Кличка, Олега Ляшка. Юрія Бойко, Арсенія Яценюка та Ганни Бойко), які перемогли на виборах до Верховної Ради України у 2014 році. Національними судами всіх інстанцій було визначено, що запитувана інформація є конфіденційною. </w:t>
      </w:r>
    </w:p>
    <w:p w:rsidR="00000000" w:rsidDel="00000000" w:rsidP="00000000" w:rsidRDefault="00000000" w:rsidRPr="00000000" w14:paraId="000001A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інформації, що вже була опублікована на сайті ЦВК, автобіографії містили інформацію про: освіту, трудову діяльність, громадську роботу, у тому числі на виборних посадах), склад сім’ї, дату та місце народження, адресу місця проживання та номер телефону кандидата.</w:t>
      </w:r>
    </w:p>
    <w:p w:rsidR="00000000" w:rsidDel="00000000" w:rsidP="00000000" w:rsidRDefault="00000000" w:rsidRPr="00000000" w14:paraId="000001AE">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питання, яке належить розв’язати Судові, полягає в тому, чи не була відмова організації-заявниці в наданні інформації про освіту та трудову діяльність (разом з трудовою діяльністю в державних установах), яку політичні лідери внесли до своїх офіційних автобіографій, наданих ЦВК у межах виборчого процесу, втручанням та порушенням права організації-заявниці, що передбачено статтею 10 Конвенції» [52].</w:t>
      </w:r>
    </w:p>
    <w:p w:rsidR="00000000" w:rsidDel="00000000" w:rsidP="00000000" w:rsidRDefault="00000000" w:rsidRPr="00000000" w14:paraId="000001AF">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інформація про склад сім’ї мала бути оприлюднена вже як частина декларації про доходи та майно, крім того громадська організація могла зрозуміти, що адреси та номери телефонів кандидатів не підлягають розголошенню, Суд визнав, що відмова надати цю інформацію є прямим порушенням статті 10. У своєму рішенні Суд зазначив, що «оприлюднена інформація розкрила лише їхнє поточне становище на момент реєстрації в кандидати, але не інформацію про їхню трудову діяльність. У цих документах вказано, що вони мали вищу освіту, але в них не вказано ні назви вищого навчального закладу, ні спеціальності. Отже, найцінніша інформація, що стосується освіти та трудової діяльності, була обмежена. Період одразу після виборів був все ще неспокійний і це привернуло велику увагу громадськості. Лідери партійних списків переважно займали керівні посади. Вибори 2014 року відбулися після подій Євромайдану, в яких парламент відіграв певну роль. Тому новообрані народні депутати привернули особливу увагу. Тож інформація пройшла перевірку на відповідність суспільним інтересам» [52]. Зокрема, Суд виходив з того, що організація-заявниця має великий громадський вплив та «хотіла «привернути увагу до питань, що становлять суспільний інтерес, а також ініціювати та розвивати платформу для публічної політичної дискусії», таким чином, виконуючи свою роль «наглядача» [52].</w:t>
      </w:r>
    </w:p>
    <w:p w:rsidR="00000000" w:rsidDel="00000000" w:rsidP="00000000" w:rsidRDefault="00000000" w:rsidRPr="00000000" w14:paraId="000001B0">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суди апелювали тим фактом, що інформація про місце проживання та номери телефонів є конфіденційною інформацією. Однак у своїх доводах до ЄСПЛ громадська організація зазначила, що «організація-заявник могла зрозуміти необхідність захисту адрес місця проживання та номерів телефонів, які містилися в автобіографіях, але для захисту таких відомостей їх могли заретушувати» [52]. Тобто якби громадська організація конкретизувала свій запит, або національні суди розглядали не сукупно всю зазначену в автобіографії інформацію, то потреби у зверненні до ЄСПЛ не було б. В даному випадку через недосконалість аналізу та трактування рішень ЄСПЛ національними суда було порушено право громадської організації на доступ до інформації. </w:t>
      </w:r>
    </w:p>
    <w:p w:rsidR="00000000" w:rsidDel="00000000" w:rsidP="00000000" w:rsidRDefault="00000000" w:rsidRPr="00000000" w14:paraId="000001B1">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Наукові дослідження та аналіз передових судових рішень допомагають розуміти, як судова система впливає на захист персональних даних. Наприклад, рішення Європейського Суду з прав людини щодо справи «Big Brother Watch and Others проти Сполученого Королівства» (об’єднані справи 58170/13, 62322/14 and 24960/15) [53] визначило, що масовий моніторинг комунікацій порушує право на приватне та сімейне життя. В справах йдеться про проведення спецслужбами цих країн масового перехоплення повідомлень (електронних листів, телефонних розмов тощо) в рамках розвідувальної діяльності. Зокрема, основні висновки Суду наступні:</w:t>
      </w:r>
    </w:p>
    <w:p w:rsidR="00000000" w:rsidDel="00000000" w:rsidP="00000000" w:rsidRDefault="00000000" w:rsidRPr="00000000" w14:paraId="000001B2">
      <w:pPr>
        <w:numPr>
          <w:ilvl w:val="0"/>
          <w:numId w:val="22"/>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будь-якому рівні дослідження перехоплених даних існує втручання в особисте життя в розумінні статті 8 Конвенції. Це стосується навіть звичайного зберігання персональних даних.</w:t>
      </w:r>
    </w:p>
    <w:p w:rsidR="00000000" w:rsidDel="00000000" w:rsidP="00000000" w:rsidRDefault="00000000" w:rsidRPr="00000000" w14:paraId="000001B3">
      <w:pPr>
        <w:numPr>
          <w:ilvl w:val="0"/>
          <w:numId w:val="22"/>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законодавство повинно обов’язково чітко встановлювати такі гарантії: ліміт тривалості перехоплення, процедуру збереження, вивчення, аналізу перехоплених повідомлень, заходи захисту даних при передачі іншим сторонам, а також випадки, коли перехоплені дані повинні бути видалені. </w:t>
      </w:r>
    </w:p>
    <w:p w:rsidR="00000000" w:rsidDel="00000000" w:rsidP="00000000" w:rsidRDefault="00000000" w:rsidRPr="00000000" w14:paraId="000001B4">
      <w:pPr>
        <w:numPr>
          <w:ilvl w:val="0"/>
          <w:numId w:val="22"/>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державному рівні повинен існувати незалежний від виконавчої влади орган, який здійснюватиме нагляд за перехопленням даних і подальшими операціями з ними. Саме цей орган визначатиме, чи потрібно перехоплювати дані, чи можна їх зберігати, досліджувати тощо. </w:t>
      </w:r>
    </w:p>
    <w:p w:rsidR="00000000" w:rsidDel="00000000" w:rsidP="00000000" w:rsidRDefault="00000000" w:rsidRPr="00000000" w14:paraId="000001B5">
      <w:pPr>
        <w:numPr>
          <w:ilvl w:val="0"/>
          <w:numId w:val="22"/>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іноземним спецслужбам може передаватися лише та інформація, яку зібрано у відповідності до Конвенції. Більше того, внутрішнє законодавство країн повинне передбачати обставини, за яких інформацію можна передавати. </w:t>
      </w:r>
    </w:p>
    <w:p w:rsidR="00000000" w:rsidDel="00000000" w:rsidP="00000000" w:rsidRDefault="00000000" w:rsidRPr="00000000" w14:paraId="000001B6">
      <w:pPr>
        <w:numPr>
          <w:ilvl w:val="0"/>
          <w:numId w:val="22"/>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законодавство щодо масового перехоплення не гарантує надійного захисту конфіденційній журналістській інформації, зокрема журналістським джерелам. Небезпека полягає в тому, що в масі перехоплених даних можуть бути відомості про джерела журналістської інформації, які без жодного додаткового дозволу можуть розсекретити спецслужбовці» [54]. </w:t>
      </w:r>
    </w:p>
    <w:p w:rsidR="00000000" w:rsidDel="00000000" w:rsidP="00000000" w:rsidRDefault="00000000" w:rsidRPr="00000000" w14:paraId="000001B7">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важливих функцій судів є контроль за діяльністю органів інформаційної безпеки, які можуть здійснювати моніторинг та обробку персональних даних в інтересах національної безпеки. Суди визначають межі легітимності та необхідності таких дій, забезпечуючи баланс між захистом даних та національною безпекою.</w:t>
      </w:r>
    </w:p>
    <w:p w:rsidR="00000000" w:rsidDel="00000000" w:rsidP="00000000" w:rsidRDefault="00000000" w:rsidRPr="00000000" w14:paraId="000001B8">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суди співпрацюють з органами з охорони персональних даних та іншими регуляторами, забезпечуючи взаємодію у вирішенні питань щодо порушення правил обробки даних. Ця взаємодія допомагає ефективно здійснювати контроль за дотриманням організаціями встановлених стандартів.</w:t>
      </w:r>
    </w:p>
    <w:p w:rsidR="00000000" w:rsidDel="00000000" w:rsidP="00000000" w:rsidRDefault="00000000" w:rsidRPr="00000000" w14:paraId="000001B9">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Суд зазначив, що стаття 8 Конвенції накладає на Держави позитивний обов'язок забезпечувати своїх громадян правом на ефективний захист своєї фізичної та психологічної недоторканності Nitecki проти Польщі [55], Sentges проти Нідерландів [56], Одіювр проти Франції [57], Глеси (Glass) проти Сполученого Королівства [58]. Таке зобов'язання може включати в себе застосування конкретних заходів, в тому числі забезпечення ефективного та доступного способу захисту права на повагу до приватного життя (Ейрі (Airey) проти Ірландії [59]. Roche проти Сполученого Королівства (ВП) [60]. Такі заходи мають передбачати створення нової нормативно-правової бази судових та адміністративних механізмів, що захищають права фізичних осіб. (A, B та C проти Ірландії) [61]. </w:t>
      </w:r>
    </w:p>
    <w:p w:rsidR="00000000" w:rsidDel="00000000" w:rsidP="00000000" w:rsidRDefault="00000000" w:rsidRPr="00000000" w14:paraId="000001BA">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Судова система відіграє важливу роль у забезпеченні ефективного захисту персональних даних. Тлумачення законодавства, встановлення прецедентів та контроль за діяльністю різних суб'єктів є ключовими аспектами, які формують правове середовище та визначають стандарти в цій сфері. Тому постійний розвиток судової практики та співпраця з регуляторами є необхідними для ефективного захисту прав громадян.</w:t>
      </w:r>
    </w:p>
    <w:p w:rsidR="00000000" w:rsidDel="00000000" w:rsidP="00000000" w:rsidRDefault="00000000" w:rsidRPr="00000000" w14:paraId="000001BB">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Окреме питання слід приділити складності обробки особистої інформації в судових процесах. З цим пов'язані ризики порушення конфіденційності та можливості зловживання особистими даними учасників правосуддя. Оскільки технологічні та інформаційні інновації у сфері правосуддя призводять до виникнення нових викликів у забезпеченні належного захисту персональних даних, що вимагає не лише адаптації чинного законодавства, але й пошуку рішень. На фоні глобальних тенденцій зростання кількості кіберзлочинів та порушення кібербезпеки, важливо зазначити, що впровадження електронних систем у процес судового розгляду має відбуватися з використанням найкращих засобів шифрування.</w:t>
      </w:r>
    </w:p>
    <w:p w:rsidR="00000000" w:rsidDel="00000000" w:rsidP="00000000" w:rsidRDefault="00000000" w:rsidRPr="00000000" w14:paraId="000001B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до проблем, які можуть виникнути, належать:</w:t>
      </w:r>
    </w:p>
    <w:p w:rsidR="00000000" w:rsidDel="00000000" w:rsidP="00000000" w:rsidRDefault="00000000" w:rsidRPr="00000000" w14:paraId="000001BD">
      <w:pPr>
        <w:numPr>
          <w:ilvl w:val="0"/>
          <w:numId w:val="10"/>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недостатня конфіденційність, через що існує ризик неправомірного доступу до особистої інформації учасників судових процесів, що може порушити їхні права на приватність.</w:t>
      </w:r>
    </w:p>
    <w:p w:rsidR="00000000" w:rsidDel="00000000" w:rsidP="00000000" w:rsidRDefault="00000000" w:rsidRPr="00000000" w14:paraId="000001BE">
      <w:pPr>
        <w:numPr>
          <w:ilvl w:val="0"/>
          <w:numId w:val="10"/>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кіберзагрози та кіберзлочини, що можуть призвести до витоку персональних даних.</w:t>
      </w:r>
    </w:p>
    <w:p w:rsidR="00000000" w:rsidDel="00000000" w:rsidP="00000000" w:rsidRDefault="00000000" w:rsidRPr="00000000" w14:paraId="000001BF">
      <w:pPr>
        <w:numPr>
          <w:ilvl w:val="0"/>
          <w:numId w:val="10"/>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несприятливий вплив технологічних інновацій, шляхом використання нових технологій, таких як штучний інтелект та аналітика даних, які можуть створити нові ризики для захисту особистої інформації.</w:t>
      </w:r>
    </w:p>
    <w:p w:rsidR="00000000" w:rsidDel="00000000" w:rsidP="00000000" w:rsidRDefault="00000000" w:rsidRPr="00000000" w14:paraId="000001C0">
      <w:pPr>
        <w:numPr>
          <w:ilvl w:val="0"/>
          <w:numId w:val="10"/>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нестача нормативної бази, зокрема, відсутність ефективних нормативно-правових актів, орієнтованих на сьогодення у сфері захисту персональних даних у судових процесах.</w:t>
      </w:r>
    </w:p>
    <w:p w:rsidR="00000000" w:rsidDel="00000000" w:rsidP="00000000" w:rsidRDefault="00000000" w:rsidRPr="00000000" w14:paraId="000001C1">
      <w:pPr>
        <w:spacing w:line="360" w:lineRule="auto"/>
        <w:ind w:right="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2">
      <w:pPr>
        <w:spacing w:line="360" w:lineRule="auto"/>
        <w:ind w:right="7" w:firstLine="708"/>
        <w:jc w:val="both"/>
        <w:rPr>
          <w:rFonts w:ascii="Times New Roman" w:cs="Times New Roman" w:eastAsia="Times New Roman" w:hAnsi="Times New Roman"/>
          <w:b w:val="1"/>
          <w:sz w:val="28"/>
          <w:szCs w:val="28"/>
        </w:rPr>
      </w:pPr>
      <w:bookmarkStart w:colFirst="0" w:colLast="0" w:name="_heading=h.3tbugp1" w:id="22"/>
      <w:bookmarkEnd w:id="22"/>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1C3">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для вирішення проблем у сфері захисту персональних даних при здійсненні правосуддя необхідно розробити та впровадити універсальні та сучасні правові норми, що регулюватимуть захист персональних даних у судових процесах. Наприклад, запровадити обов’язкові моіторинг та аудит систем безпеки та обробки персональних даних з метою визначення слабких місць та окреслення ризиків, пов’язаних з можливим витоком персональних даних. </w:t>
      </w:r>
    </w:p>
    <w:p w:rsidR="00000000" w:rsidDel="00000000" w:rsidP="00000000" w:rsidRDefault="00000000" w:rsidRPr="00000000" w14:paraId="000001C5">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передбачити вимоги до поняття захисту персональних даних. Зокрема, в КУпАП передбачити вимогу щодо обов’язку вжити заходів для визначення необхідного рівня захисту персональних даних, оскільки окремі порушення положень Закону мають кваліфікуватись як окремі правопорушення у сфері законодавства про захист персональних даних. Зокрема, можна виокремити наступні кваліфікації:</w:t>
      </w:r>
    </w:p>
    <w:p w:rsidR="00000000" w:rsidDel="00000000" w:rsidP="00000000" w:rsidRDefault="00000000" w:rsidRPr="00000000" w14:paraId="000001C6">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неповідомлення власника інформації про обробку його персональних даних;</w:t>
      </w:r>
    </w:p>
    <w:p w:rsidR="00000000" w:rsidDel="00000000" w:rsidP="00000000" w:rsidRDefault="00000000" w:rsidRPr="00000000" w14:paraId="000001C7">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незаконне поширення та обробка персональних даних, що не пов’язана з порушенням порядку захисту персональних даних;</w:t>
      </w:r>
    </w:p>
    <w:p w:rsidR="00000000" w:rsidDel="00000000" w:rsidP="00000000" w:rsidRDefault="00000000" w:rsidRPr="00000000" w14:paraId="000001C8">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в наданні доступу особистих персональних даних; </w:t>
      </w:r>
    </w:p>
    <w:p w:rsidR="00000000" w:rsidDel="00000000" w:rsidP="00000000" w:rsidRDefault="00000000" w:rsidRPr="00000000" w14:paraId="000001C9">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надання неповних відомостей або надання відповіді з порушенням визначених Законом строків;</w:t>
      </w:r>
    </w:p>
    <w:p w:rsidR="00000000" w:rsidDel="00000000" w:rsidP="00000000" w:rsidRDefault="00000000" w:rsidRPr="00000000" w14:paraId="000001CA">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ненадання відомостей щодо порядку доступу та обробки персональних даних;</w:t>
      </w:r>
    </w:p>
    <w:p w:rsidR="00000000" w:rsidDel="00000000" w:rsidP="00000000" w:rsidRDefault="00000000" w:rsidRPr="00000000" w14:paraId="000001CB">
      <w:pPr>
        <w:numPr>
          <w:ilvl w:val="0"/>
          <w:numId w:val="21"/>
        </w:numPr>
        <w:spacing w:line="360" w:lineRule="auto"/>
        <w:ind w:left="720" w:right="7" w:hanging="10.99999999999994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змінити/видалити персональні дані, що не відповідають дійсності.</w:t>
      </w:r>
    </w:p>
    <w:p w:rsidR="00000000" w:rsidDel="00000000" w:rsidP="00000000" w:rsidRDefault="00000000" w:rsidRPr="00000000" w14:paraId="000001CC">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державних органах, які мають базу даних з персональною інформацією громадян, необхідно запровадити застосування сучасних технічних засобів шифрування та захисту даних для унеможливлення несанкціонованого доступу. Також необхідною ініціативою буде проведення регулярних круглих столів за участі міжнародних експертів для запозичення їх досвіду.</w:t>
      </w:r>
    </w:p>
    <w:p w:rsidR="00000000" w:rsidDel="00000000" w:rsidP="00000000" w:rsidRDefault="00000000" w:rsidRPr="00000000" w14:paraId="000001CD">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слід зазначити, що в Регламенті та Конвенції під доступом (access) мається на увазі доступ суб’єкта до власних персональних даних. Відповідно до ст. 16 Закону «під доступом до персональних даних передбачається доступ суб’єкта до своїх персональних даних самостійно, так і доступ до цих даних третіх осіб шляхом запиту на доступ до інформації» [12]. Через це виникають неоднозначності в тлумаченні положень Закону судами. Тому необхідно адаптувати положення чинного національного законодавства до міжнародних стандартів.</w:t>
      </w:r>
    </w:p>
    <w:p w:rsidR="00000000" w:rsidDel="00000000" w:rsidP="00000000" w:rsidRDefault="00000000" w:rsidRPr="00000000" w14:paraId="000001CE">
      <w:pPr>
        <w:spacing w:line="360" w:lineRule="auto"/>
        <w:ind w:right="7"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F">
      <w:pPr>
        <w:rPr>
          <w:rFonts w:ascii="Times New Roman" w:cs="Times New Roman" w:eastAsia="Times New Roman" w:hAnsi="Times New Roman"/>
          <w:b w:val="1"/>
          <w:sz w:val="28"/>
          <w:szCs w:val="28"/>
        </w:rPr>
      </w:pPr>
      <w:bookmarkStart w:colFirst="0" w:colLast="0" w:name="_heading=h.28h4qwu" w:id="23"/>
      <w:bookmarkEnd w:id="23"/>
      <w:r w:rsidDel="00000000" w:rsidR="00000000" w:rsidRPr="00000000">
        <w:br w:type="page"/>
      </w:r>
      <w:r w:rsidDel="00000000" w:rsidR="00000000" w:rsidRPr="00000000">
        <w:rPr>
          <w:rtl w:val="0"/>
        </w:rPr>
      </w:r>
    </w:p>
    <w:p w:rsidR="00000000" w:rsidDel="00000000" w:rsidP="00000000" w:rsidRDefault="00000000" w:rsidRPr="00000000" w14:paraId="000001D0">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D1">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підсумками проведеного дослідження, метою якого є визначення змісту персональних даних, особливостей принципів опрацювання персональних даних, проблем та недоліків судової практики та обґрунтування способів вирішення проблем правового регулювання та правозастосовної діяльності захисту персональних даних ми дійшли наступних висновків.</w:t>
      </w:r>
    </w:p>
    <w:p w:rsidR="00000000" w:rsidDel="00000000" w:rsidP="00000000" w:rsidRDefault="00000000" w:rsidRPr="00000000" w14:paraId="000001D3">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Історичні етапи формування інституту захисту персональних даних можна розглядати через ключові проблеми, які в конкретний період ставали перед суспільством. Перші вимоги щодо юридичного регулювання захисту особистих даних були включені до положень міжнародних договорів з прав людини як невід'ємної частини права на особисту приватність. Під впливом все більшої уваги до проблеми визнання права на особисте життя це право закріпилося в міжнародно-правових документах та стало універсальним. Зокрема, національне законодавство України про захист персональних даних орієнтовано на європейські стандарти, які закріплені в Директиві 95/46/ЄС та Рамковій конвенції 108. Однак, не дивлячись на те, що міжнародні акти є уніфікованими та не містять конкретизації, в Законі України «Про захист персональних даних» також не відображені всі їх положення. Так, в Регламенті чітко окреслені принципи обробки персональних даних, на відміну від Закону, де принципи було поєднано з підставами обробки даних.</w:t>
      </w:r>
    </w:p>
    <w:p w:rsidR="00000000" w:rsidDel="00000000" w:rsidP="00000000" w:rsidRDefault="00000000" w:rsidRPr="00000000" w14:paraId="000001D4">
      <w:pPr>
        <w:spacing w:line="360" w:lineRule="auto"/>
        <w:ind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чинне законодавство потребує перегляду для адаптування під нові потреби та реалії суспільства. Зокрема, з появою штучного інтелекту виникла загроза втрати та викрадення великої кількості персональних даних, які зберігаються в мережі Інтернет та реєстрах баз даних. У цьому контексті доцільним є запровадження нових правил обробки персональних даних, введення обов’язку для володарів інформації анонімізувати та шифрувати дані, а також прийняття стандартної політики безпеки для державних установ та осіб, які обробляють значний обсяг особистих даних.</w:t>
      </w:r>
    </w:p>
    <w:p w:rsidR="00000000" w:rsidDel="00000000" w:rsidP="00000000" w:rsidRDefault="00000000" w:rsidRPr="00000000" w14:paraId="000001D5">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Двозначність критеріїв конфіденційності та колізій у правових нормах, які мають забезпечити захист персональних даних, можуть призвести до ситуації, коли бажання забезпечити прозорість та підзвітність конфліктує із правом особи на приватність. Зокрема, відсутність єдиного трактування поняття «приватне життя» в різних судових системах породжує невизначеність та проблеми в правозастосовній діяльності, тому законодавець та Суд у своїй практиці повинні уніфікувати критерії визначення поняття «приватне життя».</w:t>
      </w:r>
    </w:p>
    <w:p w:rsidR="00000000" w:rsidDel="00000000" w:rsidP="00000000" w:rsidRDefault="00000000" w:rsidRPr="00000000" w14:paraId="000001D6">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рішеннях суди посилаються на міжнародні стандарти захисту персональних даних, але таке цитування рішень є лише формальним, оскільки одна і та ж практика ЄСПЛ може бути трактована національними судами протилежним чином. Важливо відзначити, що цю проблему необхідно вирішувати шляхом додаткових заходів із підвищення кваліфікації суддів. Інша проблема виникає в тому, що застосування законодавства про захист особистих даних стає більш систематичним, але аргументація рішень судів не завжди є достатньою та обґрунтованою.</w:t>
      </w:r>
    </w:p>
    <w:p w:rsidR="00000000" w:rsidDel="00000000" w:rsidP="00000000" w:rsidRDefault="00000000" w:rsidRPr="00000000" w14:paraId="000001D7">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розглядати технологічні проблеми, такі як недостатність заходів безпеки при обробці та зберіганні судових даних, оскільки надалі це може надати можливість для незаконного доступу до особистої інформації. Для вирішення цієї проблеми необхідно розглянути питання впровадження нових стандартів безпеки та активного вдосконалення законодавства, зокрема щодо регулювання, обробки та розголошення персональних даних у судових рішеннях. Це сприятиме більш ефективному забезпеченню балансу між правом на інформацію та правом на приватність, зберігаючи при цьому високий рівень законності та довіри до судової системи.</w:t>
      </w:r>
    </w:p>
    <w:p w:rsidR="00000000" w:rsidDel="00000000" w:rsidP="00000000" w:rsidRDefault="00000000" w:rsidRPr="00000000" w14:paraId="000001D8">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внести зміни до Кодексу України про адміністративні правопорушення, якими встановити окрему кваліфікацію для кожного можливого порушення положень Закону України «Про захист персональних даних».</w:t>
      </w:r>
    </w:p>
    <w:p w:rsidR="00000000" w:rsidDel="00000000" w:rsidP="00000000" w:rsidRDefault="00000000" w:rsidRPr="00000000" w14:paraId="000001D9">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Компанії та організації, які використовують штучний інтелект, повинні звернути особливу увагу на технічні заходи безпеки, такі як шифрування даних, впровадження системи доступу та проведення аудиту. Це необхідно для забезпечення конфіденційності та цілісності особистих даних.</w:t>
      </w:r>
    </w:p>
    <w:p w:rsidR="00000000" w:rsidDel="00000000" w:rsidP="00000000" w:rsidRDefault="00000000" w:rsidRPr="00000000" w14:paraId="000001DA">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оновлювати законодавство та впроваджувати регулярний перегляд, що враховує нові категорії даних. Пристосування законодавства до швидкозмінюваних технологій та нових форм інформації має здійснюватися на регулярній основі, щорічно та за потреби. Невід'ємною частиною цього процесу повинно бути залучення громадськості до формування та визначення політики щодо оновлення персональних даних. Це може відбуватися через проведення опитувань, консультацій із громадськістю та громадських слухань відповідно до визначеного Порядку консультацій із громадськістю щодо формування та реалізації державної політики.</w:t>
      </w:r>
    </w:p>
    <w:p w:rsidR="00000000" w:rsidDel="00000000" w:rsidP="00000000" w:rsidRDefault="00000000" w:rsidRPr="00000000" w14:paraId="000001DB">
      <w:pPr>
        <w:numPr>
          <w:ilvl w:val="0"/>
          <w:numId w:val="19"/>
        </w:numPr>
        <w:spacing w:line="360" w:lineRule="auto"/>
        <w:ind w:left="0" w:right="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зазначені процеси повинні відбуватися у співпраці із міжнародними експертами з метою створення єдиної уніфікованої системи.</w:t>
      </w:r>
    </w:p>
    <w:p w:rsidR="00000000" w:rsidDel="00000000" w:rsidP="00000000" w:rsidRDefault="00000000" w:rsidRPr="00000000" w14:paraId="000001DC">
      <w:pPr>
        <w:spacing w:line="360" w:lineRule="auto"/>
        <w:ind w:left="720" w:right="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D">
      <w:pPr>
        <w:rPr>
          <w:rFonts w:ascii="Times New Roman" w:cs="Times New Roman" w:eastAsia="Times New Roman" w:hAnsi="Times New Roman"/>
          <w:b w:val="1"/>
          <w:sz w:val="28"/>
          <w:szCs w:val="28"/>
        </w:rPr>
      </w:pPr>
      <w:bookmarkStart w:colFirst="0" w:colLast="0" w:name="_heading=h.nmf14n" w:id="24"/>
      <w:bookmarkEnd w:id="24"/>
      <w:r w:rsidDel="00000000" w:rsidR="00000000" w:rsidRPr="00000000">
        <w:br w:type="page"/>
      </w:r>
      <w:r w:rsidDel="00000000" w:rsidR="00000000" w:rsidRPr="00000000">
        <w:rPr>
          <w:rtl w:val="0"/>
        </w:rPr>
      </w:r>
    </w:p>
    <w:p w:rsidR="00000000" w:rsidDel="00000000" w:rsidP="00000000" w:rsidRDefault="00000000" w:rsidRPr="00000000" w14:paraId="000001DE">
      <w:pPr>
        <w:spacing w:line="360" w:lineRule="auto"/>
        <w:ind w:right="7"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1D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0">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Закону України «Про захист персональних даних». Європейський Союз; Рада Європи. Страсбург, 2012. URL: </w:t>
      </w:r>
      <w:hyperlink r:id="rId10">
        <w:r w:rsidDel="00000000" w:rsidR="00000000" w:rsidRPr="00000000">
          <w:rPr>
            <w:rFonts w:ascii="Times New Roman" w:cs="Times New Roman" w:eastAsia="Times New Roman" w:hAnsi="Times New Roman"/>
            <w:sz w:val="28"/>
            <w:szCs w:val="28"/>
            <w:rtl w:val="0"/>
          </w:rPr>
          <w:t xml:space="preserve">http://zpd.gov.ua/dszpd/doccatalog/document?id=51482</w:t>
        </w:r>
      </w:hyperlink>
      <w:r w:rsidDel="00000000" w:rsidR="00000000" w:rsidRPr="00000000">
        <w:rPr>
          <w:rFonts w:ascii="Times New Roman" w:cs="Times New Roman" w:eastAsia="Times New Roman" w:hAnsi="Times New Roman"/>
          <w:sz w:val="28"/>
          <w:szCs w:val="28"/>
          <w:rtl w:val="0"/>
        </w:rPr>
        <w:t xml:space="preserve"> (дата звернення: 30.11.2023). </w:t>
      </w:r>
    </w:p>
    <w:p w:rsidR="00000000" w:rsidDel="00000000" w:rsidP="00000000" w:rsidRDefault="00000000" w:rsidRPr="00000000" w14:paraId="000001E1">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декларація прав людини від 10.12.1948 р. URL: </w:t>
      </w:r>
      <w:hyperlink r:id="rId11">
        <w:r w:rsidDel="00000000" w:rsidR="00000000" w:rsidRPr="00000000">
          <w:rPr>
            <w:rFonts w:ascii="Times New Roman" w:cs="Times New Roman" w:eastAsia="Times New Roman" w:hAnsi="Times New Roman"/>
            <w:sz w:val="28"/>
            <w:szCs w:val="28"/>
            <w:rtl w:val="0"/>
          </w:rPr>
          <w:t xml:space="preserve">https://zakon.rada.gov.ua/laws/show/995_015#Text</w:t>
        </w:r>
      </w:hyperlink>
      <w:r w:rsidDel="00000000" w:rsidR="00000000" w:rsidRPr="00000000">
        <w:rPr>
          <w:rFonts w:ascii="Times New Roman" w:cs="Times New Roman" w:eastAsia="Times New Roman" w:hAnsi="Times New Roman"/>
          <w:sz w:val="28"/>
          <w:szCs w:val="28"/>
          <w:rtl w:val="0"/>
        </w:rPr>
        <w:t xml:space="preserve"> (дата звернення: 11.11.2023). </w:t>
      </w:r>
    </w:p>
    <w:p w:rsidR="00000000" w:rsidDel="00000000" w:rsidP="00000000" w:rsidRDefault="00000000" w:rsidRPr="00000000" w14:paraId="000001E2">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пакт про громадянські і політичні права від 16.12.1966 р. URL: </w:t>
      </w:r>
      <w:hyperlink r:id="rId12">
        <w:r w:rsidDel="00000000" w:rsidR="00000000" w:rsidRPr="00000000">
          <w:rPr>
            <w:rFonts w:ascii="Times New Roman" w:cs="Times New Roman" w:eastAsia="Times New Roman" w:hAnsi="Times New Roman"/>
            <w:sz w:val="28"/>
            <w:szCs w:val="28"/>
            <w:rtl w:val="0"/>
          </w:rPr>
          <w:t xml:space="preserve">https://zakon.rada.gov.ua/laws/show/995_043#Text</w:t>
        </w:r>
      </w:hyperlink>
      <w:r w:rsidDel="00000000" w:rsidR="00000000" w:rsidRPr="00000000">
        <w:rPr>
          <w:rFonts w:ascii="Times New Roman" w:cs="Times New Roman" w:eastAsia="Times New Roman" w:hAnsi="Times New Roman"/>
          <w:sz w:val="28"/>
          <w:szCs w:val="28"/>
          <w:rtl w:val="0"/>
        </w:rPr>
        <w:t xml:space="preserve"> (дата звернення: 11.11.2023). </w:t>
      </w:r>
    </w:p>
    <w:p w:rsidR="00000000" w:rsidDel="00000000" w:rsidP="00000000" w:rsidRDefault="00000000" w:rsidRPr="00000000" w14:paraId="000001E3">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Конвенція про права дитини від 20.11.1989 р. URL: </w:t>
      </w:r>
      <w:hyperlink r:id="rId13">
        <w:r w:rsidDel="00000000" w:rsidR="00000000" w:rsidRPr="00000000">
          <w:rPr>
            <w:rFonts w:ascii="Times New Roman" w:cs="Times New Roman" w:eastAsia="Times New Roman" w:hAnsi="Times New Roman"/>
            <w:sz w:val="28"/>
            <w:szCs w:val="28"/>
            <w:rtl w:val="0"/>
          </w:rPr>
          <w:t xml:space="preserve">https://zakon.rada.gov.ua/laws/show/995_021#Text</w:t>
        </w:r>
      </w:hyperlink>
      <w:r w:rsidDel="00000000" w:rsidR="00000000" w:rsidRPr="00000000">
        <w:rPr>
          <w:rFonts w:ascii="Times New Roman" w:cs="Times New Roman" w:eastAsia="Times New Roman" w:hAnsi="Times New Roman"/>
          <w:sz w:val="28"/>
          <w:szCs w:val="28"/>
          <w:rtl w:val="0"/>
        </w:rPr>
        <w:t xml:space="preserve"> (дата звернення 22.10.2023).</w:t>
      </w:r>
    </w:p>
    <w:p w:rsidR="00000000" w:rsidDel="00000000" w:rsidP="00000000" w:rsidRDefault="00000000" w:rsidRPr="00000000" w14:paraId="000001E4">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Конвенція про права осіб з інвалідністю від 13.12.2006 р. URL: </w:t>
      </w:r>
      <w:hyperlink r:id="rId14">
        <w:r w:rsidDel="00000000" w:rsidR="00000000" w:rsidRPr="00000000">
          <w:rPr>
            <w:rFonts w:ascii="Times New Roman" w:cs="Times New Roman" w:eastAsia="Times New Roman" w:hAnsi="Times New Roman"/>
            <w:sz w:val="28"/>
            <w:szCs w:val="28"/>
            <w:rtl w:val="0"/>
          </w:rPr>
          <w:t xml:space="preserve">https://zakon.rada.gov.ua/laws/show/995_g71#Text</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E5">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Керівні принципи ООН регламентації комп’ютеризованих картотек, що містять дані особистого характеру від 14.12.1990 р. URL: </w:t>
      </w:r>
      <w:hyperlink r:id="rId15">
        <w:r w:rsidDel="00000000" w:rsidR="00000000" w:rsidRPr="00000000">
          <w:rPr>
            <w:rFonts w:ascii="Times New Roman" w:cs="Times New Roman" w:eastAsia="Times New Roman" w:hAnsi="Times New Roman"/>
            <w:sz w:val="28"/>
            <w:szCs w:val="28"/>
            <w:rtl w:val="0"/>
          </w:rPr>
          <w:t xml:space="preserve">https://www.refworld.org/pdfid/3ddcafaac.pdf</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E6">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Базові принципи захисту недоторканності приватного життя і транскордонних потоків персональних даних схвалені Рекомендацією Ради ОЕСР від 23 вересня 1980 р. у редакції 2013 р. URL: </w:t>
      </w:r>
      <w:hyperlink r:id="rId16">
        <w:r w:rsidDel="00000000" w:rsidR="00000000" w:rsidRPr="00000000">
          <w:rPr>
            <w:rFonts w:ascii="Times New Roman" w:cs="Times New Roman" w:eastAsia="Times New Roman" w:hAnsi="Times New Roman"/>
            <w:sz w:val="28"/>
            <w:szCs w:val="28"/>
            <w:rtl w:val="0"/>
          </w:rPr>
          <w:t xml:space="preserve">https://read.oecd-ilibrary.org/science-and-technology/oecd-guidelines-on-the-protection-ofprivacy-and-transborder-flows-of-personaldata_9789264196391-en#page8</w:t>
        </w:r>
      </w:hyperlink>
      <w:r w:rsidDel="00000000" w:rsidR="00000000" w:rsidRPr="00000000">
        <w:rPr>
          <w:rFonts w:ascii="Times New Roman" w:cs="Times New Roman" w:eastAsia="Times New Roman" w:hAnsi="Times New Roman"/>
          <w:sz w:val="28"/>
          <w:szCs w:val="28"/>
          <w:rtl w:val="0"/>
        </w:rPr>
        <w:t xml:space="preserve"> (дата звернення: 28.11.2023).</w:t>
      </w:r>
    </w:p>
    <w:p w:rsidR="00000000" w:rsidDel="00000000" w:rsidP="00000000" w:rsidRDefault="00000000" w:rsidRPr="00000000" w14:paraId="000001E7">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convention on human rights. URL: </w:t>
      </w:r>
      <w:hyperlink r:id="rId17">
        <w:r w:rsidDel="00000000" w:rsidR="00000000" w:rsidRPr="00000000">
          <w:rPr>
            <w:rFonts w:ascii="Times New Roman" w:cs="Times New Roman" w:eastAsia="Times New Roman" w:hAnsi="Times New Roman"/>
            <w:sz w:val="28"/>
            <w:szCs w:val="28"/>
            <w:rtl w:val="0"/>
          </w:rPr>
          <w:t xml:space="preserve">https://web.archive.org/web/20130604005333/http://www.oas.org/juridico/english/treaties/a-52.html</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E8">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Хартія основних прав Європейського Союзу від 07.12.2000 р. URL: </w:t>
      </w:r>
      <w:hyperlink r:id="rId18">
        <w:r w:rsidDel="00000000" w:rsidR="00000000" w:rsidRPr="00000000">
          <w:rPr>
            <w:rFonts w:ascii="Times New Roman" w:cs="Times New Roman" w:eastAsia="Times New Roman" w:hAnsi="Times New Roman"/>
            <w:sz w:val="28"/>
            <w:szCs w:val="28"/>
            <w:rtl w:val="0"/>
          </w:rPr>
          <w:t xml:space="preserve">https://www.europarl.europa.eu/charter/default_en.htm</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E9">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захист фізичних осіб при обробці персональних даних і про вільне переміщення таких даних: Директива 95/46/ЄС Європейського Парламенту і Ради від 24.10.1995 р. URL: </w:t>
      </w:r>
      <w:hyperlink r:id="rId19">
        <w:r w:rsidDel="00000000" w:rsidR="00000000" w:rsidRPr="00000000">
          <w:rPr>
            <w:rFonts w:ascii="Times New Roman" w:cs="Times New Roman" w:eastAsia="Times New Roman" w:hAnsi="Times New Roman"/>
            <w:sz w:val="28"/>
            <w:szCs w:val="28"/>
            <w:rtl w:val="0"/>
          </w:rPr>
          <w:t xml:space="preserve">https://zakon.rada.gov.ua/laws/show/994_242#Text</w:t>
        </w:r>
      </w:hyperlink>
      <w:r w:rsidDel="00000000" w:rsidR="00000000" w:rsidRPr="00000000">
        <w:rPr>
          <w:rFonts w:ascii="Times New Roman" w:cs="Times New Roman" w:eastAsia="Times New Roman" w:hAnsi="Times New Roman"/>
          <w:sz w:val="28"/>
          <w:szCs w:val="28"/>
          <w:rtl w:val="0"/>
        </w:rPr>
        <w:t xml:space="preserve"> (дата звернення: 11.12.2023)</w:t>
      </w:r>
    </w:p>
    <w:p w:rsidR="00000000" w:rsidDel="00000000" w:rsidP="00000000" w:rsidRDefault="00000000" w:rsidRPr="00000000" w14:paraId="000001EA">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Конституція України від 28.06.1996 р. URL: </w:t>
      </w:r>
      <w:hyperlink r:id="rId20">
        <w:r w:rsidDel="00000000" w:rsidR="00000000" w:rsidRPr="00000000">
          <w:rPr>
            <w:rFonts w:ascii="Times New Roman" w:cs="Times New Roman" w:eastAsia="Times New Roman" w:hAnsi="Times New Roman"/>
            <w:sz w:val="28"/>
            <w:szCs w:val="28"/>
            <w:rtl w:val="0"/>
          </w:rPr>
          <w:t xml:space="preserve">https://zakon.rada.gov.ua/laws/show/254%D0%BA/96-%D0%B2%D1%80#Text</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1EB">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захист персональних даних: Закон України від 01.06.2010 р. №2297-VI. URL: </w:t>
      </w:r>
      <w:hyperlink r:id="rId21">
        <w:r w:rsidDel="00000000" w:rsidR="00000000" w:rsidRPr="00000000">
          <w:rPr>
            <w:rFonts w:ascii="Times New Roman" w:cs="Times New Roman" w:eastAsia="Times New Roman" w:hAnsi="Times New Roman"/>
            <w:sz w:val="28"/>
            <w:szCs w:val="28"/>
            <w:rtl w:val="0"/>
          </w:rPr>
          <w:t xml:space="preserve">https://zakon.rada.gov.ua/laws/show/2297-17#Text</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EC">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Бем М.В., Городиський І.М., Саттон Г., Родіоненко О.М. Захист персональних даних: Правове регулювання та практичні аспекти: науково-практичний посібник. Київ: К.І.С., 2015. 220 с. URL: </w:t>
      </w:r>
      <w:hyperlink r:id="rId22">
        <w:r w:rsidDel="00000000" w:rsidR="00000000" w:rsidRPr="00000000">
          <w:rPr>
            <w:rFonts w:ascii="Times New Roman" w:cs="Times New Roman" w:eastAsia="Times New Roman" w:hAnsi="Times New Roman"/>
            <w:sz w:val="28"/>
            <w:szCs w:val="28"/>
            <w:rtl w:val="0"/>
          </w:rPr>
          <w:t xml:space="preserve">https://rm.coe.int/168059920c</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ED">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Угода про асоціацію між Україною та Європейським Союзом, Європейським співтовариством з атомної енергії і їхніми державами-членами від 27.06.2014 р. URL: </w:t>
      </w:r>
      <w:hyperlink r:id="rId23">
        <w:r w:rsidDel="00000000" w:rsidR="00000000" w:rsidRPr="00000000">
          <w:rPr>
            <w:rFonts w:ascii="Times New Roman" w:cs="Times New Roman" w:eastAsia="Times New Roman" w:hAnsi="Times New Roman"/>
            <w:sz w:val="28"/>
            <w:szCs w:val="28"/>
            <w:rtl w:val="0"/>
          </w:rPr>
          <w:t xml:space="preserve">https://zakon.rada.gov.ua/laws/show/984_011#Text</w:t>
        </w:r>
      </w:hyperlink>
      <w:r w:rsidDel="00000000" w:rsidR="00000000" w:rsidRPr="00000000">
        <w:rPr>
          <w:rFonts w:ascii="Times New Roman" w:cs="Times New Roman" w:eastAsia="Times New Roman" w:hAnsi="Times New Roman"/>
          <w:sz w:val="28"/>
          <w:szCs w:val="28"/>
          <w:rtl w:val="0"/>
        </w:rPr>
        <w:t xml:space="preserve"> (дата звернення: 12.11.2023).</w:t>
      </w:r>
    </w:p>
    <w:p w:rsidR="00000000" w:rsidDel="00000000" w:rsidP="00000000" w:rsidRDefault="00000000" w:rsidRPr="00000000" w14:paraId="000001EE">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Регламент Європейського парламенту і Ради (ЄС) 2016/679 від 27 квітня 2016 року про захист фізичних осіб у зв'язку з опрацюванням персональних даних і про вільний рух таких даних, та про скасування Директиви 95/46/ЄС (Загальний регламент про захист даних) від 17.04.2016 р. URL: </w:t>
      </w:r>
      <w:hyperlink r:id="rId24">
        <w:r w:rsidDel="00000000" w:rsidR="00000000" w:rsidRPr="00000000">
          <w:rPr>
            <w:rFonts w:ascii="Times New Roman" w:cs="Times New Roman" w:eastAsia="Times New Roman" w:hAnsi="Times New Roman"/>
            <w:sz w:val="28"/>
            <w:szCs w:val="28"/>
            <w:highlight w:val="white"/>
            <w:rtl w:val="0"/>
          </w:rPr>
          <w:t xml:space="preserve">https://zakon.rada.gov.ua/laws/show/984_008-16#Text</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12.11.2023).</w:t>
      </w:r>
      <w:r w:rsidDel="00000000" w:rsidR="00000000" w:rsidRPr="00000000">
        <w:rPr>
          <w:rtl w:val="0"/>
        </w:rPr>
      </w:r>
    </w:p>
    <w:p w:rsidR="00000000" w:rsidDel="00000000" w:rsidP="00000000" w:rsidRDefault="00000000" w:rsidRPr="00000000" w14:paraId="000001EF">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 захист осіб у зв’язку з автоматизованою обробкою персональних даних: Конвенція № 108 від 28.01.1981 р. URL: </w:t>
      </w:r>
      <w:hyperlink r:id="rId25">
        <w:r w:rsidDel="00000000" w:rsidR="00000000" w:rsidRPr="00000000">
          <w:rPr>
            <w:rFonts w:ascii="Times New Roman" w:cs="Times New Roman" w:eastAsia="Times New Roman" w:hAnsi="Times New Roman"/>
            <w:sz w:val="28"/>
            <w:szCs w:val="28"/>
            <w:highlight w:val="white"/>
            <w:rtl w:val="0"/>
          </w:rPr>
          <w:t xml:space="preserve">https://zakon.rada.gov.ua/laws/show/994</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12.11.2023).</w:t>
      </w:r>
      <w:r w:rsidDel="00000000" w:rsidR="00000000" w:rsidRPr="00000000">
        <w:rPr>
          <w:rtl w:val="0"/>
        </w:rPr>
      </w:r>
    </w:p>
    <w:p w:rsidR="00000000" w:rsidDel="00000000" w:rsidP="00000000" w:rsidRDefault="00000000" w:rsidRPr="00000000" w14:paraId="000001F0">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Про затвердження документів у сфері захисту персональних даних: Наказ Уповноваженого Верховної Ради України з прав людини від 08.01.2014 р № 1/02–14 URL: </w:t>
      </w:r>
      <w:hyperlink r:id="rId26">
        <w:r w:rsidDel="00000000" w:rsidR="00000000" w:rsidRPr="00000000">
          <w:rPr>
            <w:rFonts w:ascii="Times New Roman" w:cs="Times New Roman" w:eastAsia="Times New Roman" w:hAnsi="Times New Roman"/>
            <w:sz w:val="28"/>
            <w:szCs w:val="28"/>
            <w:highlight w:val="white"/>
            <w:rtl w:val="0"/>
          </w:rPr>
          <w:t xml:space="preserve">https://zakon.rada.gov.ua/laws/show/v1_02715-14#Text</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27.11.2023).</w:t>
      </w:r>
      <w:r w:rsidDel="00000000" w:rsidR="00000000" w:rsidRPr="00000000">
        <w:rPr>
          <w:rtl w:val="0"/>
        </w:rPr>
      </w:r>
    </w:p>
    <w:p w:rsidR="00000000" w:rsidDel="00000000" w:rsidP="00000000" w:rsidRDefault="00000000" w:rsidRPr="00000000" w14:paraId="000001F1">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Кримінальний кодекс України: Закон України від 05.04.2001 р. №2341-III. URL: </w:t>
      </w:r>
      <w:hyperlink r:id="rId27">
        <w:r w:rsidDel="00000000" w:rsidR="00000000" w:rsidRPr="00000000">
          <w:rPr>
            <w:rFonts w:ascii="Times New Roman" w:cs="Times New Roman" w:eastAsia="Times New Roman" w:hAnsi="Times New Roman"/>
            <w:sz w:val="28"/>
            <w:szCs w:val="28"/>
            <w:rtl w:val="0"/>
          </w:rPr>
          <w:t xml:space="preserve">https://zakon.rada.gov.ua/laws/show/2341-14#Text</w:t>
        </w:r>
      </w:hyperlink>
      <w:r w:rsidDel="00000000" w:rsidR="00000000" w:rsidRPr="00000000">
        <w:rPr>
          <w:rFonts w:ascii="Times New Roman" w:cs="Times New Roman" w:eastAsia="Times New Roman" w:hAnsi="Times New Roman"/>
          <w:sz w:val="28"/>
          <w:szCs w:val="28"/>
          <w:rtl w:val="0"/>
        </w:rPr>
        <w:t xml:space="preserve"> (дата звернення: 11.11.2023).</w:t>
      </w:r>
      <w:r w:rsidDel="00000000" w:rsidR="00000000" w:rsidRPr="00000000">
        <w:rPr>
          <w:rtl w:val="0"/>
        </w:rPr>
      </w:r>
    </w:p>
    <w:p w:rsidR="00000000" w:rsidDel="00000000" w:rsidP="00000000" w:rsidRDefault="00000000" w:rsidRPr="00000000" w14:paraId="000001F2">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Кодекс України про адміністративні правопорушення від 07.12.1984р. № 8073-X. URL:</w:t>
      </w:r>
      <w:r w:rsidDel="00000000" w:rsidR="00000000" w:rsidRPr="00000000">
        <w:rPr>
          <w:rFonts w:ascii="Times New Roman" w:cs="Times New Roman" w:eastAsia="Times New Roman" w:hAnsi="Times New Roman"/>
          <w:color w:val="1155cc"/>
          <w:sz w:val="28"/>
          <w:szCs w:val="28"/>
          <w:highlight w:val="white"/>
          <w:rtl w:val="0"/>
        </w:rPr>
        <w:t xml:space="preserve"> </w:t>
      </w:r>
      <w:hyperlink r:id="rId28">
        <w:r w:rsidDel="00000000" w:rsidR="00000000" w:rsidRPr="00000000">
          <w:rPr>
            <w:rFonts w:ascii="Times New Roman" w:cs="Times New Roman" w:eastAsia="Times New Roman" w:hAnsi="Times New Roman"/>
            <w:sz w:val="28"/>
            <w:szCs w:val="28"/>
            <w:rtl w:val="0"/>
          </w:rPr>
          <w:t xml:space="preserve">https://zakon.rada.gov.ua/laws/show/80731-10#Text</w:t>
        </w:r>
      </w:hyperlink>
      <w:r w:rsidDel="00000000" w:rsidR="00000000" w:rsidRPr="00000000">
        <w:rPr>
          <w:rFonts w:ascii="Times New Roman" w:cs="Times New Roman" w:eastAsia="Times New Roman" w:hAnsi="Times New Roman"/>
          <w:sz w:val="28"/>
          <w:szCs w:val="28"/>
          <w:rtl w:val="0"/>
        </w:rPr>
        <w:t xml:space="preserve"> ​​(дата звернення: 11.11.2023).</w:t>
      </w:r>
      <w:r w:rsidDel="00000000" w:rsidR="00000000" w:rsidRPr="00000000">
        <w:rPr>
          <w:rtl w:val="0"/>
        </w:rPr>
      </w:r>
    </w:p>
    <w:p w:rsidR="00000000" w:rsidDel="00000000" w:rsidP="00000000" w:rsidRDefault="00000000" w:rsidRPr="00000000" w14:paraId="000001F3">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Бєлова М.В., Бєлов Д.М. Виклики та загрози захисту персональних даних у роботі зі штучним інтелектом. </w:t>
      </w:r>
      <w:r w:rsidDel="00000000" w:rsidR="00000000" w:rsidRPr="00000000">
        <w:rPr>
          <w:rFonts w:ascii="Times New Roman" w:cs="Times New Roman" w:eastAsia="Times New Roman" w:hAnsi="Times New Roman"/>
          <w:i w:val="1"/>
          <w:sz w:val="28"/>
          <w:szCs w:val="28"/>
          <w:rtl w:val="0"/>
        </w:rPr>
        <w:t xml:space="preserve">Науковий вісник УжНУ. Серія «Право»</w:t>
      </w:r>
      <w:r w:rsidDel="00000000" w:rsidR="00000000" w:rsidRPr="00000000">
        <w:rPr>
          <w:rFonts w:ascii="Times New Roman" w:cs="Times New Roman" w:eastAsia="Times New Roman" w:hAnsi="Times New Roman"/>
          <w:sz w:val="28"/>
          <w:szCs w:val="28"/>
          <w:rtl w:val="0"/>
        </w:rPr>
        <w:t xml:space="preserve">. 2023. Т. 2 № 79. С. 14-18. URL: </w:t>
      </w:r>
      <w:hyperlink r:id="rId29">
        <w:r w:rsidDel="00000000" w:rsidR="00000000" w:rsidRPr="00000000">
          <w:rPr>
            <w:rFonts w:ascii="Times New Roman" w:cs="Times New Roman" w:eastAsia="Times New Roman" w:hAnsi="Times New Roman"/>
            <w:sz w:val="28"/>
            <w:szCs w:val="28"/>
            <w:rtl w:val="0"/>
          </w:rPr>
          <w:t xml:space="preserve">http://visnyk-pravo.uzhnu.edu.ua/article/view/289441/282931</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F4">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проведення консультацій з громадськістю з питань формування та реалізації державної політики: Постанова Кабінету Міністрів України від 03.11.2010 р. №996. URL: </w:t>
      </w:r>
      <w:hyperlink r:id="rId30">
        <w:r w:rsidDel="00000000" w:rsidR="00000000" w:rsidRPr="00000000">
          <w:rPr>
            <w:rFonts w:ascii="Times New Roman" w:cs="Times New Roman" w:eastAsia="Times New Roman" w:hAnsi="Times New Roman"/>
            <w:sz w:val="28"/>
            <w:szCs w:val="28"/>
            <w:rtl w:val="0"/>
          </w:rPr>
          <w:t xml:space="preserve">https://zakon.rada.gov.ua/laws/show/996-2010-%D0%BF#Text</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F5">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Літвінова В.Г. Соціальна і цифрова трансформація: теоретичні та практичні проблеми правового регулювання :</w:t>
      </w:r>
      <w:r w:rsidDel="00000000" w:rsidR="00000000" w:rsidRPr="00000000">
        <w:rPr>
          <w:rFonts w:ascii="Times New Roman" w:cs="Times New Roman" w:eastAsia="Times New Roman" w:hAnsi="Times New Roman"/>
          <w:i w:val="1"/>
          <w:sz w:val="28"/>
          <w:szCs w:val="28"/>
          <w:rtl w:val="0"/>
        </w:rPr>
        <w:t xml:space="preserve"> матеріали IIІ Всеукр. наук.-практ. конф.</w:t>
      </w:r>
      <w:r w:rsidDel="00000000" w:rsidR="00000000" w:rsidRPr="00000000">
        <w:rPr>
          <w:rFonts w:ascii="Times New Roman" w:cs="Times New Roman" w:eastAsia="Times New Roman" w:hAnsi="Times New Roman"/>
          <w:sz w:val="28"/>
          <w:szCs w:val="28"/>
          <w:rtl w:val="0"/>
        </w:rPr>
        <w:t xml:space="preserve"> Киї, 2023. С. 86-89 (дата звернення: 11.11.2023)</w:t>
      </w:r>
    </w:p>
    <w:p w:rsidR="00000000" w:rsidDel="00000000" w:rsidP="00000000" w:rsidRDefault="00000000" w:rsidRPr="00000000" w14:paraId="000001F6">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Colvin M. Developing Key Privacy Rights / М. Colvin. – Oxford, Portland, Oregon : Hart Publishing, 2002. 198 р. URL: </w:t>
      </w:r>
      <w:hyperlink r:id="rId31">
        <w:r w:rsidDel="00000000" w:rsidR="00000000" w:rsidRPr="00000000">
          <w:rPr>
            <w:rFonts w:ascii="Times New Roman" w:cs="Times New Roman" w:eastAsia="Times New Roman" w:hAnsi="Times New Roman"/>
            <w:sz w:val="28"/>
            <w:szCs w:val="28"/>
            <w:rtl w:val="0"/>
          </w:rPr>
          <w:t xml:space="preserve">http://ndl.ethernet.edu.et/bitstream/123456789/5698/1/212.pdf.pdf</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7">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Нагнічук О. І. Співвідношення права на свободу вираження щодо публічних осіб та права на повагу до приватного та сімейного життя публічних осіб у практиці Європейського cуду з прав людини URL: </w:t>
      </w:r>
      <w:hyperlink r:id="rId32">
        <w:r w:rsidDel="00000000" w:rsidR="00000000" w:rsidRPr="00000000">
          <w:rPr>
            <w:rFonts w:ascii="Times New Roman" w:cs="Times New Roman" w:eastAsia="Times New Roman" w:hAnsi="Times New Roman"/>
            <w:sz w:val="28"/>
            <w:szCs w:val="28"/>
            <w:rtl w:val="0"/>
          </w:rPr>
          <w:t xml:space="preserve">https://ekmair.ukma.edu.ua/server/api/core/bitstreams/e5c2d323-a531-42d6-a23c-07e5e997620e/content</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8">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Бем М.В., Городиський І.М. Стандарти захисту персональних даних в соціальній сфері. Львів: б.в., 2018. 110 с. URL: </w:t>
      </w:r>
      <w:hyperlink r:id="rId33">
        <w:r w:rsidDel="00000000" w:rsidR="00000000" w:rsidRPr="00000000">
          <w:rPr>
            <w:rFonts w:ascii="Times New Roman" w:cs="Times New Roman" w:eastAsia="Times New Roman" w:hAnsi="Times New Roman"/>
            <w:sz w:val="28"/>
            <w:szCs w:val="28"/>
            <w:rtl w:val="0"/>
          </w:rPr>
          <w:t xml:space="preserve">https://radnyk.org/wp-content/uploads/2018/06/Standarti_zahistu_personalnih_danih_v_sotsialniy_sferi.pdf</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9">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Von Hannover v. Germany (App no 40660/08) ECHR 24 July 2005. URL: </w:t>
      </w:r>
      <w:hyperlink r:id="rId34">
        <w:r w:rsidDel="00000000" w:rsidR="00000000" w:rsidRPr="00000000">
          <w:rPr>
            <w:rFonts w:ascii="Times New Roman" w:cs="Times New Roman" w:eastAsia="Times New Roman" w:hAnsi="Times New Roman"/>
            <w:sz w:val="28"/>
            <w:szCs w:val="28"/>
            <w:rtl w:val="0"/>
          </w:rPr>
          <w:t xml:space="preserve">https://hudoc.echr.coe.int/fre#{%22itemid%22:[%22001-109029%22</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A">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Krone Verlags Gmbh &amp; Co. KG v. Austria (App no 39069/97) ECHR 11 December 2003. URL: </w:t>
      </w:r>
      <w:hyperlink r:id="rId35">
        <w:r w:rsidDel="00000000" w:rsidR="00000000" w:rsidRPr="00000000">
          <w:rPr>
            <w:rFonts w:ascii="Times New Roman" w:cs="Times New Roman" w:eastAsia="Times New Roman" w:hAnsi="Times New Roman"/>
            <w:sz w:val="28"/>
            <w:szCs w:val="28"/>
            <w:rtl w:val="0"/>
          </w:rPr>
          <w:t xml:space="preserve">https://hudoc.echr.coe.int/app/conversion/docx/?library=ECHR&amp;id=001-61538&amp;filename=CASE%20OF%20KRONE%20VERLAG%20GmbH%20%26%20Co.%20KG%20</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B">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Vereinigung Bildender Künstler v. Austria (App no 68354/01) ECHR 25 January 2007. URL: </w:t>
      </w:r>
      <w:hyperlink r:id="rId36">
        <w:r w:rsidDel="00000000" w:rsidR="00000000" w:rsidRPr="00000000">
          <w:rPr>
            <w:rFonts w:ascii="Times New Roman" w:cs="Times New Roman" w:eastAsia="Times New Roman" w:hAnsi="Times New Roman"/>
            <w:sz w:val="28"/>
            <w:szCs w:val="28"/>
            <w:rtl w:val="0"/>
          </w:rPr>
          <w:t xml:space="preserve">https://hudoc.echr.coe.int/app/conversion/docx/?library=ECHR&amp;id=001-79213&amp;filename=CASE%20OF%20VEREINIGUNG%20BILDENDER%20K%C3%9CNSTLER%20v.%20AUSTRIA.docx&amp;logEvent=False</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C">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Опришко Д.І. Право на свободу мистецького вираження. </w:t>
      </w:r>
      <w:r w:rsidDel="00000000" w:rsidR="00000000" w:rsidRPr="00000000">
        <w:rPr>
          <w:rFonts w:ascii="Times New Roman" w:cs="Times New Roman" w:eastAsia="Times New Roman" w:hAnsi="Times New Roman"/>
          <w:i w:val="1"/>
          <w:sz w:val="28"/>
          <w:szCs w:val="28"/>
          <w:rtl w:val="0"/>
        </w:rPr>
        <w:t xml:space="preserve">Огляд практики Європейського суду з прав людини.</w:t>
      </w:r>
      <w:r w:rsidDel="00000000" w:rsidR="00000000" w:rsidRPr="00000000">
        <w:rPr>
          <w:rFonts w:ascii="Times New Roman" w:cs="Times New Roman" w:eastAsia="Times New Roman" w:hAnsi="Times New Roman"/>
          <w:sz w:val="28"/>
          <w:szCs w:val="28"/>
          <w:rtl w:val="0"/>
        </w:rPr>
        <w:t xml:space="preserve"> Київ: ГО «Платформа прав людини», 2021. 108 с. URL: </w:t>
      </w:r>
      <w:hyperlink r:id="rId37">
        <w:r w:rsidDel="00000000" w:rsidR="00000000" w:rsidRPr="00000000">
          <w:rPr>
            <w:rFonts w:ascii="Times New Roman" w:cs="Times New Roman" w:eastAsia="Times New Roman" w:hAnsi="Times New Roman"/>
            <w:sz w:val="28"/>
            <w:szCs w:val="28"/>
            <w:rtl w:val="0"/>
          </w:rPr>
          <w:t xml:space="preserve">https://www.ppl.org.ua/wp-content/uploads/2021/09/Freedom-of-artistic-expression.pdf</w:t>
        </w:r>
      </w:hyperlink>
      <w:r w:rsidDel="00000000" w:rsidR="00000000" w:rsidRPr="00000000">
        <w:rPr>
          <w:rFonts w:ascii="Times New Roman" w:cs="Times New Roman" w:eastAsia="Times New Roman" w:hAnsi="Times New Roman"/>
          <w:sz w:val="28"/>
          <w:szCs w:val="28"/>
          <w:rtl w:val="0"/>
        </w:rPr>
        <w:t xml:space="preserve"> (дата звернення 02.11.2023).</w:t>
      </w:r>
    </w:p>
    <w:p w:rsidR="00000000" w:rsidDel="00000000" w:rsidP="00000000" w:rsidRDefault="00000000" w:rsidRPr="00000000" w14:paraId="000001FD">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Case of Niemietz v. Germany (App no 13710/88) ECHR 16 December 1992. URL: </w:t>
      </w:r>
      <w:hyperlink r:id="rId38">
        <w:r w:rsidDel="00000000" w:rsidR="00000000" w:rsidRPr="00000000">
          <w:rPr>
            <w:rFonts w:ascii="Times New Roman" w:cs="Times New Roman" w:eastAsia="Times New Roman" w:hAnsi="Times New Roman"/>
            <w:sz w:val="28"/>
            <w:szCs w:val="28"/>
            <w:rtl w:val="0"/>
          </w:rPr>
          <w:t xml:space="preserve">http://eurocourt.in.ua/Article.asp?AIdx=776</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FE">
      <w:pPr>
        <w:numPr>
          <w:ilvl w:val="0"/>
          <w:numId w:val="1"/>
        </w:numPr>
        <w:shd w:fill="ffffff" w:val="clea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333333"/>
          <w:sz w:val="28"/>
          <w:szCs w:val="28"/>
          <w:highlight w:val="white"/>
          <w:rtl w:val="0"/>
        </w:rPr>
        <w:t xml:space="preserve">Peck v. the United Kingdom (App no 44647/98) </w:t>
      </w:r>
      <w:r w:rsidDel="00000000" w:rsidR="00000000" w:rsidRPr="00000000">
        <w:rPr>
          <w:rFonts w:ascii="Times New Roman" w:cs="Times New Roman" w:eastAsia="Times New Roman" w:hAnsi="Times New Roman"/>
          <w:sz w:val="28"/>
          <w:szCs w:val="28"/>
          <w:rtl w:val="0"/>
        </w:rPr>
        <w:t xml:space="preserve">ECHR </w:t>
      </w:r>
      <w:r w:rsidDel="00000000" w:rsidR="00000000" w:rsidRPr="00000000">
        <w:rPr>
          <w:rFonts w:ascii="Times New Roman" w:cs="Times New Roman" w:eastAsia="Times New Roman" w:hAnsi="Times New Roman"/>
          <w:color w:val="333333"/>
          <w:sz w:val="28"/>
          <w:szCs w:val="28"/>
          <w:highlight w:val="white"/>
          <w:rtl w:val="0"/>
        </w:rPr>
        <w:t xml:space="preserve">28 January 2003. URL: </w:t>
      </w:r>
      <w:hyperlink r:id="rId39">
        <w:r w:rsidDel="00000000" w:rsidR="00000000" w:rsidRPr="00000000">
          <w:rPr>
            <w:rFonts w:ascii="Times New Roman" w:cs="Times New Roman" w:eastAsia="Times New Roman" w:hAnsi="Times New Roman"/>
            <w:sz w:val="28"/>
            <w:szCs w:val="28"/>
            <w:rtl w:val="0"/>
          </w:rPr>
          <w:t xml:space="preserve">https://hudoc.echr.coe.int/eng#{%22itemid%22:[%22001-60898%22</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1FF">
      <w:pPr>
        <w:numPr>
          <w:ilvl w:val="0"/>
          <w:numId w:val="1"/>
        </w:numPr>
        <w:shd w:fill="ffffff" w:val="clea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E.B. v. France (App no 43546/02) ECHR </w:t>
      </w:r>
      <w:r w:rsidDel="00000000" w:rsidR="00000000" w:rsidRPr="00000000">
        <w:rPr>
          <w:rFonts w:ascii="Times New Roman" w:cs="Times New Roman" w:eastAsia="Times New Roman" w:hAnsi="Times New Roman"/>
          <w:color w:val="333333"/>
          <w:sz w:val="28"/>
          <w:szCs w:val="28"/>
          <w:highlight w:val="white"/>
          <w:rtl w:val="0"/>
        </w:rPr>
        <w:t xml:space="preserve">22 January 2008. URL: </w:t>
      </w:r>
      <w:hyperlink r:id="rId40">
        <w:r w:rsidDel="00000000" w:rsidR="00000000" w:rsidRPr="00000000">
          <w:rPr>
            <w:rFonts w:ascii="Times New Roman" w:cs="Times New Roman" w:eastAsia="Times New Roman" w:hAnsi="Times New Roman"/>
            <w:color w:val="333333"/>
            <w:sz w:val="28"/>
            <w:szCs w:val="28"/>
            <w:highlight w:val="white"/>
            <w:rtl w:val="0"/>
          </w:rPr>
          <w:t xml:space="preserve">https://hudoc.echr.coe.int/app/conversion/pdf/?library=ECHR&amp;id=001-191834&amp;filename=CASE%20OF%20E.B.%20v.%20FRANCE%20-%20%5BRussian%20translation%5D%20summary%20by%20Development%20of%20Legal%20Systems%20Publ.%20Co.pdf</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p>
    <w:p w:rsidR="00000000" w:rsidDel="00000000" w:rsidP="00000000" w:rsidRDefault="00000000" w:rsidRPr="00000000" w14:paraId="00000200">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Case of Pretty v. The United Kingdom </w:t>
      </w:r>
      <w:r w:rsidDel="00000000" w:rsidR="00000000" w:rsidRPr="00000000">
        <w:rPr>
          <w:rFonts w:ascii="Times New Roman" w:cs="Times New Roman" w:eastAsia="Times New Roman" w:hAnsi="Times New Roman"/>
          <w:sz w:val="28"/>
          <w:szCs w:val="28"/>
          <w:rtl w:val="0"/>
        </w:rPr>
        <w:t xml:space="preserve">(App no 2346/02) ECHR </w:t>
      </w:r>
      <w:r w:rsidDel="00000000" w:rsidR="00000000" w:rsidRPr="00000000">
        <w:rPr>
          <w:rFonts w:ascii="Times New Roman" w:cs="Times New Roman" w:eastAsia="Times New Roman" w:hAnsi="Times New Roman"/>
          <w:color w:val="333333"/>
          <w:sz w:val="28"/>
          <w:szCs w:val="28"/>
          <w:highlight w:val="white"/>
          <w:rtl w:val="0"/>
        </w:rPr>
        <w:t xml:space="preserve">29 April 2002. URL: </w:t>
      </w:r>
      <w:hyperlink r:id="rId41">
        <w:r w:rsidDel="00000000" w:rsidR="00000000" w:rsidRPr="00000000">
          <w:rPr>
            <w:rFonts w:ascii="Times New Roman" w:cs="Times New Roman" w:eastAsia="Times New Roman" w:hAnsi="Times New Roman"/>
            <w:color w:val="333333"/>
            <w:sz w:val="28"/>
            <w:szCs w:val="28"/>
            <w:highlight w:val="white"/>
            <w:rtl w:val="0"/>
          </w:rPr>
          <w:t xml:space="preserve">https://zakon.rada.gov.ua/laws/show/980_210#Text</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1">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Конвенція про захист прав людини і основоположних свобод від 04.11.1950 р. URL: </w:t>
      </w:r>
      <w:hyperlink r:id="rId42">
        <w:r w:rsidDel="00000000" w:rsidR="00000000" w:rsidRPr="00000000">
          <w:rPr>
            <w:rFonts w:ascii="Times New Roman" w:cs="Times New Roman" w:eastAsia="Times New Roman" w:hAnsi="Times New Roman"/>
            <w:color w:val="333333"/>
            <w:sz w:val="28"/>
            <w:szCs w:val="28"/>
            <w:highlight w:val="white"/>
            <w:rtl w:val="0"/>
          </w:rPr>
          <w:t xml:space="preserve">https://zakon.rada.gov.ua/laws/show/995_004#Text</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2">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Klass v. </w:t>
      </w:r>
      <w:r w:rsidDel="00000000" w:rsidR="00000000" w:rsidRPr="00000000">
        <w:rPr>
          <w:rFonts w:ascii="Times New Roman" w:cs="Times New Roman" w:eastAsia="Times New Roman" w:hAnsi="Times New Roman"/>
          <w:sz w:val="28"/>
          <w:szCs w:val="28"/>
          <w:rtl w:val="0"/>
        </w:rPr>
        <w:t xml:space="preserve">Germany ECHR 06 September 1978. URL: </w:t>
      </w:r>
      <w:hyperlink r:id="rId43">
        <w:r w:rsidDel="00000000" w:rsidR="00000000" w:rsidRPr="00000000">
          <w:rPr>
            <w:rFonts w:ascii="Times New Roman" w:cs="Times New Roman" w:eastAsia="Times New Roman" w:hAnsi="Times New Roman"/>
            <w:color w:val="333333"/>
            <w:sz w:val="28"/>
            <w:szCs w:val="28"/>
            <w:highlight w:val="white"/>
            <w:rtl w:val="0"/>
          </w:rPr>
          <w:t xml:space="preserve">https://zakon.rada.gov.ua/laws/show/980_093#Text</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3">
      <w:pPr>
        <w:numPr>
          <w:ilvl w:val="0"/>
          <w:numId w:val="1"/>
        </w:numPr>
        <w:shd w:fill="ffffff" w:val="clea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Корр v. Switzerland ECHR </w:t>
      </w:r>
      <w:r w:rsidDel="00000000" w:rsidR="00000000" w:rsidRPr="00000000">
        <w:rPr>
          <w:rFonts w:ascii="Times New Roman" w:cs="Times New Roman" w:eastAsia="Times New Roman" w:hAnsi="Times New Roman"/>
          <w:color w:val="333333"/>
          <w:sz w:val="28"/>
          <w:szCs w:val="28"/>
          <w:highlight w:val="white"/>
          <w:rtl w:val="0"/>
        </w:rPr>
        <w:t xml:space="preserve">25 March 1998. URL: </w:t>
      </w:r>
      <w:hyperlink r:id="rId44">
        <w:r w:rsidDel="00000000" w:rsidR="00000000" w:rsidRPr="00000000">
          <w:rPr>
            <w:rFonts w:ascii="Times New Roman" w:cs="Times New Roman" w:eastAsia="Times New Roman" w:hAnsi="Times New Roman"/>
            <w:color w:val="333333"/>
            <w:sz w:val="28"/>
            <w:szCs w:val="28"/>
            <w:highlight w:val="white"/>
            <w:rtl w:val="0"/>
          </w:rPr>
          <w:t xml:space="preserve">https://hudoc.echr.coe.int/app/conversion/pdf/?library=ECHR&amp;id=001-102085&amp;filename=CASE%20OF%20KOPP%20v.%20SWITZERLAND%20-%20%5BRussian%20Translation%5D.pdf</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p>
    <w:p w:rsidR="00000000" w:rsidDel="00000000" w:rsidP="00000000" w:rsidRDefault="00000000" w:rsidRPr="00000000" w14:paraId="00000204">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Дроздов О., Дроздова О. Посібник за статтею 8 Конвенції про захист прав людини та основоположних свобод. Право на повагу до приватного і сімейного життя. Київ, 2018. URL: </w:t>
      </w:r>
      <w:hyperlink r:id="rId45">
        <w:r w:rsidDel="00000000" w:rsidR="00000000" w:rsidRPr="00000000">
          <w:rPr>
            <w:rFonts w:ascii="Times New Roman" w:cs="Times New Roman" w:eastAsia="Times New Roman" w:hAnsi="Times New Roman"/>
            <w:color w:val="333333"/>
            <w:sz w:val="28"/>
            <w:szCs w:val="28"/>
            <w:highlight w:val="white"/>
            <w:rtl w:val="0"/>
          </w:rPr>
          <w:t xml:space="preserve">https://unba.org.ua/assets/uploads/1259d4263dac852ef056_file.pdf</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5">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 Об’єднані справи C-92/09 та C-93/09 «Volker und Markus Schecke GbR та Хартмут Ейферт проти землі Гессен» від 09.11.2010 р. URL: </w:t>
      </w:r>
      <w:hyperlink r:id="rId46">
        <w:r w:rsidDel="00000000" w:rsidR="00000000" w:rsidRPr="00000000">
          <w:rPr>
            <w:rFonts w:ascii="Times New Roman" w:cs="Times New Roman" w:eastAsia="Times New Roman" w:hAnsi="Times New Roman"/>
            <w:color w:val="333333"/>
            <w:sz w:val="28"/>
            <w:szCs w:val="28"/>
            <w:highlight w:val="white"/>
            <w:rtl w:val="0"/>
          </w:rPr>
          <w:t xml:space="preserve">https://curia.europa.eu/juris/document/document.jsf?text=&amp;docid=79001&amp;pageIndex=0&amp;doclang=en&amp;mode=lst&amp;dir=&amp;occ=first&amp;part=1&amp;cid=511023</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6">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S. and Marper v. the United Kingdom (App no 30562/04 and 30566/04) 4 December 2008. URL: </w:t>
      </w:r>
      <w:hyperlink r:id="rId47">
        <w:r w:rsidDel="00000000" w:rsidR="00000000" w:rsidRPr="00000000">
          <w:rPr>
            <w:rFonts w:ascii="Times New Roman" w:cs="Times New Roman" w:eastAsia="Times New Roman" w:hAnsi="Times New Roman"/>
            <w:color w:val="333333"/>
            <w:sz w:val="28"/>
            <w:szCs w:val="28"/>
            <w:highlight w:val="white"/>
            <w:rtl w:val="0"/>
          </w:rPr>
          <w:t xml:space="preserve">https://hudoc.echr.coe.int/eng#{%22itemid%22:[%22001-90051%22</w:t>
        </w:r>
      </w:hyperlink>
      <w:r w:rsidDel="00000000" w:rsidR="00000000" w:rsidRPr="00000000">
        <w:rPr>
          <w:rFonts w:ascii="Times New Roman" w:cs="Times New Roman" w:eastAsia="Times New Roman" w:hAnsi="Times New Roman"/>
          <w:color w:val="333333"/>
          <w:sz w:val="28"/>
          <w:szCs w:val="28"/>
          <w:highlight w:val="white"/>
          <w:rtl w:val="0"/>
        </w:rPr>
        <w:t xml:space="preserve"> (дата </w:t>
      </w:r>
      <w:r w:rsidDel="00000000" w:rsidR="00000000" w:rsidRPr="00000000">
        <w:rPr>
          <w:rFonts w:ascii="Times New Roman" w:cs="Times New Roman" w:eastAsia="Times New Roman" w:hAnsi="Times New Roman"/>
          <w:sz w:val="28"/>
          <w:szCs w:val="28"/>
          <w:rtl w:val="0"/>
        </w:rPr>
        <w:t xml:space="preserve">звернення: 11.11.2023).</w:t>
      </w:r>
      <w:r w:rsidDel="00000000" w:rsidR="00000000" w:rsidRPr="00000000">
        <w:rPr>
          <w:rtl w:val="0"/>
        </w:rPr>
      </w:r>
    </w:p>
    <w:p w:rsidR="00000000" w:rsidDel="00000000" w:rsidP="00000000" w:rsidRDefault="00000000" w:rsidRPr="00000000" w14:paraId="00000207">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 Посібник з європейського права у сфері захисту персональних даних. Київ: К.І.С., 2020. 432 с. URL: </w:t>
      </w:r>
      <w:hyperlink r:id="rId48">
        <w:r w:rsidDel="00000000" w:rsidR="00000000" w:rsidRPr="00000000">
          <w:rPr>
            <w:rFonts w:ascii="Times New Roman" w:cs="Times New Roman" w:eastAsia="Times New Roman" w:hAnsi="Times New Roman"/>
            <w:color w:val="333333"/>
            <w:sz w:val="28"/>
            <w:szCs w:val="28"/>
            <w:highlight w:val="white"/>
            <w:rtl w:val="0"/>
          </w:rPr>
          <w:t xml:space="preserve">https://fra.europa.eu/sites/default/files/fra_uploads/fra-coe-edps-2018-handbook-data-protection_ukr.pdf</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8">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Taylor Sabori v. the United Kingdom (App no 47114/99) 22 October 2002. URL: </w:t>
      </w:r>
      <w:hyperlink r:id="rId49">
        <w:r w:rsidDel="00000000" w:rsidR="00000000" w:rsidRPr="00000000">
          <w:rPr>
            <w:rFonts w:ascii="Times New Roman" w:cs="Times New Roman" w:eastAsia="Times New Roman" w:hAnsi="Times New Roman"/>
            <w:color w:val="333333"/>
            <w:sz w:val="28"/>
            <w:szCs w:val="28"/>
            <w:highlight w:val="white"/>
            <w:rtl w:val="0"/>
          </w:rPr>
          <w:t xml:space="preserve">https://hudoc.echr.coe.int/eng#{%22itemid%22:[%22001-60696%22</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9">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Khelili v. Switzerland (App no 16188/07) 18 October 2011. URL: </w:t>
      </w:r>
      <w:hyperlink r:id="rId50">
        <w:r w:rsidDel="00000000" w:rsidR="00000000" w:rsidRPr="00000000">
          <w:rPr>
            <w:rFonts w:ascii="Times New Roman" w:cs="Times New Roman" w:eastAsia="Times New Roman" w:hAnsi="Times New Roman"/>
            <w:color w:val="333333"/>
            <w:sz w:val="28"/>
            <w:szCs w:val="28"/>
            <w:highlight w:val="white"/>
            <w:rtl w:val="0"/>
          </w:rPr>
          <w:t xml:space="preserve">https://hudoc.echr.coe.int/eng#{%22itemid%22:[%22001-107032%22</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A">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 Panteleyenko v. Ukraine (App no 11901/02) 29 June 2006. URL: </w:t>
      </w:r>
      <w:hyperlink r:id="rId51">
        <w:r w:rsidDel="00000000" w:rsidR="00000000" w:rsidRPr="00000000">
          <w:rPr>
            <w:rFonts w:ascii="Times New Roman" w:cs="Times New Roman" w:eastAsia="Times New Roman" w:hAnsi="Times New Roman"/>
            <w:color w:val="333333"/>
            <w:sz w:val="28"/>
            <w:szCs w:val="28"/>
            <w:highlight w:val="white"/>
            <w:rtl w:val="0"/>
          </w:rPr>
          <w:t xml:space="preserve">https://zakon.rada.gov.ua/laws/show/974_274#Text</w:t>
        </w:r>
      </w:hyperlink>
      <w:r w:rsidDel="00000000" w:rsidR="00000000" w:rsidRPr="00000000">
        <w:rPr>
          <w:rFonts w:ascii="Times New Roman" w:cs="Times New Roman" w:eastAsia="Times New Roman" w:hAnsi="Times New Roman"/>
          <w:sz w:val="28"/>
          <w:szCs w:val="28"/>
          <w:rtl w:val="0"/>
        </w:rPr>
        <w:t xml:space="preserve"> (дата звернення: 11.11.2023).</w:t>
      </w:r>
      <w:r w:rsidDel="00000000" w:rsidR="00000000" w:rsidRPr="00000000">
        <w:rPr>
          <w:rtl w:val="0"/>
        </w:rPr>
      </w:r>
    </w:p>
    <w:p w:rsidR="00000000" w:rsidDel="00000000" w:rsidP="00000000" w:rsidRDefault="00000000" w:rsidRPr="00000000" w14:paraId="0000020B">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Кримінальний процесуальний кодекс України. </w:t>
      </w:r>
      <w:r w:rsidDel="00000000" w:rsidR="00000000" w:rsidRPr="00000000">
        <w:rPr>
          <w:rFonts w:ascii="Times New Roman" w:cs="Times New Roman" w:eastAsia="Times New Roman" w:hAnsi="Times New Roman"/>
          <w:i w:val="1"/>
          <w:sz w:val="28"/>
          <w:szCs w:val="28"/>
          <w:rtl w:val="0"/>
        </w:rPr>
        <w:t xml:space="preserve">Науково-практичний коментар</w:t>
      </w:r>
      <w:r w:rsidDel="00000000" w:rsidR="00000000" w:rsidRPr="00000000">
        <w:rPr>
          <w:rFonts w:ascii="Times New Roman" w:cs="Times New Roman" w:eastAsia="Times New Roman" w:hAnsi="Times New Roman"/>
          <w:sz w:val="28"/>
          <w:szCs w:val="28"/>
          <w:rtl w:val="0"/>
        </w:rPr>
        <w:t xml:space="preserve">: у 2 т. Т. 1 / О.М. Бандурка, Є.М. Блажівський, Є.П. Бурдоль та ін. Х: Право, 2012. С. 47 (дата звернення: 11.11.2023).</w:t>
      </w:r>
    </w:p>
    <w:p w:rsidR="00000000" w:rsidDel="00000000" w:rsidP="00000000" w:rsidRDefault="00000000" w:rsidRPr="00000000" w14:paraId="0000020C">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Рішення Конституційного Суду у справі за конституційним поданням Жашківської районної ради Черкаської області щодо офіційного тлумачення положень частин першої, другої статті 32, частин другої, третьої статті 34 Конституції України від 20.01.2012 р. № 2-рп/2012. URL: </w:t>
      </w:r>
      <w:hyperlink r:id="rId52">
        <w:r w:rsidDel="00000000" w:rsidR="00000000" w:rsidRPr="00000000">
          <w:rPr>
            <w:rFonts w:ascii="Times New Roman" w:cs="Times New Roman" w:eastAsia="Times New Roman" w:hAnsi="Times New Roman"/>
            <w:color w:val="333333"/>
            <w:sz w:val="28"/>
            <w:szCs w:val="28"/>
            <w:highlight w:val="white"/>
            <w:rtl w:val="0"/>
          </w:rPr>
          <w:t xml:space="preserve">https://zakon.rada.gov.ua/laws/show/v002p710-12#Text</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D">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Тимошенко О.А. Захист персональних даних в цивільних правовідносинах: вітчизняне правове забезпечення крізь призму практики Європейського суду з прав людини. URL: </w:t>
      </w:r>
      <w:hyperlink r:id="rId53">
        <w:r w:rsidDel="00000000" w:rsidR="00000000" w:rsidRPr="00000000">
          <w:rPr>
            <w:rFonts w:ascii="Times New Roman" w:cs="Times New Roman" w:eastAsia="Times New Roman" w:hAnsi="Times New Roman"/>
            <w:color w:val="333333"/>
            <w:sz w:val="28"/>
            <w:szCs w:val="28"/>
            <w:highlight w:val="white"/>
            <w:rtl w:val="0"/>
          </w:rPr>
          <w:t xml:space="preserve">https://app-journal.in.ua/wp-content/uploads/2023/09/29.pdf</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E">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Рішення Конституційного Суду у справі за конституційним поданням Уповноваженого Верховної Ради України з прав людини щодо відповідності Конституції України (конституційності) окремих положень абзацу першого пункту 40 розділу VI «Прикінцеві та перехідні положення» Бюджетного кодексу України від 11.10.2018 р. № 7-р/2018. URL: </w:t>
      </w:r>
      <w:hyperlink r:id="rId54">
        <w:r w:rsidDel="00000000" w:rsidR="00000000" w:rsidRPr="00000000">
          <w:rPr>
            <w:rFonts w:ascii="Times New Roman" w:cs="Times New Roman" w:eastAsia="Times New Roman" w:hAnsi="Times New Roman"/>
            <w:color w:val="333333"/>
            <w:sz w:val="28"/>
            <w:szCs w:val="28"/>
            <w:highlight w:val="white"/>
            <w:rtl w:val="0"/>
          </w:rPr>
          <w:t xml:space="preserve">https://zakon.rada.gov.ua/laws/show/v007p710-18#Text</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0F">
      <w:pPr>
        <w:numPr>
          <w:ilvl w:val="0"/>
          <w:numId w:val="1"/>
        </w:numPr>
        <w:shd w:fill="ffffff" w:val="clea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333333"/>
          <w:sz w:val="28"/>
          <w:szCs w:val="28"/>
          <w:highlight w:val="white"/>
          <w:rtl w:val="0"/>
        </w:rPr>
        <w:t xml:space="preserve">Щодо оформлення паспорта громадянина України: Постанова ВП ВС у зразковій адміністративній справі №806/3265/17 від 19.09.2017 р. URL: </w:t>
      </w:r>
      <w:hyperlink r:id="rId55">
        <w:r w:rsidDel="00000000" w:rsidR="00000000" w:rsidRPr="00000000">
          <w:rPr>
            <w:rFonts w:ascii="Times New Roman" w:cs="Times New Roman" w:eastAsia="Times New Roman" w:hAnsi="Times New Roman"/>
            <w:color w:val="333333"/>
            <w:sz w:val="28"/>
            <w:szCs w:val="28"/>
            <w:highlight w:val="white"/>
            <w:rtl w:val="0"/>
          </w:rPr>
          <w:t xml:space="preserve">https://reyestr.court.gov.ua/Review/76822787</w:t>
        </w:r>
      </w:hyperlink>
      <w:r w:rsidDel="00000000" w:rsidR="00000000" w:rsidRPr="00000000">
        <w:rPr>
          <w:rFonts w:ascii="Times New Roman" w:cs="Times New Roman" w:eastAsia="Times New Roman" w:hAnsi="Times New Roman"/>
          <w:color w:val="333333"/>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r w:rsidDel="00000000" w:rsidR="00000000" w:rsidRPr="00000000">
        <w:rPr>
          <w:rtl w:val="0"/>
        </w:rPr>
      </w:r>
    </w:p>
    <w:p w:rsidR="00000000" w:rsidDel="00000000" w:rsidP="00000000" w:rsidRDefault="00000000" w:rsidRPr="00000000" w14:paraId="00000210">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Leander v. Sweden (App no 9248/81) 26 March 1987. URL: </w:t>
      </w:r>
      <w:hyperlink r:id="rId56">
        <w:r w:rsidDel="00000000" w:rsidR="00000000" w:rsidRPr="00000000">
          <w:rPr>
            <w:rFonts w:ascii="Times New Roman" w:cs="Times New Roman" w:eastAsia="Times New Roman" w:hAnsi="Times New Roman"/>
            <w:color w:val="333333"/>
            <w:sz w:val="28"/>
            <w:szCs w:val="28"/>
            <w:highlight w:val="white"/>
            <w:rtl w:val="0"/>
          </w:rPr>
          <w:t xml:space="preserve">http://hudoc.echr.coe.int/eng#{%22itemid%22:[%22001-57519%22</w:t>
        </w:r>
      </w:hyperlink>
      <w:r w:rsidDel="00000000" w:rsidR="00000000" w:rsidRPr="00000000">
        <w:rPr>
          <w:rFonts w:ascii="Times New Roman" w:cs="Times New Roman" w:eastAsia="Times New Roman" w:hAnsi="Times New Roman"/>
          <w:color w:val="333333"/>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(дата звернення: 11.11.2023).</w:t>
      </w:r>
      <w:r w:rsidDel="00000000" w:rsidR="00000000" w:rsidRPr="00000000">
        <w:rPr>
          <w:rtl w:val="0"/>
        </w:rPr>
      </w:r>
    </w:p>
    <w:p w:rsidR="00000000" w:rsidDel="00000000" w:rsidP="00000000" w:rsidRDefault="00000000" w:rsidRPr="00000000" w14:paraId="00000211">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Magyar Helsinki Bizottság v. Hungar (App no 18030/11) 8 November 2016. URL: </w:t>
      </w:r>
      <w:hyperlink r:id="rId57">
        <w:r w:rsidDel="00000000" w:rsidR="00000000" w:rsidRPr="00000000">
          <w:rPr>
            <w:rFonts w:ascii="Times New Roman" w:cs="Times New Roman" w:eastAsia="Times New Roman" w:hAnsi="Times New Roman"/>
            <w:sz w:val="28"/>
            <w:szCs w:val="28"/>
            <w:rtl w:val="0"/>
          </w:rPr>
          <w:t xml:space="preserve">http://hudoc.echr.coe.int/eng#{%22itemid%22:[%22001-167828]%22</w:t>
        </w:r>
      </w:hyperlink>
      <w:r w:rsidDel="00000000" w:rsidR="00000000" w:rsidRPr="00000000">
        <w:rPr>
          <w:rFonts w:ascii="Times New Roman" w:cs="Times New Roman" w:eastAsia="Times New Roman" w:hAnsi="Times New Roman"/>
          <w:sz w:val="28"/>
          <w:szCs w:val="28"/>
          <w:rtl w:val="0"/>
        </w:rPr>
        <w:t xml:space="preserve">]} (дата звернення: 11.11.2023).</w:t>
      </w:r>
      <w:r w:rsidDel="00000000" w:rsidR="00000000" w:rsidRPr="00000000">
        <w:rPr>
          <w:rtl w:val="0"/>
        </w:rPr>
      </w:r>
    </w:p>
    <w:p w:rsidR="00000000" w:rsidDel="00000000" w:rsidP="00000000" w:rsidRDefault="00000000" w:rsidRPr="00000000" w14:paraId="00000212">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Буртник Х. Правові позиції Європейського суду з прав людини у справах щодо доступу до публічної інформації. URL: </w:t>
      </w:r>
      <w:hyperlink r:id="rId58">
        <w:r w:rsidDel="00000000" w:rsidR="00000000" w:rsidRPr="00000000">
          <w:rPr>
            <w:rFonts w:ascii="Times New Roman" w:cs="Times New Roman" w:eastAsia="Times New Roman" w:hAnsi="Times New Roman"/>
            <w:sz w:val="28"/>
            <w:szCs w:val="28"/>
            <w:rtl w:val="0"/>
          </w:rPr>
          <w:t xml:space="preserve">https://rm.coe.int/echr-cases-2020-web/1680a10d12</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213">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«Центр демократії та верховенства права проти України» (Заява № 10090/16) від 26.03.2023 р. URL: </w:t>
      </w:r>
      <w:hyperlink r:id="rId59">
        <w:r w:rsidDel="00000000" w:rsidR="00000000" w:rsidRPr="00000000">
          <w:rPr>
            <w:rFonts w:ascii="Times New Roman" w:cs="Times New Roman" w:eastAsia="Times New Roman" w:hAnsi="Times New Roman"/>
            <w:sz w:val="28"/>
            <w:szCs w:val="28"/>
            <w:rtl w:val="0"/>
          </w:rPr>
          <w:t xml:space="preserve">https://zakon.rada.gov.ua/laws/show/974_f18#Text</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214">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Big Brother Watch and Others v. The United Kingdom (App no 58170/13, 62322/14 та 24960/15) 13 September 2018 URL: </w:t>
      </w:r>
      <w:hyperlink r:id="rId60">
        <w:r w:rsidDel="00000000" w:rsidR="00000000" w:rsidRPr="00000000">
          <w:rPr>
            <w:rFonts w:ascii="Times New Roman" w:cs="Times New Roman" w:eastAsia="Times New Roman" w:hAnsi="Times New Roman"/>
            <w:sz w:val="28"/>
            <w:szCs w:val="28"/>
            <w:rtl w:val="0"/>
          </w:rPr>
          <w:t xml:space="preserve">https://hudoc.echr.coe.int/app/conversion/pdf/?library=ECHR&amp;id=001-221054&amp;filename=CASE%20OF%20BIG%20BROTHER%20WATCH%20AND%20OTHERS%20v.%20THE%20UNITED%20KINGDOM%20-%20%5BUkrainian%20Translation%5D%20summary%20by%20the%20Supreme%20Court%20of%20Ukraine.pdf</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215">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 демократії та верховенства права. Вig Brother Watch та інші проти Сполученого Королівства (Big Brother Watch and others v. the United Kingdom) і «Центр правосуддя» проти Швеції (Сentrum för rättvisa v. Sweden) URL: </w:t>
      </w:r>
      <w:hyperlink r:id="rId61">
        <w:r w:rsidDel="00000000" w:rsidR="00000000" w:rsidRPr="00000000">
          <w:rPr>
            <w:rFonts w:ascii="Times New Roman" w:cs="Times New Roman" w:eastAsia="Times New Roman" w:hAnsi="Times New Roman"/>
            <w:sz w:val="28"/>
            <w:szCs w:val="28"/>
            <w:rtl w:val="0"/>
          </w:rPr>
          <w:t xml:space="preserve">https://cedem.org.ua/library/vs-uk-and-sweden/</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216">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Nitecki v. Poland (App no 65653/01) 21 March 2002. URL: </w:t>
      </w:r>
      <w:hyperlink r:id="rId62">
        <w:r w:rsidDel="00000000" w:rsidR="00000000" w:rsidRPr="00000000">
          <w:rPr>
            <w:rFonts w:ascii="Times New Roman" w:cs="Times New Roman" w:eastAsia="Times New Roman" w:hAnsi="Times New Roman"/>
            <w:sz w:val="28"/>
            <w:szCs w:val="28"/>
            <w:rtl w:val="0"/>
          </w:rPr>
          <w:t xml:space="preserve">https://hudoc.echr.coe.int/app/conversion/pdf/?library=ECHR&amp;id=001-22339&amp;filename=001-22339.pdf</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217">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Sentges v. the Netherlands (App no </w:t>
      </w:r>
      <w:r w:rsidDel="00000000" w:rsidR="00000000" w:rsidRPr="00000000">
        <w:rPr>
          <w:rFonts w:ascii="Times New Roman" w:cs="Times New Roman" w:eastAsia="Times New Roman" w:hAnsi="Times New Roman"/>
          <w:color w:val="4d5156"/>
          <w:sz w:val="28"/>
          <w:szCs w:val="28"/>
          <w:highlight w:val="white"/>
          <w:rtl w:val="0"/>
        </w:rPr>
        <w:t xml:space="preserve">27677/02</w:t>
      </w:r>
      <w:r w:rsidDel="00000000" w:rsidR="00000000" w:rsidRPr="00000000">
        <w:rPr>
          <w:rFonts w:ascii="Times New Roman" w:cs="Times New Roman" w:eastAsia="Times New Roman" w:hAnsi="Times New Roman"/>
          <w:sz w:val="28"/>
          <w:szCs w:val="28"/>
          <w:rtl w:val="0"/>
        </w:rPr>
        <w:t xml:space="preserve">) 10 August 1999. URL: </w:t>
      </w:r>
      <w:hyperlink r:id="rId63">
        <w:r w:rsidDel="00000000" w:rsidR="00000000" w:rsidRPr="00000000">
          <w:rPr>
            <w:rFonts w:ascii="Times New Roman" w:cs="Times New Roman" w:eastAsia="Times New Roman" w:hAnsi="Times New Roman"/>
            <w:sz w:val="28"/>
            <w:szCs w:val="28"/>
            <w:rtl w:val="0"/>
          </w:rPr>
          <w:t xml:space="preserve">https://hudoc.echr.coe.int/app/conversion/docx/pdf?library=ECHR&amp;id=001-23318&amp;filename=SENTGES%20v.%20THE%20NETHERLANDS.pdf&amp;logEvent=False</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218">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Odievre – France (App no 42326/98) 13 February 2003. URL: </w:t>
      </w:r>
      <w:hyperlink r:id="rId64">
        <w:r w:rsidDel="00000000" w:rsidR="00000000" w:rsidRPr="00000000">
          <w:rPr>
            <w:rFonts w:ascii="Times New Roman" w:cs="Times New Roman" w:eastAsia="Times New Roman" w:hAnsi="Times New Roman"/>
            <w:sz w:val="28"/>
            <w:szCs w:val="28"/>
            <w:rtl w:val="0"/>
          </w:rPr>
          <w:t xml:space="preserve">https://hudoc.echr.coe.int/app/conversion/docx/pdf?library=ECHR&amp;id=001-125279&amp;filename=CASE%20OF%20ODIEVRE%20v.%20FRANCE%20-%20%5BUkrainian%20Translation%5D%20summary%20by%20the%20Lviv%20Laboratory%20of%20Human%20Rights.pdf&amp;logEvent=False</w:t>
        </w:r>
      </w:hyperlink>
      <w:r w:rsidDel="00000000" w:rsidR="00000000" w:rsidRPr="00000000">
        <w:rPr>
          <w:rFonts w:ascii="Times New Roman" w:cs="Times New Roman" w:eastAsia="Times New Roman" w:hAnsi="Times New Roman"/>
          <w:sz w:val="28"/>
          <w:szCs w:val="28"/>
          <w:rtl w:val="0"/>
        </w:rPr>
        <w:t xml:space="preserve"> (дата звернення: 29.10.2023).</w:t>
      </w:r>
    </w:p>
    <w:p w:rsidR="00000000" w:rsidDel="00000000" w:rsidP="00000000" w:rsidRDefault="00000000" w:rsidRPr="00000000" w14:paraId="00000219">
      <w:pPr>
        <w:numPr>
          <w:ilvl w:val="0"/>
          <w:numId w:val="1"/>
        </w:numPr>
        <w:spacing w:line="360" w:lineRule="auto"/>
        <w:ind w:left="0" w:right="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Case of GLASS v. The United Kingdom (App no № 61827/00) </w:t>
      </w:r>
      <w:r w:rsidDel="00000000" w:rsidR="00000000" w:rsidRPr="00000000">
        <w:rPr>
          <w:rFonts w:ascii="Times New Roman" w:cs="Times New Roman" w:eastAsia="Times New Roman" w:hAnsi="Times New Roman"/>
          <w:sz w:val="28"/>
          <w:szCs w:val="28"/>
          <w:highlight w:val="white"/>
          <w:rtl w:val="0"/>
        </w:rPr>
        <w:t xml:space="preserve">9 March 2004. URL: </w:t>
      </w:r>
      <w:hyperlink r:id="rId65">
        <w:r w:rsidDel="00000000" w:rsidR="00000000" w:rsidRPr="00000000">
          <w:rPr>
            <w:rFonts w:ascii="Times New Roman" w:cs="Times New Roman" w:eastAsia="Times New Roman" w:hAnsi="Times New Roman"/>
            <w:sz w:val="28"/>
            <w:szCs w:val="28"/>
            <w:rtl w:val="0"/>
          </w:rPr>
          <w:t xml:space="preserve">https://hudoc.echr.coe.int/Eng?i=001-61663</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29.10.2023).</w:t>
      </w:r>
    </w:p>
    <w:p w:rsidR="00000000" w:rsidDel="00000000" w:rsidP="00000000" w:rsidRDefault="00000000" w:rsidRPr="00000000" w14:paraId="0000021A">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12529"/>
          <w:sz w:val="28"/>
          <w:szCs w:val="28"/>
          <w:highlight w:val="white"/>
          <w:rtl w:val="0"/>
        </w:rPr>
        <w:t xml:space="preserve">Ейрі проти Ірландії від 09.10.1979 р. URL: </w:t>
      </w:r>
      <w:hyperlink r:id="rId66">
        <w:r w:rsidDel="00000000" w:rsidR="00000000" w:rsidRPr="00000000">
          <w:rPr>
            <w:rFonts w:ascii="Times New Roman" w:cs="Times New Roman" w:eastAsia="Times New Roman" w:hAnsi="Times New Roman"/>
            <w:sz w:val="28"/>
            <w:szCs w:val="28"/>
            <w:rtl w:val="0"/>
          </w:rPr>
          <w:t xml:space="preserve">https://zakon.rada.gov.ua/laws/show/980_332#Text</w:t>
        </w:r>
      </w:hyperlink>
      <w:r w:rsidDel="00000000" w:rsidR="00000000" w:rsidRPr="00000000">
        <w:rPr>
          <w:rFonts w:ascii="Times New Roman" w:cs="Times New Roman" w:eastAsia="Times New Roman" w:hAnsi="Times New Roman"/>
          <w:sz w:val="28"/>
          <w:szCs w:val="28"/>
          <w:rtl w:val="0"/>
        </w:rPr>
        <w:t xml:space="preserve"> (дата звернення: 29.10.2023).</w:t>
      </w:r>
      <w:r w:rsidDel="00000000" w:rsidR="00000000" w:rsidRPr="00000000">
        <w:rPr>
          <w:rtl w:val="0"/>
        </w:rPr>
      </w:r>
    </w:p>
    <w:p w:rsidR="00000000" w:rsidDel="00000000" w:rsidP="00000000" w:rsidRDefault="00000000" w:rsidRPr="00000000" w14:paraId="0000021B">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151515"/>
          <w:sz w:val="28"/>
          <w:szCs w:val="28"/>
          <w:highlight w:val="white"/>
          <w:rtl w:val="0"/>
        </w:rPr>
        <w:t xml:space="preserve">Roche v. United Kingdom (App no 32555/96) 19 October 2005. URL: </w:t>
      </w:r>
      <w:hyperlink r:id="rId67">
        <w:r w:rsidDel="00000000" w:rsidR="00000000" w:rsidRPr="00000000">
          <w:rPr>
            <w:rFonts w:ascii="Times New Roman" w:cs="Times New Roman" w:eastAsia="Times New Roman" w:hAnsi="Times New Roman"/>
            <w:sz w:val="28"/>
            <w:szCs w:val="28"/>
            <w:rtl w:val="0"/>
          </w:rPr>
          <w:t xml:space="preserve">https://hudoc.echr.coe.int/eng?i=001-70662</w:t>
        </w:r>
      </w:hyperlink>
      <w:r w:rsidDel="00000000" w:rsidR="00000000" w:rsidRPr="00000000">
        <w:rPr>
          <w:rFonts w:ascii="Times New Roman" w:cs="Times New Roman" w:eastAsia="Times New Roman" w:hAnsi="Times New Roman"/>
          <w:sz w:val="28"/>
          <w:szCs w:val="28"/>
          <w:rtl w:val="0"/>
        </w:rPr>
        <w:t xml:space="preserve"> (дата звернення: 29.10.2023).</w:t>
      </w:r>
      <w:r w:rsidDel="00000000" w:rsidR="00000000" w:rsidRPr="00000000">
        <w:rPr>
          <w:rtl w:val="0"/>
        </w:rPr>
      </w:r>
    </w:p>
    <w:p w:rsidR="00000000" w:rsidDel="00000000" w:rsidP="00000000" w:rsidRDefault="00000000" w:rsidRPr="00000000" w14:paraId="0000021C">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151515"/>
          <w:sz w:val="28"/>
          <w:szCs w:val="28"/>
          <w:highlight w:val="white"/>
          <w:rtl w:val="0"/>
        </w:rPr>
        <w:t xml:space="preserve">A, B and C v. Ireland [GC] (App no 25579/05) 16 December 2010. </w:t>
      </w:r>
      <w:r w:rsidDel="00000000" w:rsidR="00000000" w:rsidRPr="00000000">
        <w:rPr>
          <w:rFonts w:ascii="Times New Roman" w:cs="Times New Roman" w:eastAsia="Times New Roman" w:hAnsi="Times New Roman"/>
          <w:color w:val="4d5156"/>
          <w:sz w:val="28"/>
          <w:szCs w:val="28"/>
          <w:highlight w:val="white"/>
          <w:rtl w:val="0"/>
        </w:rPr>
        <w:t xml:space="preserve">URL:</w:t>
      </w:r>
      <w:r w:rsidDel="00000000" w:rsidR="00000000" w:rsidRPr="00000000">
        <w:rPr>
          <w:rFonts w:ascii="Times New Roman" w:cs="Times New Roman" w:eastAsia="Times New Roman" w:hAnsi="Times New Roman"/>
          <w:color w:val="4d5156"/>
          <w:sz w:val="28"/>
          <w:szCs w:val="28"/>
          <w:rtl w:val="0"/>
        </w:rPr>
        <w:t xml:space="preserve"> </w:t>
      </w:r>
      <w:hyperlink r:id="rId68">
        <w:r w:rsidDel="00000000" w:rsidR="00000000" w:rsidRPr="00000000">
          <w:rPr>
            <w:rFonts w:ascii="Times New Roman" w:cs="Times New Roman" w:eastAsia="Times New Roman" w:hAnsi="Times New Roman"/>
            <w:sz w:val="28"/>
            <w:szCs w:val="28"/>
            <w:rtl w:val="0"/>
          </w:rPr>
          <w:t xml:space="preserve">https://hudoc.echr.coe.int/fre#%7B%22itemid%22:%5B%22001-102332%22%5D%7D</w:t>
        </w:r>
      </w:hyperlink>
      <w:r w:rsidDel="00000000" w:rsidR="00000000" w:rsidRPr="00000000">
        <w:rPr>
          <w:rFonts w:ascii="Times New Roman" w:cs="Times New Roman" w:eastAsia="Times New Roman" w:hAnsi="Times New Roman"/>
          <w:sz w:val="28"/>
          <w:szCs w:val="28"/>
          <w:rtl w:val="0"/>
        </w:rPr>
        <w:t xml:space="preserve"> (дата звернення: 29.10.2023).</w:t>
      </w:r>
      <w:r w:rsidDel="00000000" w:rsidR="00000000" w:rsidRPr="00000000">
        <w:rPr>
          <w:rtl w:val="0"/>
        </w:rPr>
      </w:r>
    </w:p>
    <w:p w:rsidR="00000000" w:rsidDel="00000000" w:rsidP="00000000" w:rsidRDefault="00000000" w:rsidRPr="00000000" w14:paraId="0000021D">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02124"/>
          <w:sz w:val="28"/>
          <w:szCs w:val="28"/>
          <w:highlight w:val="white"/>
          <w:rtl w:val="0"/>
        </w:rPr>
        <w:t xml:space="preserve">Leander v. Sweden 26 March 1987. URL</w:t>
      </w:r>
      <w:r w:rsidDel="00000000" w:rsidR="00000000" w:rsidRPr="00000000">
        <w:rPr>
          <w:rFonts w:ascii="Times New Roman" w:cs="Times New Roman" w:eastAsia="Times New Roman" w:hAnsi="Times New Roman"/>
          <w:color w:val="4d5156"/>
          <w:sz w:val="28"/>
          <w:szCs w:val="28"/>
          <w:highlight w:val="white"/>
          <w:rtl w:val="0"/>
        </w:rPr>
        <w:t xml:space="preserve">: </w:t>
      </w:r>
      <w:hyperlink r:id="rId69">
        <w:r w:rsidDel="00000000" w:rsidR="00000000" w:rsidRPr="00000000">
          <w:rPr>
            <w:rFonts w:ascii="Times New Roman" w:cs="Times New Roman" w:eastAsia="Times New Roman" w:hAnsi="Times New Roman"/>
            <w:color w:val="151515"/>
            <w:sz w:val="28"/>
            <w:szCs w:val="28"/>
            <w:highlight w:val="white"/>
            <w:rtl w:val="0"/>
          </w:rPr>
          <w:t xml:space="preserve">https://hudoc.echr.coe.int/tur?i=001-57519</w:t>
        </w:r>
      </w:hyperlink>
      <w:r w:rsidDel="00000000" w:rsidR="00000000" w:rsidRPr="00000000">
        <w:rPr>
          <w:rFonts w:ascii="Times New Roman" w:cs="Times New Roman" w:eastAsia="Times New Roman" w:hAnsi="Times New Roman"/>
          <w:color w:val="151515"/>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29.10.2023).</w:t>
      </w:r>
      <w:r w:rsidDel="00000000" w:rsidR="00000000" w:rsidRPr="00000000">
        <w:rPr>
          <w:rtl w:val="0"/>
        </w:rPr>
      </w:r>
    </w:p>
    <w:p w:rsidR="00000000" w:rsidDel="00000000" w:rsidP="00000000" w:rsidRDefault="00000000" w:rsidRPr="00000000" w14:paraId="0000021E">
      <w:pPr>
        <w:numPr>
          <w:ilvl w:val="0"/>
          <w:numId w:val="1"/>
        </w:numPr>
        <w:spacing w:line="360" w:lineRule="auto"/>
        <w:ind w:left="0" w:right="7"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151515"/>
          <w:sz w:val="28"/>
          <w:szCs w:val="28"/>
          <w:highlight w:val="white"/>
          <w:rtl w:val="0"/>
        </w:rPr>
        <w:t xml:space="preserve">The Bavarian Lager Co. Ltd v. Commission of the European Communities.</w:t>
      </w:r>
      <w:r w:rsidDel="00000000" w:rsidR="00000000" w:rsidRPr="00000000">
        <w:rPr>
          <w:rFonts w:ascii="Times New Roman" w:cs="Times New Roman" w:eastAsia="Times New Roman" w:hAnsi="Times New Roman"/>
          <w:color w:val="4d5156"/>
          <w:sz w:val="28"/>
          <w:szCs w:val="28"/>
          <w:highlight w:val="white"/>
          <w:rtl w:val="0"/>
        </w:rPr>
        <w:t xml:space="preserve"> URL: </w:t>
      </w:r>
      <w:hyperlink r:id="rId70">
        <w:r w:rsidDel="00000000" w:rsidR="00000000" w:rsidRPr="00000000">
          <w:rPr>
            <w:rFonts w:ascii="Times New Roman" w:cs="Times New Roman" w:eastAsia="Times New Roman" w:hAnsi="Times New Roman"/>
            <w:color w:val="151515"/>
            <w:sz w:val="28"/>
            <w:szCs w:val="28"/>
            <w:highlight w:val="white"/>
            <w:rtl w:val="0"/>
          </w:rPr>
          <w:t xml:space="preserve">https://eur-lex.europa.eu/legal-content/EN/TXT/?uri=CELEX:62004TJ0194</w:t>
        </w:r>
      </w:hyperlink>
      <w:r w:rsidDel="00000000" w:rsidR="00000000" w:rsidRPr="00000000">
        <w:rPr>
          <w:rFonts w:ascii="Times New Roman" w:cs="Times New Roman" w:eastAsia="Times New Roman" w:hAnsi="Times New Roman"/>
          <w:color w:val="4d5156"/>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29.10.2023).</w:t>
      </w:r>
      <w:r w:rsidDel="00000000" w:rsidR="00000000" w:rsidRPr="00000000">
        <w:rPr>
          <w:rtl w:val="0"/>
        </w:rPr>
      </w:r>
    </w:p>
    <w:p w:rsidR="00000000" w:rsidDel="00000000" w:rsidP="00000000" w:rsidRDefault="00000000" w:rsidRPr="00000000" w14:paraId="0000021F">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Zaichenko v. Ukraine (no. 2) (App no 45797/09) 26 February 2015. URL: </w:t>
      </w:r>
      <w:hyperlink r:id="rId71">
        <w:r w:rsidDel="00000000" w:rsidR="00000000" w:rsidRPr="00000000">
          <w:rPr>
            <w:rFonts w:ascii="Times New Roman" w:cs="Times New Roman" w:eastAsia="Times New Roman" w:hAnsi="Times New Roman"/>
            <w:color w:val="151515"/>
            <w:sz w:val="28"/>
            <w:szCs w:val="28"/>
            <w:highlight w:val="white"/>
            <w:rtl w:val="0"/>
          </w:rPr>
          <w:t xml:space="preserve">https://zakon.rada.gov.ua/laws/show/974_a87#Text</w:t>
        </w:r>
      </w:hyperlink>
      <w:r w:rsidDel="00000000" w:rsidR="00000000" w:rsidRPr="00000000">
        <w:rPr>
          <w:rFonts w:ascii="Times New Roman" w:cs="Times New Roman" w:eastAsia="Times New Roman" w:hAnsi="Times New Roman"/>
          <w:color w:val="151515"/>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11.11.2023).</w:t>
      </w:r>
    </w:p>
    <w:p w:rsidR="00000000" w:rsidDel="00000000" w:rsidP="00000000" w:rsidRDefault="00000000" w:rsidRPr="00000000" w14:paraId="00000220">
      <w:pPr>
        <w:numPr>
          <w:ilvl w:val="0"/>
          <w:numId w:val="1"/>
        </w:num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Sergey Volosyuk v. Ukraine (App no 1291/03) 12 March 2009. URL: </w:t>
      </w:r>
      <w:hyperlink r:id="rId72">
        <w:r w:rsidDel="00000000" w:rsidR="00000000" w:rsidRPr="00000000">
          <w:rPr>
            <w:rFonts w:ascii="Times New Roman" w:cs="Times New Roman" w:eastAsia="Times New Roman" w:hAnsi="Times New Roman"/>
            <w:sz w:val="28"/>
            <w:szCs w:val="28"/>
            <w:rtl w:val="0"/>
          </w:rPr>
          <w:t xml:space="preserve">https://zakon.rada.gov.ua/laws/show/974_095#Text</w:t>
        </w:r>
      </w:hyperlink>
      <w:r w:rsidDel="00000000" w:rsidR="00000000" w:rsidRPr="00000000">
        <w:rPr>
          <w:rFonts w:ascii="Times New Roman" w:cs="Times New Roman" w:eastAsia="Times New Roman" w:hAnsi="Times New Roman"/>
          <w:sz w:val="28"/>
          <w:szCs w:val="28"/>
          <w:rtl w:val="0"/>
        </w:rPr>
        <w:t xml:space="preserve"> (дата звернення: 11.11.2023).</w:t>
      </w:r>
    </w:p>
    <w:p w:rsidR="00000000" w:rsidDel="00000000" w:rsidP="00000000" w:rsidRDefault="00000000" w:rsidRPr="00000000" w14:paraId="00000221">
      <w:pPr>
        <w:numPr>
          <w:ilvl w:val="0"/>
          <w:numId w:val="1"/>
        </w:numPr>
        <w:spacing w:line="360" w:lineRule="auto"/>
        <w:ind w:left="0" w:firstLine="0"/>
        <w:jc w:val="both"/>
        <w:rPr>
          <w:rFonts w:ascii="Times New Roman" w:cs="Times New Roman" w:eastAsia="Times New Roman" w:hAnsi="Times New Roman"/>
          <w:sz w:val="28"/>
          <w:szCs w:val="28"/>
          <w:highlight w:val="yellow"/>
        </w:rPr>
      </w:pPr>
      <w:r w:rsidDel="00000000" w:rsidR="00000000" w:rsidRPr="00000000">
        <w:rPr>
          <w:rFonts w:ascii="Times New Roman" w:cs="Times New Roman" w:eastAsia="Times New Roman" w:hAnsi="Times New Roman"/>
          <w:sz w:val="28"/>
          <w:szCs w:val="28"/>
          <w:highlight w:val="yellow"/>
          <w:rtl w:val="0"/>
        </w:rPr>
        <w:t xml:space="preserve">Maximillian Schrems v. Data Protection Commissioner (App no C-362/14) 6 October 2015. URL: </w:t>
      </w:r>
      <w:hyperlink r:id="rId73">
        <w:r w:rsidDel="00000000" w:rsidR="00000000" w:rsidRPr="00000000">
          <w:rPr>
            <w:rFonts w:ascii="Times New Roman" w:cs="Times New Roman" w:eastAsia="Times New Roman" w:hAnsi="Times New Roman"/>
            <w:sz w:val="28"/>
            <w:szCs w:val="28"/>
            <w:highlight w:val="yellow"/>
            <w:u w:val="single"/>
            <w:rtl w:val="0"/>
          </w:rPr>
          <w:t xml:space="preserve">https://eur-lex.europa.eu/legal-content/EN/TXT/?uri=CELEX:62014CJ0362</w:t>
        </w:r>
      </w:hyperlink>
      <w:r w:rsidDel="00000000" w:rsidR="00000000" w:rsidRPr="00000000">
        <w:rPr>
          <w:rFonts w:ascii="Times New Roman" w:cs="Times New Roman" w:eastAsia="Times New Roman" w:hAnsi="Times New Roman"/>
          <w:sz w:val="28"/>
          <w:szCs w:val="28"/>
          <w:highlight w:val="yellow"/>
          <w:rtl w:val="0"/>
        </w:rPr>
        <w:t xml:space="preserve"> </w:t>
      </w:r>
      <w:r w:rsidDel="00000000" w:rsidR="00000000" w:rsidRPr="00000000">
        <w:rPr>
          <w:rFonts w:ascii="Times New Roman" w:cs="Times New Roman" w:eastAsia="Times New Roman" w:hAnsi="Times New Roman"/>
          <w:sz w:val="28"/>
          <w:szCs w:val="28"/>
          <w:highlight w:val="yellow"/>
          <w:rtl w:val="0"/>
        </w:rPr>
        <w:t xml:space="preserve">(дата звернення: 18.12.2023).</w:t>
      </w:r>
    </w:p>
    <w:sectPr>
      <w:type w:val="nextPage"/>
      <w:pgSz w:h="16834" w:w="11909" w:orient="portrait"/>
      <w:pgMar w:bottom="1418" w:top="1418" w:left="1985" w:right="964" w:header="566.9291338582677"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3">
    <w:pPr>
      <w:jc w:val="righ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hudoc.echr.coe.int/app/conversion/pdf/?library=ECHR&amp;id=001-191834&amp;filename=CASE%20OF%20E.B.%20v.%20FRANCE%20-%20%5BRussian%20translation%5D%20summary%20by%20Development%20of%20Legal%20Systems%20Publ.%20Co.pdf" TargetMode="External"/><Relationship Id="rId42" Type="http://schemas.openxmlformats.org/officeDocument/2006/relationships/hyperlink" Target="https://zakon.rada.gov.ua/laws/show/995_004#Text" TargetMode="External"/><Relationship Id="rId41" Type="http://schemas.openxmlformats.org/officeDocument/2006/relationships/hyperlink" Target="https://zakon.rada.gov.ua/laws/show/980_210#Text" TargetMode="External"/><Relationship Id="rId44" Type="http://schemas.openxmlformats.org/officeDocument/2006/relationships/hyperlink" Target="https://hudoc.echr.coe.int/app/conversion/pdf/?library=ECHR&amp;id=001-102085&amp;filename=CASE%20OF%20KOPP%20v.%20SWITZERLAND%20-%20%5BRussian%20Translation%5D.pdf" TargetMode="External"/><Relationship Id="rId43" Type="http://schemas.openxmlformats.org/officeDocument/2006/relationships/hyperlink" Target="https://zakon.rada.gov.ua/laws/show/980_093#Text" TargetMode="External"/><Relationship Id="rId46" Type="http://schemas.openxmlformats.org/officeDocument/2006/relationships/hyperlink" Target="https://curia.europa.eu/juris/document/document.jsf?text=&amp;docid=79001&amp;pageIndex=0&amp;doclang=en&amp;mode=lst&amp;dir=&amp;occ=first&amp;part=1&amp;cid=511023" TargetMode="External"/><Relationship Id="rId45" Type="http://schemas.openxmlformats.org/officeDocument/2006/relationships/hyperlink" Target="https://unba.org.ua/assets/uploads/1259d4263dac852ef056_file.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48" Type="http://schemas.openxmlformats.org/officeDocument/2006/relationships/hyperlink" Target="https://fra.europa.eu/sites/default/files/fra_uploads/fra-coe-edps-2018-handbook-data-protection_ukr.pdf" TargetMode="External"/><Relationship Id="rId47" Type="http://schemas.openxmlformats.org/officeDocument/2006/relationships/hyperlink" Target="https://hudoc.echr.coe.int/eng#%7B%22itemid%22:%5B%22001-90051%22" TargetMode="External"/><Relationship Id="rId49" Type="http://schemas.openxmlformats.org/officeDocument/2006/relationships/hyperlink" Target="https://hudoc.echr.coe.int/eng#%7B%22itemid%22:%5B%22001-60696%22"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 Id="rId73" Type="http://schemas.openxmlformats.org/officeDocument/2006/relationships/hyperlink" Target="https://eur-lex.europa.eu/legal-content/EN/TXT/?uri=CELEX:62014CJ0362" TargetMode="External"/><Relationship Id="rId72" Type="http://schemas.openxmlformats.org/officeDocument/2006/relationships/hyperlink" Target="https://zakon.rada.gov.ua/laws/show/974_095#Text" TargetMode="External"/><Relationship Id="rId31" Type="http://schemas.openxmlformats.org/officeDocument/2006/relationships/hyperlink" Target="http://ndl.ethernet.edu.et/bitstream/123456789/5698/1/212.pdf.pdf" TargetMode="External"/><Relationship Id="rId30" Type="http://schemas.openxmlformats.org/officeDocument/2006/relationships/hyperlink" Target="https://zakon.rada.gov.ua/laws/show/996-2010-%D0%BF#Text" TargetMode="External"/><Relationship Id="rId33" Type="http://schemas.openxmlformats.org/officeDocument/2006/relationships/hyperlink" Target="https://radnyk.org/wp-content/uploads/2018/06/Standarti_zahistu_personalnih_danih_v_sotsialniy_sferi.pdf" TargetMode="External"/><Relationship Id="rId32" Type="http://schemas.openxmlformats.org/officeDocument/2006/relationships/hyperlink" Target="https://ekmair.ukma.edu.ua/server/api/core/bitstreams/e5c2d323-a531-42d6-a23c-07e5e997620e/content" TargetMode="External"/><Relationship Id="rId35" Type="http://schemas.openxmlformats.org/officeDocument/2006/relationships/hyperlink" Target="https://hudoc.echr.coe.int/app/conversion/docx/?library=ECHR&amp;id=001-61538&amp;filename=CASE%20OF%20KRONE%20VERLAG%20GmbH%20%26%20Co.%20KG%20" TargetMode="External"/><Relationship Id="rId34" Type="http://schemas.openxmlformats.org/officeDocument/2006/relationships/hyperlink" Target="https://hudoc.echr.coe.int/fre#%7B%22itemid%22:%5B%22001-109029%22" TargetMode="External"/><Relationship Id="rId71" Type="http://schemas.openxmlformats.org/officeDocument/2006/relationships/hyperlink" Target="https://zakon.rada.gov.ua/laws/show/974_a87#Text" TargetMode="External"/><Relationship Id="rId70" Type="http://schemas.openxmlformats.org/officeDocument/2006/relationships/hyperlink" Target="https://eur-lex.europa.eu/legal-content/EN/TXT/?uri=CELEX:62004TJ0194" TargetMode="External"/><Relationship Id="rId37" Type="http://schemas.openxmlformats.org/officeDocument/2006/relationships/hyperlink" Target="https://www.ppl.org.ua/wp-content/uploads/2021/09/Freedom-of-artistic-expression.pdf" TargetMode="External"/><Relationship Id="rId36" Type="http://schemas.openxmlformats.org/officeDocument/2006/relationships/hyperlink" Target="https://hudoc.echr.coe.int/app/conversion/docx/?library=ECHR&amp;id=001-79213&amp;filename=CASE%20OF%20VEREINIGUNG%20BILDENDER%20K%C3%9CNSTLER%20v.%20AUSTRIA.docx&amp;logEvent=False" TargetMode="External"/><Relationship Id="rId39" Type="http://schemas.openxmlformats.org/officeDocument/2006/relationships/hyperlink" Target="https://hudoc.echr.coe.int/eng#%7B%22itemid%22:%5B%22001-60898%22" TargetMode="External"/><Relationship Id="rId38" Type="http://schemas.openxmlformats.org/officeDocument/2006/relationships/hyperlink" Target="http://eurocourt.in.ua/Article.asp?AIdx=776" TargetMode="External"/><Relationship Id="rId62" Type="http://schemas.openxmlformats.org/officeDocument/2006/relationships/hyperlink" Target="https://hudoc.echr.coe.int/app/conversion/pdf/?library=ECHR&amp;id=001-22339&amp;filename=001-22339.pdf" TargetMode="External"/><Relationship Id="rId61" Type="http://schemas.openxmlformats.org/officeDocument/2006/relationships/hyperlink" Target="https://cedem.org.ua/library/vs-uk-and-sweden/" TargetMode="External"/><Relationship Id="rId20" Type="http://schemas.openxmlformats.org/officeDocument/2006/relationships/hyperlink" Target="https://zakon.rada.gov.ua/laws/show/254%D0%BA/96-%D0%B2%D1%80#Text" TargetMode="External"/><Relationship Id="rId64" Type="http://schemas.openxmlformats.org/officeDocument/2006/relationships/hyperlink" Target="https://hudoc.echr.coe.int/app/conversion/docx/pdf?library=ECHR&amp;id=001-125279&amp;filename=CASE%20OF%20ODIEVRE%20v.%20FRANCE%20-%20%5BUkrainian%20Translation%5D%20summary%20by%20the%20Lviv%20Laboratory%20of%20Human%20Rights.pdf&amp;logEvent=False" TargetMode="External"/><Relationship Id="rId63" Type="http://schemas.openxmlformats.org/officeDocument/2006/relationships/hyperlink" Target="https://hudoc.echr.coe.int/app/conversion/docx/pdf?library=ECHR&amp;id=001-23318&amp;filename=SENTGES%20v.%20THE%20NETHERLANDS.pdf&amp;logEvent=False" TargetMode="External"/><Relationship Id="rId22" Type="http://schemas.openxmlformats.org/officeDocument/2006/relationships/hyperlink" Target="https://rm.coe.int/168059920c" TargetMode="External"/><Relationship Id="rId66" Type="http://schemas.openxmlformats.org/officeDocument/2006/relationships/hyperlink" Target="https://zakon.rada.gov.ua/laws/show/980_332#Text" TargetMode="External"/><Relationship Id="rId21" Type="http://schemas.openxmlformats.org/officeDocument/2006/relationships/hyperlink" Target="https://zakon.rada.gov.ua/laws/show/2297-17#Text" TargetMode="External"/><Relationship Id="rId65" Type="http://schemas.openxmlformats.org/officeDocument/2006/relationships/hyperlink" Target="https://hudoc.echr.coe.int/Eng?i=001-61663" TargetMode="External"/><Relationship Id="rId24" Type="http://schemas.openxmlformats.org/officeDocument/2006/relationships/hyperlink" Target="https://zakon.rada.gov.ua/laws/show/984_008-16#Text" TargetMode="External"/><Relationship Id="rId68" Type="http://schemas.openxmlformats.org/officeDocument/2006/relationships/hyperlink" Target="https://hudoc.echr.coe.int/fre#%7B%22itemid%22:%5B%22001-102332%22%5D%7D" TargetMode="External"/><Relationship Id="rId23" Type="http://schemas.openxmlformats.org/officeDocument/2006/relationships/hyperlink" Target="https://zakon.rada.gov.ua/laws/show/984_011#Text" TargetMode="External"/><Relationship Id="rId67" Type="http://schemas.openxmlformats.org/officeDocument/2006/relationships/hyperlink" Target="https://hudoc.echr.coe.int/eng?i=001-70662" TargetMode="External"/><Relationship Id="rId60" Type="http://schemas.openxmlformats.org/officeDocument/2006/relationships/hyperlink" Target="https://hudoc.echr.coe.int/app/conversion/pdf/?library=ECHR&amp;id=001-221054&amp;filename=CASE%20OF%20BIG%20BROTHER%20WATCH%20AND%20OTHERS%20v.%20THE%20UNITED%20KINGDOM%20-%20%5BUkrainian%20Translation%5D%20summary%20by%20the%20Supreme%20Court%20of%20Ukraine.pdf" TargetMode="External"/><Relationship Id="rId26" Type="http://schemas.openxmlformats.org/officeDocument/2006/relationships/hyperlink" Target="https://zakon.rada.gov.ua/laws/show/v1_02715-14#Text" TargetMode="External"/><Relationship Id="rId25" Type="http://schemas.openxmlformats.org/officeDocument/2006/relationships/hyperlink" Target="https://zakon.rada.gov.ua/laws/show/994" TargetMode="External"/><Relationship Id="rId69" Type="http://schemas.openxmlformats.org/officeDocument/2006/relationships/hyperlink" Target="https://hudoc.echr.coe.int/tur?i=001-57519" TargetMode="External"/><Relationship Id="rId28" Type="http://schemas.openxmlformats.org/officeDocument/2006/relationships/hyperlink" Target="https://zakon.rada.gov.ua/laws/show/80731-10#Text" TargetMode="External"/><Relationship Id="rId27" Type="http://schemas.openxmlformats.org/officeDocument/2006/relationships/hyperlink" Target="https://zakon.rada.gov.ua/laws/show/2341-14#Text" TargetMode="External"/><Relationship Id="rId29" Type="http://schemas.openxmlformats.org/officeDocument/2006/relationships/hyperlink" Target="http://visnyk-pravo.uzhnu.edu.ua/article/view/289441/282931" TargetMode="External"/><Relationship Id="rId51" Type="http://schemas.openxmlformats.org/officeDocument/2006/relationships/hyperlink" Target="https://zakon.rada.gov.ua/laws/show/974_274#Text" TargetMode="External"/><Relationship Id="rId50" Type="http://schemas.openxmlformats.org/officeDocument/2006/relationships/hyperlink" Target="https://hudoc.echr.coe.int/eng#%7B%22itemid%22:%5B%22001-107032%22" TargetMode="External"/><Relationship Id="rId53" Type="http://schemas.openxmlformats.org/officeDocument/2006/relationships/hyperlink" Target="https://app-journal.in.ua/wp-content/uploads/2023/09/29.pdf" TargetMode="External"/><Relationship Id="rId52" Type="http://schemas.openxmlformats.org/officeDocument/2006/relationships/hyperlink" Target="https://zakon.rada.gov.ua/laws/show/v002p710-12#Text" TargetMode="External"/><Relationship Id="rId11" Type="http://schemas.openxmlformats.org/officeDocument/2006/relationships/hyperlink" Target="https://zakon.rada.gov.ua/laws/show/995_015#Text" TargetMode="External"/><Relationship Id="rId55" Type="http://schemas.openxmlformats.org/officeDocument/2006/relationships/hyperlink" Target="https://reyestr.court.gov.ua/Review/76822787" TargetMode="External"/><Relationship Id="rId10" Type="http://schemas.openxmlformats.org/officeDocument/2006/relationships/hyperlink" Target="http://zpd.gov.ua/dszpd/doccatalog/document?id=51482" TargetMode="External"/><Relationship Id="rId54" Type="http://schemas.openxmlformats.org/officeDocument/2006/relationships/hyperlink" Target="https://zakon.rada.gov.ua/laws/show/v007p710-18#Text" TargetMode="External"/><Relationship Id="rId13" Type="http://schemas.openxmlformats.org/officeDocument/2006/relationships/hyperlink" Target="https://zakon.rada.gov.ua/laws/show/995_021#Text" TargetMode="External"/><Relationship Id="rId57" Type="http://schemas.openxmlformats.org/officeDocument/2006/relationships/hyperlink" Target="http://hudoc.echr.coe.int/eng#%7B%22itemid%22:%5B%22001-167828%5D%22" TargetMode="External"/><Relationship Id="rId12" Type="http://schemas.openxmlformats.org/officeDocument/2006/relationships/hyperlink" Target="https://zakon.rada.gov.ua/laws/show/995_043#Text" TargetMode="External"/><Relationship Id="rId56" Type="http://schemas.openxmlformats.org/officeDocument/2006/relationships/hyperlink" Target="http://hudoc.echr.coe.int/eng#%7B%22itemid%22:%5B%22001-57519%22" TargetMode="External"/><Relationship Id="rId15" Type="http://schemas.openxmlformats.org/officeDocument/2006/relationships/hyperlink" Target="https://www.refworld.org/pdfid/3ddcafaac.pdf" TargetMode="External"/><Relationship Id="rId59" Type="http://schemas.openxmlformats.org/officeDocument/2006/relationships/hyperlink" Target="https://zakon.rada.gov.ua/laws/show/974_f18#Text" TargetMode="External"/><Relationship Id="rId14" Type="http://schemas.openxmlformats.org/officeDocument/2006/relationships/hyperlink" Target="https://zakon.rada.gov.ua/laws/show/995_g71#Text" TargetMode="External"/><Relationship Id="rId58" Type="http://schemas.openxmlformats.org/officeDocument/2006/relationships/hyperlink" Target="https://rm.coe.int/echr-cases-2020-web/1680a10d12" TargetMode="External"/><Relationship Id="rId17" Type="http://schemas.openxmlformats.org/officeDocument/2006/relationships/hyperlink" Target="https://web.archive.org/web/20130604005333/http://www.oas.org/juridico/english/treaties/a-52.html" TargetMode="External"/><Relationship Id="rId16" Type="http://schemas.openxmlformats.org/officeDocument/2006/relationships/hyperlink" Target="https://read.oecd-ilibrary.org/science-and-technology/oecd-guidelines-on-the-protection-ofprivacy-and-transborder-flows-of-personaldata_9789264196391-en#page8" TargetMode="External"/><Relationship Id="rId19" Type="http://schemas.openxmlformats.org/officeDocument/2006/relationships/hyperlink" Target="https://zakon.rada.gov.ua/laws/show/994_242#Text" TargetMode="External"/><Relationship Id="rId18" Type="http://schemas.openxmlformats.org/officeDocument/2006/relationships/hyperlink" Target="https://www.europarl.europa.eu/charter/default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LD9MIVz/TejU23DpBMwyFJggxg==">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