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A1EFC" w:rsidRPr="007A0BFC" w:rsidRDefault="00EA1EFC" w:rsidP="00EA1EFC">
      <w:pPr>
        <w:jc w:val="center"/>
        <w:rPr>
          <w:sz w:val="28"/>
          <w:szCs w:val="28"/>
          <w:lang w:val="uk-UA"/>
        </w:rPr>
      </w:pPr>
      <w:r w:rsidRPr="007A0BFC">
        <w:rPr>
          <w:sz w:val="28"/>
          <w:szCs w:val="28"/>
          <w:lang w:val="uk-UA"/>
        </w:rPr>
        <w:t>ОДЕСЬКИЙ НАЦІОНАЛЬНИЙ УНІВЕРСИТЕТ ІМЕНІ І. І. МЕЧНИКОВА</w:t>
      </w:r>
    </w:p>
    <w:p w:rsidR="00EA1EFC" w:rsidRPr="007A0BFC" w:rsidRDefault="00EA1EFC" w:rsidP="00EA1EFC">
      <w:pPr>
        <w:jc w:val="center"/>
        <w:rPr>
          <w:sz w:val="28"/>
          <w:szCs w:val="28"/>
          <w:lang w:val="uk-UA"/>
        </w:rPr>
      </w:pPr>
      <w:r w:rsidRPr="007A0BFC">
        <w:rPr>
          <w:sz w:val="28"/>
          <w:szCs w:val="28"/>
          <w:lang w:val="uk-UA"/>
        </w:rPr>
        <w:t>Біологічний факультет</w:t>
      </w:r>
    </w:p>
    <w:p w:rsidR="00EA1EFC" w:rsidRPr="007A0BFC" w:rsidRDefault="00EA1EFC" w:rsidP="00EA1EFC">
      <w:pPr>
        <w:jc w:val="center"/>
        <w:rPr>
          <w:sz w:val="28"/>
          <w:szCs w:val="28"/>
          <w:lang w:val="uk-UA"/>
        </w:rPr>
      </w:pPr>
    </w:p>
    <w:p w:rsidR="00EA1EFC" w:rsidRPr="007A0BFC" w:rsidRDefault="00EA1EFC" w:rsidP="00EA1EFC">
      <w:pPr>
        <w:jc w:val="center"/>
        <w:rPr>
          <w:sz w:val="28"/>
          <w:szCs w:val="28"/>
          <w:lang w:val="uk-UA"/>
        </w:rPr>
      </w:pPr>
      <w:r w:rsidRPr="007A0BFC">
        <w:rPr>
          <w:sz w:val="28"/>
          <w:szCs w:val="28"/>
          <w:lang w:val="uk-UA"/>
        </w:rPr>
        <w:t>Кафедра фізіології, здоров’я і безпеки людини  та природничої освіти</w:t>
      </w:r>
    </w:p>
    <w:p w:rsidR="00EA1EFC" w:rsidRPr="0084166F" w:rsidRDefault="00EA1EFC" w:rsidP="00EA1EFC">
      <w:pPr>
        <w:jc w:val="center"/>
        <w:rPr>
          <w:sz w:val="28"/>
          <w:szCs w:val="28"/>
          <w:lang w:val="uk-UA"/>
        </w:rPr>
      </w:pPr>
      <w:r w:rsidRPr="007A0BFC">
        <w:rPr>
          <w:sz w:val="28"/>
          <w:szCs w:val="28"/>
          <w:lang w:val="uk-UA"/>
        </w:rPr>
        <w:t xml:space="preserve"> </w:t>
      </w:r>
    </w:p>
    <w:p w:rsidR="00EA1EFC" w:rsidRPr="007A0BFC" w:rsidRDefault="00EA1EFC" w:rsidP="00EA1EFC">
      <w:pPr>
        <w:jc w:val="center"/>
        <w:rPr>
          <w:b/>
          <w:sz w:val="28"/>
          <w:szCs w:val="28"/>
          <w:lang w:val="uk-UA"/>
        </w:rPr>
      </w:pPr>
      <w:r w:rsidRPr="007A0BFC">
        <w:rPr>
          <w:b/>
          <w:sz w:val="28"/>
          <w:szCs w:val="28"/>
          <w:lang w:val="uk-UA"/>
        </w:rPr>
        <w:t>Кваліфікаційна робота</w:t>
      </w:r>
      <w:r w:rsidRPr="007A0BFC">
        <w:rPr>
          <w:b/>
          <w:sz w:val="28"/>
          <w:szCs w:val="28"/>
          <w:lang w:val="uk-UA"/>
        </w:rPr>
        <w:tab/>
      </w:r>
    </w:p>
    <w:p w:rsidR="00EA1EFC" w:rsidRDefault="00EA1EFC" w:rsidP="00EA1EFC">
      <w:pPr>
        <w:tabs>
          <w:tab w:val="right" w:pos="9355"/>
        </w:tabs>
        <w:jc w:val="center"/>
        <w:rPr>
          <w:b/>
          <w:sz w:val="28"/>
          <w:szCs w:val="28"/>
          <w:lang w:val="uk-UA"/>
        </w:rPr>
      </w:pPr>
      <w:r w:rsidRPr="007A0BFC">
        <w:rPr>
          <w:b/>
          <w:sz w:val="28"/>
          <w:szCs w:val="28"/>
          <w:lang w:val="uk-UA"/>
        </w:rPr>
        <w:t>на здобуття ступеня вищої освіти « магістр »</w:t>
      </w:r>
    </w:p>
    <w:p w:rsidR="00EA1EFC" w:rsidRPr="007A0BFC" w:rsidRDefault="00EA1EFC" w:rsidP="00EA1EFC">
      <w:pPr>
        <w:tabs>
          <w:tab w:val="right" w:pos="9355"/>
        </w:tabs>
        <w:jc w:val="center"/>
        <w:rPr>
          <w:b/>
          <w:sz w:val="28"/>
          <w:szCs w:val="28"/>
          <w:lang w:val="uk-UA"/>
        </w:rPr>
      </w:pPr>
    </w:p>
    <w:p w:rsidR="00EA1EFC" w:rsidRDefault="00EA1EFC" w:rsidP="00EA1EFC">
      <w:pPr>
        <w:tabs>
          <w:tab w:val="right" w:pos="9355"/>
        </w:tabs>
        <w:jc w:val="center"/>
        <w:rPr>
          <w:b/>
          <w:sz w:val="28"/>
          <w:szCs w:val="28"/>
          <w:lang w:val="uk-UA"/>
        </w:rPr>
      </w:pPr>
    </w:p>
    <w:p w:rsidR="00EA1EFC" w:rsidRPr="004B6AB3" w:rsidRDefault="00EA1EFC" w:rsidP="00EA1EFC">
      <w:pPr>
        <w:tabs>
          <w:tab w:val="right" w:pos="9355"/>
        </w:tabs>
        <w:jc w:val="center"/>
        <w:rPr>
          <w:b/>
          <w:sz w:val="28"/>
          <w:szCs w:val="28"/>
          <w:lang w:val="uk-UA"/>
        </w:rPr>
      </w:pPr>
    </w:p>
    <w:p w:rsidR="00EA1EFC" w:rsidRPr="004B6AB3" w:rsidRDefault="00EA1EFC" w:rsidP="00EA1EFC">
      <w:pPr>
        <w:widowControl w:val="0"/>
        <w:autoSpaceDE w:val="0"/>
        <w:autoSpaceDN w:val="0"/>
        <w:adjustRightInd w:val="0"/>
        <w:jc w:val="center"/>
        <w:rPr>
          <w:b/>
          <w:sz w:val="28"/>
          <w:szCs w:val="28"/>
          <w:lang w:val="uk-UA"/>
        </w:rPr>
      </w:pPr>
      <w:r w:rsidRPr="004B6AB3">
        <w:rPr>
          <w:b/>
          <w:sz w:val="28"/>
          <w:szCs w:val="28"/>
          <w:lang w:val="uk-UA"/>
        </w:rPr>
        <w:t>Застосування ентеросорбентів  у комплексному лікуванні експериментальної залізодефіцитної анемії щурів</w:t>
      </w:r>
    </w:p>
    <w:p w:rsidR="00EA1EFC" w:rsidRPr="004B6AB3" w:rsidRDefault="00EA1EFC" w:rsidP="00EA1EFC">
      <w:pPr>
        <w:widowControl w:val="0"/>
        <w:autoSpaceDE w:val="0"/>
        <w:autoSpaceDN w:val="0"/>
        <w:adjustRightInd w:val="0"/>
        <w:rPr>
          <w:b/>
          <w:sz w:val="28"/>
          <w:szCs w:val="28"/>
          <w:lang w:val="uk-UA"/>
        </w:rPr>
      </w:pPr>
    </w:p>
    <w:p w:rsidR="00EA1EFC" w:rsidRPr="007A0BFC" w:rsidRDefault="00EA1EFC" w:rsidP="00EA1EFC">
      <w:pPr>
        <w:jc w:val="center"/>
        <w:rPr>
          <w:sz w:val="28"/>
          <w:szCs w:val="28"/>
          <w:lang w:val="uk-UA"/>
        </w:rPr>
      </w:pPr>
      <w:r w:rsidRPr="007A0BFC">
        <w:rPr>
          <w:b/>
          <w:sz w:val="28"/>
          <w:szCs w:val="28"/>
          <w:lang w:val="uk-UA"/>
        </w:rPr>
        <w:t>«</w:t>
      </w:r>
      <w:r w:rsidRPr="009A05D7">
        <w:rPr>
          <w:lang w:val="uk-UA"/>
        </w:rPr>
        <w:t>Use of enterosorbent in complex treatment of experimental iron-deficiency anemia in rats</w:t>
      </w:r>
      <w:r w:rsidRPr="007A0BFC">
        <w:rPr>
          <w:sz w:val="28"/>
          <w:szCs w:val="28"/>
          <w:lang w:val="uk-UA"/>
        </w:rPr>
        <w:t>»</w:t>
      </w:r>
    </w:p>
    <w:p w:rsidR="00EA1EFC" w:rsidRPr="007A0BFC" w:rsidRDefault="00EA1EFC" w:rsidP="00EA1EFC">
      <w:pPr>
        <w:tabs>
          <w:tab w:val="right" w:pos="9355"/>
        </w:tabs>
        <w:jc w:val="both"/>
        <w:rPr>
          <w:sz w:val="28"/>
          <w:szCs w:val="28"/>
          <w:u w:val="single"/>
          <w:lang w:val="uk-UA"/>
        </w:rPr>
      </w:pPr>
    </w:p>
    <w:p w:rsidR="00EA1EFC" w:rsidRDefault="00EA1EFC" w:rsidP="00EA1EFC">
      <w:pPr>
        <w:ind w:left="3828"/>
        <w:jc w:val="both"/>
        <w:rPr>
          <w:sz w:val="28"/>
          <w:szCs w:val="28"/>
          <w:lang w:val="uk-UA"/>
        </w:rPr>
      </w:pPr>
    </w:p>
    <w:p w:rsidR="00EA1EFC" w:rsidRDefault="00EA1EFC" w:rsidP="00EA1EFC">
      <w:pPr>
        <w:ind w:left="3828"/>
        <w:jc w:val="both"/>
        <w:rPr>
          <w:sz w:val="28"/>
          <w:szCs w:val="28"/>
          <w:lang w:val="uk-UA"/>
        </w:rPr>
      </w:pPr>
    </w:p>
    <w:p w:rsidR="00EA1EFC" w:rsidRPr="007A0BFC" w:rsidRDefault="00EA1EFC" w:rsidP="00EA1EFC">
      <w:pPr>
        <w:ind w:left="3828"/>
        <w:jc w:val="both"/>
        <w:rPr>
          <w:sz w:val="28"/>
          <w:szCs w:val="28"/>
          <w:lang w:val="uk-UA"/>
        </w:rPr>
      </w:pPr>
      <w:r w:rsidRPr="007A0BFC">
        <w:rPr>
          <w:sz w:val="28"/>
          <w:szCs w:val="28"/>
          <w:lang w:val="uk-UA"/>
        </w:rPr>
        <w:t>Вик</w:t>
      </w:r>
      <w:r>
        <w:rPr>
          <w:sz w:val="28"/>
          <w:szCs w:val="28"/>
          <w:lang w:val="uk-UA"/>
        </w:rPr>
        <w:t>онала: здобувачка заочної</w:t>
      </w:r>
      <w:r w:rsidRPr="007A0BFC">
        <w:rPr>
          <w:sz w:val="28"/>
          <w:szCs w:val="28"/>
          <w:lang w:val="uk-UA"/>
        </w:rPr>
        <w:t xml:space="preserve"> форми навчання </w:t>
      </w:r>
    </w:p>
    <w:p w:rsidR="00EA1EFC" w:rsidRPr="007A0BFC" w:rsidRDefault="00EA1EFC" w:rsidP="00EA1EFC">
      <w:pPr>
        <w:ind w:left="3828"/>
        <w:jc w:val="both"/>
        <w:rPr>
          <w:sz w:val="28"/>
          <w:szCs w:val="28"/>
          <w:lang w:val="uk-UA"/>
        </w:rPr>
      </w:pPr>
      <w:r w:rsidRPr="007A0BFC">
        <w:rPr>
          <w:sz w:val="28"/>
          <w:szCs w:val="28"/>
          <w:lang w:val="uk-UA"/>
        </w:rPr>
        <w:t xml:space="preserve">Спеціальності 091 Біологія                                                                          </w:t>
      </w:r>
    </w:p>
    <w:p w:rsidR="00EA1EFC" w:rsidRPr="007A0BFC" w:rsidRDefault="00EA1EFC" w:rsidP="00EA1EFC">
      <w:pPr>
        <w:ind w:left="3828"/>
        <w:rPr>
          <w:sz w:val="28"/>
          <w:szCs w:val="28"/>
          <w:lang w:val="uk-UA"/>
        </w:rPr>
      </w:pPr>
      <w:r w:rsidRPr="007A0BFC">
        <w:rPr>
          <w:sz w:val="28"/>
          <w:szCs w:val="28"/>
          <w:lang w:val="uk-UA"/>
        </w:rPr>
        <w:t xml:space="preserve"> Освітня програма Біологія  </w:t>
      </w:r>
    </w:p>
    <w:p w:rsidR="00EA1EFC" w:rsidRPr="007A0BFC" w:rsidRDefault="00EA1EFC" w:rsidP="00EA1EFC">
      <w:pPr>
        <w:widowControl w:val="0"/>
        <w:autoSpaceDE w:val="0"/>
        <w:autoSpaceDN w:val="0"/>
        <w:adjustRightInd w:val="0"/>
        <w:ind w:left="3828"/>
        <w:rPr>
          <w:rFonts w:ascii="Times New Roman CYR" w:hAnsi="Times New Roman CYR" w:cs="Times New Roman CYR"/>
          <w:b/>
          <w:color w:val="000000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b/>
          <w:color w:val="000000"/>
          <w:sz w:val="28"/>
          <w:szCs w:val="28"/>
          <w:lang w:val="uk-UA"/>
        </w:rPr>
        <w:t>Пятковська Діана Борисівна</w:t>
      </w:r>
    </w:p>
    <w:p w:rsidR="00EA1EFC" w:rsidRPr="007A0BFC" w:rsidRDefault="00EA1EFC" w:rsidP="00EA1EFC">
      <w:pPr>
        <w:pStyle w:val="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A1EFC" w:rsidRDefault="00EA1EFC" w:rsidP="00EA1EFC">
      <w:pPr>
        <w:tabs>
          <w:tab w:val="left" w:pos="5245"/>
          <w:tab w:val="right" w:pos="9355"/>
        </w:tabs>
        <w:ind w:left="3969"/>
        <w:jc w:val="both"/>
        <w:rPr>
          <w:sz w:val="28"/>
          <w:szCs w:val="28"/>
          <w:lang w:val="uk-UA"/>
        </w:rPr>
      </w:pPr>
      <w:r w:rsidRPr="007A0BFC">
        <w:rPr>
          <w:sz w:val="28"/>
          <w:szCs w:val="28"/>
          <w:lang w:val="uk-UA"/>
        </w:rPr>
        <w:t xml:space="preserve">Керівник: канд. біол. н., </w:t>
      </w:r>
    </w:p>
    <w:p w:rsidR="00EA1EFC" w:rsidRPr="007A0BFC" w:rsidRDefault="00EA1EFC" w:rsidP="00EA1EFC">
      <w:pPr>
        <w:tabs>
          <w:tab w:val="left" w:pos="5245"/>
          <w:tab w:val="right" w:pos="9355"/>
        </w:tabs>
        <w:ind w:left="3969"/>
        <w:jc w:val="both"/>
        <w:rPr>
          <w:sz w:val="28"/>
          <w:szCs w:val="28"/>
          <w:lang w:val="uk-UA"/>
        </w:rPr>
      </w:pPr>
      <w:r w:rsidRPr="007A0BFC">
        <w:rPr>
          <w:sz w:val="28"/>
          <w:szCs w:val="28"/>
          <w:lang w:val="uk-UA"/>
        </w:rPr>
        <w:t xml:space="preserve">доцент Гладкій Т. В. _________     </w:t>
      </w:r>
    </w:p>
    <w:p w:rsidR="00EA1EFC" w:rsidRDefault="00EA1EFC" w:rsidP="00EA1EFC">
      <w:pPr>
        <w:tabs>
          <w:tab w:val="left" w:pos="5245"/>
          <w:tab w:val="right" w:pos="9355"/>
        </w:tabs>
        <w:ind w:left="3969" w:firstLine="2928"/>
        <w:jc w:val="both"/>
        <w:rPr>
          <w:sz w:val="28"/>
          <w:szCs w:val="28"/>
          <w:lang w:val="uk-UA"/>
        </w:rPr>
      </w:pPr>
      <w:r w:rsidRPr="007A0BFC">
        <w:rPr>
          <w:lang w:val="uk-UA"/>
        </w:rPr>
        <w:t xml:space="preserve">підпис </w:t>
      </w:r>
      <w:r w:rsidRPr="007A0BFC">
        <w:rPr>
          <w:sz w:val="28"/>
          <w:szCs w:val="28"/>
          <w:lang w:val="uk-UA"/>
        </w:rPr>
        <w:t xml:space="preserve">                                                                                                                                                                     Рецензент: канд. біол. н., </w:t>
      </w:r>
    </w:p>
    <w:p w:rsidR="00EA1EFC" w:rsidRDefault="00EA1EFC" w:rsidP="00EA1EFC">
      <w:pPr>
        <w:tabs>
          <w:tab w:val="left" w:pos="5245"/>
          <w:tab w:val="right" w:pos="9355"/>
        </w:tabs>
        <w:ind w:left="3969"/>
        <w:jc w:val="both"/>
        <w:rPr>
          <w:sz w:val="28"/>
          <w:szCs w:val="28"/>
          <w:lang w:val="uk-UA"/>
        </w:rPr>
      </w:pPr>
      <w:r w:rsidRPr="007A0BFC">
        <w:rPr>
          <w:sz w:val="28"/>
          <w:szCs w:val="28"/>
          <w:lang w:val="uk-UA"/>
        </w:rPr>
        <w:t xml:space="preserve">доцент  </w:t>
      </w:r>
      <w:r>
        <w:rPr>
          <w:sz w:val="28"/>
          <w:szCs w:val="28"/>
          <w:lang w:val="uk-UA"/>
        </w:rPr>
        <w:t xml:space="preserve">Гудзенко Т.В. </w:t>
      </w:r>
      <w:r w:rsidRPr="007A0BFC">
        <w:rPr>
          <w:sz w:val="28"/>
          <w:szCs w:val="28"/>
          <w:lang w:val="uk-UA"/>
        </w:rPr>
        <w:t xml:space="preserve">                                                                         </w:t>
      </w:r>
    </w:p>
    <w:p w:rsidR="00EA1EFC" w:rsidRPr="007A0BFC" w:rsidRDefault="00EA1EFC" w:rsidP="00EA1EFC">
      <w:pPr>
        <w:tabs>
          <w:tab w:val="left" w:pos="5245"/>
          <w:tab w:val="right" w:pos="9355"/>
        </w:tabs>
        <w:ind w:left="3969"/>
        <w:jc w:val="both"/>
        <w:rPr>
          <w:sz w:val="28"/>
          <w:szCs w:val="28"/>
          <w:lang w:val="uk-UA"/>
        </w:rPr>
      </w:pPr>
      <w:r w:rsidRPr="007A0BFC">
        <w:rPr>
          <w:sz w:val="28"/>
          <w:szCs w:val="28"/>
          <w:lang w:val="uk-UA"/>
        </w:rPr>
        <w:t xml:space="preserve">                </w:t>
      </w:r>
      <w:r>
        <w:rPr>
          <w:sz w:val="28"/>
          <w:szCs w:val="28"/>
          <w:lang w:val="uk-UA"/>
        </w:rPr>
        <w:t xml:space="preserve">                          </w:t>
      </w:r>
      <w:r w:rsidRPr="007A0BFC">
        <w:rPr>
          <w:sz w:val="28"/>
          <w:szCs w:val="28"/>
          <w:lang w:val="uk-UA"/>
        </w:rPr>
        <w:t xml:space="preserve">                                                                                 </w:t>
      </w:r>
      <w:r>
        <w:rPr>
          <w:sz w:val="28"/>
          <w:szCs w:val="28"/>
          <w:lang w:val="uk-UA"/>
        </w:rPr>
        <w:t xml:space="preserve">                              </w:t>
      </w:r>
      <w:r w:rsidRPr="007A0BFC">
        <w:rPr>
          <w:sz w:val="28"/>
          <w:szCs w:val="28"/>
          <w:lang w:val="uk-UA"/>
        </w:rPr>
        <w:t xml:space="preserve">                                                                    </w:t>
      </w:r>
    </w:p>
    <w:tbl>
      <w:tblPr>
        <w:tblW w:w="9868" w:type="dxa"/>
        <w:tblLayout w:type="fixed"/>
        <w:tblCellMar>
          <w:left w:w="115" w:type="dxa"/>
          <w:right w:w="115" w:type="dxa"/>
        </w:tblCellMar>
        <w:tblLook w:val="0000" w:firstRow="0" w:lastRow="0" w:firstColumn="0" w:lastColumn="0" w:noHBand="0" w:noVBand="0"/>
      </w:tblPr>
      <w:tblGrid>
        <w:gridCol w:w="5082"/>
        <w:gridCol w:w="4786"/>
      </w:tblGrid>
      <w:tr w:rsidR="00EA1EFC" w:rsidRPr="007A0BFC" w:rsidTr="0055131D">
        <w:tc>
          <w:tcPr>
            <w:tcW w:w="5082" w:type="dxa"/>
          </w:tcPr>
          <w:p w:rsidR="00EA1EFC" w:rsidRDefault="00EA1EFC" w:rsidP="0055131D">
            <w:pPr>
              <w:jc w:val="both"/>
              <w:rPr>
                <w:sz w:val="28"/>
                <w:szCs w:val="28"/>
                <w:lang w:val="uk-UA"/>
              </w:rPr>
            </w:pPr>
            <w:bookmarkStart w:id="0" w:name="_heading=h.gjdgxs" w:colFirst="0" w:colLast="0"/>
            <w:bookmarkEnd w:id="0"/>
          </w:p>
          <w:p w:rsidR="00EA1EFC" w:rsidRPr="007A0BFC" w:rsidRDefault="00EA1EFC" w:rsidP="0055131D">
            <w:pPr>
              <w:jc w:val="both"/>
              <w:rPr>
                <w:sz w:val="28"/>
                <w:szCs w:val="28"/>
                <w:lang w:val="uk-UA"/>
              </w:rPr>
            </w:pPr>
            <w:r w:rsidRPr="007A0BFC">
              <w:rPr>
                <w:sz w:val="28"/>
                <w:szCs w:val="28"/>
                <w:lang w:val="uk-UA"/>
              </w:rPr>
              <w:t>Рекомендовано до захисту:</w:t>
            </w:r>
          </w:p>
          <w:p w:rsidR="00EA1EFC" w:rsidRPr="007A0BFC" w:rsidRDefault="00EA1EFC" w:rsidP="0055131D">
            <w:pPr>
              <w:jc w:val="both"/>
              <w:rPr>
                <w:sz w:val="28"/>
                <w:szCs w:val="28"/>
                <w:lang w:val="uk-UA"/>
              </w:rPr>
            </w:pPr>
            <w:r w:rsidRPr="007A0BFC">
              <w:rPr>
                <w:sz w:val="28"/>
                <w:szCs w:val="28"/>
                <w:lang w:val="uk-UA"/>
              </w:rPr>
              <w:t>Протокол засідання кафедри</w:t>
            </w:r>
          </w:p>
          <w:p w:rsidR="00EA1EFC" w:rsidRPr="007A0BFC" w:rsidRDefault="00EA1EFC" w:rsidP="0055131D">
            <w:pPr>
              <w:jc w:val="both"/>
              <w:rPr>
                <w:sz w:val="28"/>
                <w:szCs w:val="28"/>
                <w:lang w:val="uk-UA"/>
              </w:rPr>
            </w:pPr>
            <w:r w:rsidRPr="007A0BFC">
              <w:rPr>
                <w:sz w:val="28"/>
                <w:szCs w:val="28"/>
                <w:lang w:val="uk-UA"/>
              </w:rPr>
              <w:t>__________________________</w:t>
            </w:r>
          </w:p>
          <w:p w:rsidR="00EA1EFC" w:rsidRPr="007A0BFC" w:rsidRDefault="00EA1EFC" w:rsidP="0055131D">
            <w:pPr>
              <w:jc w:val="both"/>
              <w:rPr>
                <w:sz w:val="28"/>
                <w:szCs w:val="28"/>
                <w:lang w:val="uk-UA"/>
              </w:rPr>
            </w:pPr>
            <w:r w:rsidRPr="007A0BFC">
              <w:rPr>
                <w:sz w:val="28"/>
                <w:szCs w:val="28"/>
                <w:lang w:val="uk-UA"/>
              </w:rPr>
              <w:t xml:space="preserve">№ ___   від ____.____. 20___ р. </w:t>
            </w:r>
          </w:p>
          <w:p w:rsidR="00EA1EFC" w:rsidRPr="007A0BFC" w:rsidRDefault="00EA1EFC" w:rsidP="0055131D">
            <w:pPr>
              <w:jc w:val="both"/>
              <w:rPr>
                <w:sz w:val="28"/>
                <w:szCs w:val="28"/>
                <w:lang w:val="uk-UA"/>
              </w:rPr>
            </w:pPr>
          </w:p>
          <w:p w:rsidR="00EA1EFC" w:rsidRPr="007A0BFC" w:rsidRDefault="00EA1EFC" w:rsidP="0055131D">
            <w:pPr>
              <w:jc w:val="both"/>
              <w:rPr>
                <w:sz w:val="28"/>
                <w:szCs w:val="28"/>
                <w:lang w:val="uk-UA"/>
              </w:rPr>
            </w:pPr>
            <w:r w:rsidRPr="007A0BFC">
              <w:rPr>
                <w:sz w:val="28"/>
                <w:szCs w:val="28"/>
                <w:lang w:val="uk-UA"/>
              </w:rPr>
              <w:t>Завідувачка кафедри</w:t>
            </w:r>
          </w:p>
          <w:p w:rsidR="00EA1EFC" w:rsidRPr="007A0BFC" w:rsidRDefault="00EA1EFC" w:rsidP="0055131D">
            <w:pPr>
              <w:tabs>
                <w:tab w:val="left" w:pos="1168"/>
                <w:tab w:val="left" w:pos="3861"/>
              </w:tabs>
              <w:jc w:val="both"/>
              <w:rPr>
                <w:sz w:val="28"/>
                <w:szCs w:val="28"/>
                <w:u w:val="single"/>
              </w:rPr>
            </w:pPr>
            <w:r w:rsidRPr="007A0BFC">
              <w:rPr>
                <w:sz w:val="28"/>
                <w:szCs w:val="28"/>
                <w:u w:val="single"/>
                <w:lang w:val="uk-UA"/>
              </w:rPr>
              <w:tab/>
            </w:r>
            <w:r w:rsidRPr="007A0BFC">
              <w:rPr>
                <w:sz w:val="28"/>
                <w:szCs w:val="28"/>
                <w:lang w:val="uk-UA"/>
              </w:rPr>
              <w:t xml:space="preserve">              Ольга МАКАРЕНКО</w:t>
            </w:r>
          </w:p>
          <w:p w:rsidR="00EA1EFC" w:rsidRPr="004B6AB3" w:rsidRDefault="00EA1EFC" w:rsidP="0055131D">
            <w:pPr>
              <w:tabs>
                <w:tab w:val="left" w:pos="284"/>
                <w:tab w:val="left" w:pos="1767"/>
              </w:tabs>
              <w:jc w:val="both"/>
              <w:rPr>
                <w:lang w:val="uk-UA"/>
              </w:rPr>
            </w:pPr>
            <w:r w:rsidRPr="004B6AB3">
              <w:rPr>
                <w:lang w:val="uk-UA"/>
              </w:rPr>
              <w:t xml:space="preserve">     (підпис)</w:t>
            </w:r>
            <w:r w:rsidRPr="004B6AB3">
              <w:rPr>
                <w:lang w:val="uk-UA"/>
              </w:rPr>
              <w:tab/>
              <w:t xml:space="preserve">            (прізвище,ім’я)</w:t>
            </w:r>
          </w:p>
        </w:tc>
        <w:tc>
          <w:tcPr>
            <w:tcW w:w="4786" w:type="dxa"/>
          </w:tcPr>
          <w:p w:rsidR="00EA1EFC" w:rsidRDefault="00EA1EFC" w:rsidP="0055131D">
            <w:pPr>
              <w:tabs>
                <w:tab w:val="right" w:pos="4462"/>
              </w:tabs>
              <w:jc w:val="both"/>
              <w:rPr>
                <w:sz w:val="28"/>
                <w:szCs w:val="28"/>
                <w:lang w:val="uk-UA"/>
              </w:rPr>
            </w:pPr>
          </w:p>
          <w:p w:rsidR="00EA1EFC" w:rsidRPr="007A0BFC" w:rsidRDefault="00EA1EFC" w:rsidP="0055131D">
            <w:pPr>
              <w:tabs>
                <w:tab w:val="right" w:pos="4462"/>
              </w:tabs>
              <w:jc w:val="both"/>
              <w:rPr>
                <w:sz w:val="28"/>
                <w:szCs w:val="28"/>
                <w:lang w:val="uk-UA"/>
              </w:rPr>
            </w:pPr>
            <w:r w:rsidRPr="007A0BFC">
              <w:rPr>
                <w:sz w:val="28"/>
                <w:szCs w:val="28"/>
                <w:lang w:val="uk-UA"/>
              </w:rPr>
              <w:t>Захищено на засіданні ЕК № ____</w:t>
            </w:r>
          </w:p>
          <w:p w:rsidR="00EA1EFC" w:rsidRPr="007A0BFC" w:rsidRDefault="00EA1EFC" w:rsidP="0055131D">
            <w:pPr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протокол № __від ____.____</w:t>
            </w:r>
            <w:r w:rsidRPr="007A0BFC">
              <w:rPr>
                <w:sz w:val="28"/>
                <w:szCs w:val="28"/>
                <w:lang w:val="uk-UA"/>
              </w:rPr>
              <w:t>20___ р.</w:t>
            </w:r>
          </w:p>
          <w:p w:rsidR="00EA1EFC" w:rsidRPr="007A0BFC" w:rsidRDefault="00EA1EFC" w:rsidP="0055131D">
            <w:pPr>
              <w:jc w:val="both"/>
              <w:rPr>
                <w:sz w:val="28"/>
                <w:szCs w:val="28"/>
                <w:lang w:val="uk-UA"/>
              </w:rPr>
            </w:pPr>
            <w:r w:rsidRPr="007A0BFC">
              <w:rPr>
                <w:sz w:val="28"/>
                <w:szCs w:val="28"/>
                <w:lang w:val="uk-UA"/>
              </w:rPr>
              <w:t xml:space="preserve"> </w:t>
            </w:r>
          </w:p>
          <w:p w:rsidR="00EA1EFC" w:rsidRPr="007A0BFC" w:rsidRDefault="00EA1EFC" w:rsidP="0055131D">
            <w:pPr>
              <w:tabs>
                <w:tab w:val="right" w:pos="4462"/>
              </w:tabs>
              <w:jc w:val="both"/>
              <w:rPr>
                <w:sz w:val="28"/>
                <w:szCs w:val="28"/>
                <w:lang w:val="uk-UA"/>
              </w:rPr>
            </w:pPr>
            <w:r w:rsidRPr="007A0BFC">
              <w:rPr>
                <w:sz w:val="28"/>
                <w:szCs w:val="28"/>
                <w:lang w:val="uk-UA"/>
              </w:rPr>
              <w:t>Оцінка______________/___</w:t>
            </w:r>
            <w:r w:rsidRPr="007A0BFC">
              <w:rPr>
                <w:sz w:val="28"/>
                <w:szCs w:val="28"/>
                <w:lang w:val="uk-UA"/>
              </w:rPr>
              <w:tab/>
              <w:t>___/_____</w:t>
            </w:r>
          </w:p>
          <w:p w:rsidR="00EA1EFC" w:rsidRPr="007A0BFC" w:rsidRDefault="00EA1EFC" w:rsidP="0055131D">
            <w:pPr>
              <w:jc w:val="center"/>
              <w:rPr>
                <w:sz w:val="28"/>
                <w:szCs w:val="28"/>
                <w:lang w:val="uk-UA"/>
              </w:rPr>
            </w:pPr>
            <w:r w:rsidRPr="007A0BFC">
              <w:rPr>
                <w:sz w:val="28"/>
                <w:szCs w:val="28"/>
                <w:lang w:val="uk-UA"/>
              </w:rPr>
              <w:t>(за національною шкалою/шкалою ЕСТS/ бали)</w:t>
            </w:r>
          </w:p>
          <w:p w:rsidR="00EA1EFC" w:rsidRPr="007A0BFC" w:rsidRDefault="00EA1EFC" w:rsidP="0055131D">
            <w:pPr>
              <w:jc w:val="both"/>
              <w:rPr>
                <w:sz w:val="28"/>
                <w:szCs w:val="28"/>
                <w:lang w:val="uk-UA"/>
              </w:rPr>
            </w:pPr>
            <w:r w:rsidRPr="007A0BFC">
              <w:rPr>
                <w:sz w:val="28"/>
                <w:szCs w:val="28"/>
                <w:lang w:val="uk-UA"/>
              </w:rPr>
              <w:t>Голова ЕК</w:t>
            </w:r>
          </w:p>
          <w:p w:rsidR="00EA1EFC" w:rsidRPr="007A0BFC" w:rsidRDefault="00EA1EFC" w:rsidP="0055131D">
            <w:pPr>
              <w:tabs>
                <w:tab w:val="left" w:pos="454"/>
                <w:tab w:val="left" w:pos="2155"/>
              </w:tabs>
              <w:jc w:val="both"/>
              <w:rPr>
                <w:sz w:val="28"/>
                <w:szCs w:val="28"/>
                <w:lang w:val="uk-UA"/>
              </w:rPr>
            </w:pPr>
            <w:r w:rsidRPr="007A0BFC">
              <w:rPr>
                <w:sz w:val="28"/>
                <w:szCs w:val="28"/>
                <w:u w:val="single"/>
                <w:lang w:val="uk-UA"/>
              </w:rPr>
              <w:tab/>
              <w:t>____</w:t>
            </w:r>
            <w:r w:rsidRPr="007A0BFC">
              <w:rPr>
                <w:sz w:val="28"/>
                <w:szCs w:val="28"/>
                <w:lang w:val="uk-UA"/>
              </w:rPr>
              <w:t xml:space="preserve">          Ольга МАКАРЕНКО     </w:t>
            </w:r>
            <w:r w:rsidRPr="004B6AB3">
              <w:rPr>
                <w:lang w:val="uk-UA"/>
              </w:rPr>
              <w:t>(підпис)                             (прізвище, ім’я)</w:t>
            </w:r>
          </w:p>
        </w:tc>
      </w:tr>
    </w:tbl>
    <w:p w:rsidR="00EA1EFC" w:rsidRDefault="00EA1EFC" w:rsidP="00EA1EFC">
      <w:pPr>
        <w:jc w:val="center"/>
        <w:rPr>
          <w:b/>
          <w:sz w:val="28"/>
          <w:szCs w:val="28"/>
          <w:lang w:val="uk-UA"/>
        </w:rPr>
      </w:pPr>
    </w:p>
    <w:p w:rsidR="00EA1EFC" w:rsidRDefault="00EA1EFC" w:rsidP="00EA1EFC">
      <w:pPr>
        <w:jc w:val="center"/>
        <w:rPr>
          <w:b/>
          <w:sz w:val="28"/>
          <w:szCs w:val="28"/>
          <w:lang w:val="uk-UA"/>
        </w:rPr>
      </w:pPr>
    </w:p>
    <w:p w:rsidR="00EA1EFC" w:rsidRPr="00562B45" w:rsidRDefault="00EA1EFC" w:rsidP="00EA1EFC">
      <w:pPr>
        <w:jc w:val="center"/>
        <w:rPr>
          <w:b/>
          <w:sz w:val="28"/>
          <w:szCs w:val="28"/>
          <w:lang w:val="uk-UA"/>
        </w:rPr>
      </w:pPr>
      <w:r w:rsidRPr="007A0BFC">
        <w:rPr>
          <w:b/>
          <w:sz w:val="28"/>
          <w:szCs w:val="28"/>
          <w:lang w:val="uk-UA"/>
        </w:rPr>
        <w:t>Одеса 2023</w:t>
      </w:r>
    </w:p>
    <w:p w:rsidR="00EA1EFC" w:rsidRDefault="00EA1EFC" w:rsidP="00EA1EFC">
      <w:pPr>
        <w:jc w:val="center"/>
        <w:rPr>
          <w:b/>
          <w:color w:val="000000"/>
          <w:sz w:val="28"/>
          <w:szCs w:val="28"/>
          <w:lang w:val="uk-UA"/>
        </w:rPr>
      </w:pPr>
    </w:p>
    <w:p w:rsidR="00380FD3" w:rsidRDefault="00380FD3" w:rsidP="00EA1EFC">
      <w:pPr>
        <w:jc w:val="center"/>
        <w:rPr>
          <w:b/>
          <w:color w:val="000000"/>
          <w:sz w:val="28"/>
          <w:szCs w:val="28"/>
          <w:lang w:val="uk-UA"/>
        </w:rPr>
      </w:pPr>
    </w:p>
    <w:p w:rsidR="00380FD3" w:rsidRDefault="00380FD3" w:rsidP="00EA1EFC">
      <w:pPr>
        <w:jc w:val="center"/>
        <w:rPr>
          <w:b/>
          <w:color w:val="000000"/>
          <w:sz w:val="28"/>
          <w:szCs w:val="28"/>
          <w:lang w:val="uk-UA"/>
        </w:rPr>
      </w:pPr>
    </w:p>
    <w:p w:rsidR="00EA1EFC" w:rsidRPr="005A601C" w:rsidRDefault="00EA1EFC" w:rsidP="00EA1EFC">
      <w:pPr>
        <w:jc w:val="center"/>
        <w:rPr>
          <w:b/>
          <w:color w:val="000000"/>
          <w:sz w:val="28"/>
          <w:szCs w:val="28"/>
          <w:lang w:val="uk-UA"/>
        </w:rPr>
      </w:pPr>
      <w:r w:rsidRPr="005A601C">
        <w:rPr>
          <w:b/>
          <w:color w:val="000000"/>
          <w:sz w:val="28"/>
          <w:szCs w:val="28"/>
          <w:lang w:val="uk-UA"/>
        </w:rPr>
        <w:lastRenderedPageBreak/>
        <w:t>АНОТАЦІЯ</w:t>
      </w:r>
    </w:p>
    <w:p w:rsidR="00EA1EFC" w:rsidRPr="002F416A" w:rsidRDefault="00EA1EFC" w:rsidP="00EA1EFC">
      <w:pPr>
        <w:widowControl w:val="0"/>
        <w:autoSpaceDE w:val="0"/>
        <w:autoSpaceDN w:val="0"/>
        <w:adjustRightInd w:val="0"/>
        <w:spacing w:line="360" w:lineRule="auto"/>
        <w:ind w:right="-74" w:firstLine="708"/>
        <w:jc w:val="both"/>
        <w:rPr>
          <w:sz w:val="26"/>
          <w:szCs w:val="26"/>
          <w:lang w:val="uk-UA"/>
        </w:rPr>
      </w:pPr>
      <w:r w:rsidRPr="002F416A">
        <w:rPr>
          <w:sz w:val="26"/>
          <w:szCs w:val="26"/>
          <w:lang w:val="uk-UA"/>
        </w:rPr>
        <w:t>Метою дослідження було вивчення на моделі залізодефіцитної анемії  ефективності застосування залізовмісного препарату  Феррум Лек у поєднанні з ентеросорбентом на показники червоної крові вагітних щурів.</w:t>
      </w:r>
    </w:p>
    <w:p w:rsidR="00EA1EFC" w:rsidRPr="002F416A" w:rsidRDefault="00EA1EFC" w:rsidP="00EA1EFC">
      <w:pPr>
        <w:widowControl w:val="0"/>
        <w:autoSpaceDE w:val="0"/>
        <w:autoSpaceDN w:val="0"/>
        <w:adjustRightInd w:val="0"/>
        <w:spacing w:line="360" w:lineRule="auto"/>
        <w:ind w:right="-74" w:firstLine="708"/>
        <w:jc w:val="both"/>
        <w:rPr>
          <w:sz w:val="26"/>
          <w:szCs w:val="26"/>
          <w:lang w:val="uk-UA"/>
        </w:rPr>
      </w:pPr>
      <w:r w:rsidRPr="002F416A">
        <w:rPr>
          <w:sz w:val="26"/>
          <w:szCs w:val="26"/>
          <w:lang w:val="uk-UA"/>
        </w:rPr>
        <w:t>Встановлено, що триразове кровопускання призвело до прояву залізодефіцитної анемії у щурів. Протягом усієї вагітності вміст еритроцитів та гемоглобіну був нижчим, ніж у інтактних тварин.</w:t>
      </w:r>
    </w:p>
    <w:p w:rsidR="00EA1EFC" w:rsidRPr="002F416A" w:rsidRDefault="00EA1EFC" w:rsidP="00EA1EFC">
      <w:pPr>
        <w:pStyle w:val="2"/>
        <w:spacing w:before="0" w:beforeAutospacing="0" w:after="0" w:afterAutospacing="0" w:line="360" w:lineRule="auto"/>
        <w:ind w:firstLine="708"/>
        <w:jc w:val="both"/>
        <w:rPr>
          <w:b w:val="0"/>
          <w:bCs w:val="0"/>
          <w:sz w:val="26"/>
          <w:szCs w:val="26"/>
          <w:lang w:val="uk-UA"/>
        </w:rPr>
      </w:pPr>
      <w:r w:rsidRPr="002F416A">
        <w:rPr>
          <w:b w:val="0"/>
          <w:bCs w:val="0"/>
          <w:sz w:val="26"/>
          <w:szCs w:val="26"/>
          <w:lang w:val="uk-UA"/>
        </w:rPr>
        <w:t>Порівняльна оцінка результатів лікування у групах тварин, які отримували та не отримували ентеросорбент на основі пектинів з яблук та буряку спільно з антианемічним препаратом Ферум Лек, дозволила встановити наявність антианемічного та антигіпоксичного ефектів, більш виражених у тварин, які отримували ентеросорбент.</w:t>
      </w:r>
    </w:p>
    <w:p w:rsidR="00EA1EFC" w:rsidRPr="002F416A" w:rsidRDefault="00EA1EFC" w:rsidP="00EA1EFC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  <w:rPr>
          <w:kern w:val="28"/>
          <w:sz w:val="26"/>
          <w:szCs w:val="26"/>
          <w:lang w:val="uk-UA"/>
        </w:rPr>
      </w:pPr>
      <w:r w:rsidRPr="002F416A">
        <w:rPr>
          <w:kern w:val="28"/>
          <w:sz w:val="26"/>
          <w:szCs w:val="26"/>
          <w:lang w:val="uk-UA"/>
        </w:rPr>
        <w:t xml:space="preserve">Кваліфікаційну роботу викладено </w:t>
      </w:r>
      <w:r w:rsidRPr="00F2548E">
        <w:rPr>
          <w:kern w:val="28"/>
          <w:sz w:val="26"/>
          <w:szCs w:val="26"/>
          <w:lang w:val="uk-UA"/>
        </w:rPr>
        <w:t>на 42</w:t>
      </w:r>
      <w:r w:rsidRPr="002F416A">
        <w:rPr>
          <w:kern w:val="28"/>
          <w:sz w:val="26"/>
          <w:szCs w:val="26"/>
          <w:lang w:val="uk-UA"/>
        </w:rPr>
        <w:t xml:space="preserve"> сторінках друкованого тексту, вона включає </w:t>
      </w:r>
      <w:r>
        <w:rPr>
          <w:kern w:val="28"/>
          <w:sz w:val="26"/>
          <w:szCs w:val="26"/>
          <w:lang w:val="uk-UA"/>
        </w:rPr>
        <w:t>2</w:t>
      </w:r>
      <w:r w:rsidRPr="002F416A">
        <w:rPr>
          <w:kern w:val="28"/>
          <w:sz w:val="26"/>
          <w:szCs w:val="26"/>
          <w:lang w:val="uk-UA"/>
        </w:rPr>
        <w:t xml:space="preserve"> таблиці, 2 рисунка. У роботі наведено посилання на </w:t>
      </w:r>
      <w:r>
        <w:rPr>
          <w:kern w:val="28"/>
          <w:sz w:val="26"/>
          <w:szCs w:val="26"/>
          <w:lang w:val="uk-UA"/>
        </w:rPr>
        <w:t>79</w:t>
      </w:r>
      <w:r w:rsidRPr="002F416A">
        <w:rPr>
          <w:kern w:val="28"/>
          <w:sz w:val="26"/>
          <w:szCs w:val="26"/>
          <w:lang w:val="uk-UA"/>
        </w:rPr>
        <w:t xml:space="preserve"> публікацій кирилицею та </w:t>
      </w:r>
      <w:r>
        <w:rPr>
          <w:kern w:val="28"/>
          <w:sz w:val="26"/>
          <w:szCs w:val="26"/>
          <w:lang w:val="uk-UA"/>
        </w:rPr>
        <w:t>3</w:t>
      </w:r>
      <w:r w:rsidRPr="002F416A">
        <w:rPr>
          <w:kern w:val="28"/>
          <w:sz w:val="26"/>
          <w:szCs w:val="26"/>
          <w:lang w:val="uk-UA"/>
        </w:rPr>
        <w:t xml:space="preserve"> латиницею.</w:t>
      </w:r>
    </w:p>
    <w:p w:rsidR="00EA1EFC" w:rsidRPr="002F416A" w:rsidRDefault="00EA1EFC" w:rsidP="00EA1EFC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  <w:rPr>
          <w:i/>
          <w:kern w:val="28"/>
          <w:sz w:val="26"/>
          <w:szCs w:val="26"/>
          <w:lang w:val="uk-UA"/>
        </w:rPr>
      </w:pPr>
      <w:r w:rsidRPr="002F416A">
        <w:rPr>
          <w:b/>
          <w:kern w:val="28"/>
          <w:sz w:val="26"/>
          <w:szCs w:val="26"/>
          <w:lang w:val="uk-UA"/>
        </w:rPr>
        <w:t>Ключові слова</w:t>
      </w:r>
      <w:r w:rsidRPr="002F416A">
        <w:rPr>
          <w:kern w:val="28"/>
          <w:sz w:val="26"/>
          <w:szCs w:val="26"/>
          <w:lang w:val="uk-UA"/>
        </w:rPr>
        <w:t xml:space="preserve">: </w:t>
      </w:r>
      <w:r w:rsidRPr="002F416A">
        <w:rPr>
          <w:i/>
          <w:kern w:val="28"/>
          <w:sz w:val="26"/>
          <w:szCs w:val="26"/>
          <w:lang w:val="uk-UA"/>
        </w:rPr>
        <w:t>щури, залізодефіцитна анемія, ентеросорбент, еритроцити, гемоглобін</w:t>
      </w:r>
    </w:p>
    <w:p w:rsidR="00EA1EFC" w:rsidRPr="002F416A" w:rsidRDefault="00EA1EFC" w:rsidP="00EA1EFC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  <w:rPr>
          <w:kern w:val="28"/>
          <w:sz w:val="26"/>
          <w:szCs w:val="26"/>
          <w:lang w:val="uk-UA"/>
        </w:rPr>
      </w:pPr>
      <w:r w:rsidRPr="002F416A">
        <w:rPr>
          <w:kern w:val="28"/>
          <w:sz w:val="26"/>
          <w:szCs w:val="26"/>
          <w:lang w:val="uk-UA"/>
        </w:rPr>
        <w:t>The purpose of the study was to study the effectiveness of using the iron-containing drug Ferrum Lek in combination with an enterosorbent on red blood cell parameters in pregnant rats using a model of iron deficiency anemia.</w:t>
      </w:r>
    </w:p>
    <w:p w:rsidR="00EA1EFC" w:rsidRPr="002F416A" w:rsidRDefault="00EA1EFC" w:rsidP="00EA1EFC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  <w:rPr>
          <w:kern w:val="28"/>
          <w:sz w:val="26"/>
          <w:szCs w:val="26"/>
          <w:lang w:val="uk-UA"/>
        </w:rPr>
      </w:pPr>
      <w:r w:rsidRPr="002F416A">
        <w:rPr>
          <w:kern w:val="28"/>
          <w:sz w:val="26"/>
          <w:szCs w:val="26"/>
          <w:lang w:val="uk-UA"/>
        </w:rPr>
        <w:t>It was established that three times bloodletting led to the manifestation of iron-deficiency anemia in rats. Throughout pregnancy, the content of erythrocytes and hemoglobin was lower than in intact animals.</w:t>
      </w:r>
    </w:p>
    <w:p w:rsidR="00EA1EFC" w:rsidRPr="002F416A" w:rsidRDefault="00EA1EFC" w:rsidP="00EA1EFC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  <w:rPr>
          <w:kern w:val="28"/>
          <w:sz w:val="26"/>
          <w:szCs w:val="26"/>
          <w:lang w:val="uk-UA"/>
        </w:rPr>
      </w:pPr>
      <w:r w:rsidRPr="002F416A">
        <w:rPr>
          <w:kern w:val="28"/>
          <w:sz w:val="26"/>
          <w:szCs w:val="26"/>
          <w:lang w:val="uk-UA"/>
        </w:rPr>
        <w:t xml:space="preserve">A comparative assessment of the results of treatment in groups of animals that received and did not receive an enterosorbent based on apple and beet pectins together with the anti-anemic drug Ferum Lek, made it possible to establish the presence of anti-anemic and antihypoxic effects, which were more pronounced in animals that received the enterosorbent.The qualifying work is presented </w:t>
      </w:r>
      <w:r w:rsidRPr="00F2548E">
        <w:rPr>
          <w:kern w:val="28"/>
          <w:sz w:val="26"/>
          <w:szCs w:val="26"/>
          <w:lang w:val="uk-UA"/>
        </w:rPr>
        <w:t>on 42 pages</w:t>
      </w:r>
      <w:r w:rsidRPr="002F416A">
        <w:rPr>
          <w:kern w:val="28"/>
          <w:sz w:val="26"/>
          <w:szCs w:val="26"/>
          <w:lang w:val="uk-UA"/>
        </w:rPr>
        <w:t xml:space="preserve"> of printed text, it includes </w:t>
      </w:r>
      <w:r>
        <w:rPr>
          <w:kern w:val="28"/>
          <w:sz w:val="26"/>
          <w:szCs w:val="26"/>
          <w:lang w:val="uk-UA"/>
        </w:rPr>
        <w:t>2</w:t>
      </w:r>
      <w:r w:rsidRPr="002F416A">
        <w:rPr>
          <w:kern w:val="28"/>
          <w:sz w:val="26"/>
          <w:szCs w:val="26"/>
          <w:lang w:val="uk-UA"/>
        </w:rPr>
        <w:t xml:space="preserve"> tables, </w:t>
      </w:r>
      <w:r>
        <w:rPr>
          <w:kern w:val="28"/>
          <w:sz w:val="26"/>
          <w:szCs w:val="26"/>
          <w:lang w:val="uk-UA"/>
        </w:rPr>
        <w:t xml:space="preserve">2 </w:t>
      </w:r>
      <w:r w:rsidRPr="002F416A">
        <w:rPr>
          <w:kern w:val="28"/>
          <w:sz w:val="26"/>
          <w:szCs w:val="26"/>
          <w:lang w:val="uk-UA"/>
        </w:rPr>
        <w:t xml:space="preserve">figures. The work provides links to </w:t>
      </w:r>
      <w:r>
        <w:rPr>
          <w:kern w:val="28"/>
          <w:sz w:val="26"/>
          <w:szCs w:val="26"/>
          <w:lang w:val="uk-UA"/>
        </w:rPr>
        <w:t>79</w:t>
      </w:r>
      <w:r w:rsidRPr="002F416A">
        <w:rPr>
          <w:kern w:val="28"/>
          <w:sz w:val="26"/>
          <w:szCs w:val="26"/>
          <w:lang w:val="uk-UA"/>
        </w:rPr>
        <w:t xml:space="preserve"> publications in Cyrillic and </w:t>
      </w:r>
      <w:r>
        <w:rPr>
          <w:kern w:val="28"/>
          <w:sz w:val="26"/>
          <w:szCs w:val="26"/>
          <w:lang w:val="uk-UA"/>
        </w:rPr>
        <w:t>3</w:t>
      </w:r>
      <w:r w:rsidRPr="002F416A">
        <w:rPr>
          <w:kern w:val="28"/>
          <w:sz w:val="26"/>
          <w:szCs w:val="26"/>
          <w:lang w:val="uk-UA"/>
        </w:rPr>
        <w:t xml:space="preserve"> in Latin.</w:t>
      </w:r>
    </w:p>
    <w:p w:rsidR="00EA1EFC" w:rsidRPr="002F416A" w:rsidRDefault="00EA1EFC" w:rsidP="00EA1EFC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  <w:rPr>
          <w:b/>
          <w:sz w:val="26"/>
          <w:szCs w:val="26"/>
          <w:lang w:val="uk-UA"/>
        </w:rPr>
      </w:pPr>
      <w:r w:rsidRPr="002F416A">
        <w:rPr>
          <w:b/>
          <w:kern w:val="28"/>
          <w:sz w:val="26"/>
          <w:szCs w:val="26"/>
          <w:lang w:val="uk-UA"/>
        </w:rPr>
        <w:t>Key words:</w:t>
      </w:r>
      <w:r w:rsidRPr="002F416A">
        <w:rPr>
          <w:kern w:val="28"/>
          <w:sz w:val="26"/>
          <w:szCs w:val="26"/>
          <w:lang w:val="uk-UA"/>
        </w:rPr>
        <w:t xml:space="preserve"> </w:t>
      </w:r>
      <w:r w:rsidRPr="002F416A">
        <w:rPr>
          <w:i/>
          <w:kern w:val="28"/>
          <w:sz w:val="26"/>
          <w:szCs w:val="26"/>
          <w:lang w:val="uk-UA"/>
        </w:rPr>
        <w:t>rats, iron deficiency anemia, enterosorbent, erythrocytes, hemoglobin</w:t>
      </w:r>
      <w:r w:rsidRPr="002F416A">
        <w:rPr>
          <w:b/>
          <w:sz w:val="26"/>
          <w:szCs w:val="26"/>
          <w:lang w:val="uk-UA"/>
        </w:rPr>
        <w:t xml:space="preserve">                                   </w:t>
      </w:r>
    </w:p>
    <w:p w:rsidR="00B44EA2" w:rsidRDefault="00EA1EFC" w:rsidP="00EA1EFC">
      <w:pPr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                                   </w:t>
      </w:r>
    </w:p>
    <w:p w:rsidR="00B44EA2" w:rsidRDefault="00B44EA2" w:rsidP="00EA1EFC">
      <w:pPr>
        <w:rPr>
          <w:b/>
          <w:sz w:val="28"/>
          <w:szCs w:val="28"/>
          <w:lang w:val="uk-UA"/>
        </w:rPr>
      </w:pPr>
    </w:p>
    <w:p w:rsidR="00B44EA2" w:rsidRDefault="00B44EA2" w:rsidP="00EA1EFC">
      <w:pPr>
        <w:rPr>
          <w:b/>
          <w:sz w:val="28"/>
          <w:szCs w:val="28"/>
          <w:lang w:val="uk-UA"/>
        </w:rPr>
      </w:pPr>
    </w:p>
    <w:p w:rsidR="00B44EA2" w:rsidRDefault="00B44EA2" w:rsidP="00EA1EFC">
      <w:pPr>
        <w:rPr>
          <w:b/>
          <w:sz w:val="28"/>
          <w:szCs w:val="28"/>
          <w:lang w:val="uk-UA"/>
        </w:rPr>
      </w:pPr>
    </w:p>
    <w:p w:rsidR="00B44EA2" w:rsidRDefault="00B44EA2" w:rsidP="00EA1EFC">
      <w:pPr>
        <w:rPr>
          <w:b/>
          <w:sz w:val="28"/>
          <w:szCs w:val="28"/>
          <w:lang w:val="uk-UA"/>
        </w:rPr>
      </w:pPr>
    </w:p>
    <w:p w:rsidR="00B44EA2" w:rsidRDefault="00B44EA2" w:rsidP="00EA1EFC">
      <w:pPr>
        <w:rPr>
          <w:b/>
          <w:sz w:val="28"/>
          <w:szCs w:val="28"/>
          <w:lang w:val="uk-UA"/>
        </w:rPr>
      </w:pPr>
    </w:p>
    <w:p w:rsidR="00EA1EFC" w:rsidRPr="005A601C" w:rsidRDefault="00EA1EFC" w:rsidP="00EA1EFC">
      <w:pPr>
        <w:rPr>
          <w:b/>
          <w:sz w:val="28"/>
          <w:szCs w:val="28"/>
          <w:lang w:val="uk-UA"/>
        </w:rPr>
      </w:pPr>
      <w:r w:rsidRPr="005A601C">
        <w:rPr>
          <w:b/>
          <w:sz w:val="28"/>
          <w:szCs w:val="28"/>
          <w:lang w:val="uk-UA"/>
        </w:rPr>
        <w:t>СКОРОЧЕННЯ ТА АБРЕВІАТУРИ</w:t>
      </w:r>
    </w:p>
    <w:p w:rsidR="00EA1EFC" w:rsidRDefault="00EA1EFC" w:rsidP="00EA1EFC">
      <w:pPr>
        <w:spacing w:line="360" w:lineRule="auto"/>
        <w:rPr>
          <w:sz w:val="28"/>
          <w:szCs w:val="28"/>
          <w:lang w:val="uk-UA"/>
        </w:rPr>
      </w:pPr>
    </w:p>
    <w:p w:rsidR="00EA1EFC" w:rsidRDefault="00EA1EFC" w:rsidP="00EA1EFC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ЗДА – залізодефіцитна анемія</w:t>
      </w:r>
    </w:p>
    <w:p w:rsidR="00EA1EFC" w:rsidRDefault="00EA1EFC" w:rsidP="00EA1EFC">
      <w:pPr>
        <w:spacing w:line="360" w:lineRule="auto"/>
        <w:rPr>
          <w:sz w:val="28"/>
          <w:szCs w:val="28"/>
          <w:lang w:val="uk-UA"/>
        </w:rPr>
      </w:pPr>
    </w:p>
    <w:p w:rsidR="00EA1EFC" w:rsidRDefault="00EA1EFC" w:rsidP="00EA1EFC">
      <w:pPr>
        <w:spacing w:line="360" w:lineRule="auto"/>
        <w:rPr>
          <w:sz w:val="28"/>
          <w:szCs w:val="28"/>
          <w:lang w:val="uk-UA"/>
        </w:rPr>
      </w:pPr>
    </w:p>
    <w:p w:rsidR="00EA1EFC" w:rsidRDefault="00EA1EFC" w:rsidP="00EA1EFC">
      <w:pPr>
        <w:spacing w:line="360" w:lineRule="auto"/>
        <w:rPr>
          <w:sz w:val="28"/>
          <w:szCs w:val="28"/>
          <w:lang w:val="uk-UA"/>
        </w:rPr>
      </w:pPr>
    </w:p>
    <w:p w:rsidR="00EA1EFC" w:rsidRDefault="00EA1EFC" w:rsidP="00EA1EFC">
      <w:pPr>
        <w:spacing w:line="360" w:lineRule="auto"/>
        <w:rPr>
          <w:sz w:val="28"/>
          <w:szCs w:val="28"/>
          <w:lang w:val="uk-UA"/>
        </w:rPr>
      </w:pPr>
    </w:p>
    <w:p w:rsidR="00EA1EFC" w:rsidRDefault="00EA1EFC" w:rsidP="00EA1EFC">
      <w:pPr>
        <w:spacing w:line="360" w:lineRule="auto"/>
        <w:rPr>
          <w:sz w:val="28"/>
          <w:szCs w:val="28"/>
          <w:lang w:val="uk-UA"/>
        </w:rPr>
      </w:pPr>
    </w:p>
    <w:p w:rsidR="00EA1EFC" w:rsidRDefault="00EA1EFC" w:rsidP="00EA1EFC">
      <w:pPr>
        <w:spacing w:line="360" w:lineRule="auto"/>
        <w:rPr>
          <w:sz w:val="28"/>
          <w:szCs w:val="28"/>
          <w:lang w:val="uk-UA"/>
        </w:rPr>
      </w:pPr>
    </w:p>
    <w:p w:rsidR="00EA1EFC" w:rsidRDefault="00EA1EFC" w:rsidP="00EA1EFC">
      <w:pPr>
        <w:spacing w:line="360" w:lineRule="auto"/>
        <w:rPr>
          <w:sz w:val="28"/>
          <w:szCs w:val="28"/>
          <w:lang w:val="uk-UA"/>
        </w:rPr>
      </w:pPr>
    </w:p>
    <w:p w:rsidR="00EA1EFC" w:rsidRDefault="00EA1EFC" w:rsidP="00EA1EFC">
      <w:pPr>
        <w:spacing w:line="360" w:lineRule="auto"/>
        <w:rPr>
          <w:sz w:val="28"/>
          <w:szCs w:val="28"/>
          <w:lang w:val="uk-UA"/>
        </w:rPr>
      </w:pPr>
    </w:p>
    <w:p w:rsidR="00EA1EFC" w:rsidRDefault="00EA1EFC" w:rsidP="00EA1EFC">
      <w:pPr>
        <w:spacing w:line="360" w:lineRule="auto"/>
        <w:rPr>
          <w:sz w:val="28"/>
          <w:szCs w:val="28"/>
          <w:lang w:val="uk-UA"/>
        </w:rPr>
      </w:pPr>
    </w:p>
    <w:p w:rsidR="00EA1EFC" w:rsidRDefault="00EA1EFC" w:rsidP="00EA1EFC">
      <w:pPr>
        <w:spacing w:line="360" w:lineRule="auto"/>
        <w:rPr>
          <w:sz w:val="28"/>
          <w:szCs w:val="28"/>
          <w:lang w:val="uk-UA"/>
        </w:rPr>
      </w:pPr>
    </w:p>
    <w:p w:rsidR="00EA1EFC" w:rsidRDefault="00EA1EFC" w:rsidP="00EA1EFC">
      <w:pPr>
        <w:spacing w:line="360" w:lineRule="auto"/>
        <w:rPr>
          <w:sz w:val="28"/>
          <w:szCs w:val="28"/>
          <w:lang w:val="uk-UA"/>
        </w:rPr>
      </w:pPr>
    </w:p>
    <w:p w:rsidR="00EA1EFC" w:rsidRDefault="00EA1EFC" w:rsidP="00EA1EFC">
      <w:pPr>
        <w:spacing w:line="360" w:lineRule="auto"/>
        <w:rPr>
          <w:sz w:val="28"/>
          <w:szCs w:val="28"/>
          <w:lang w:val="uk-UA"/>
        </w:rPr>
      </w:pPr>
    </w:p>
    <w:p w:rsidR="00EA1EFC" w:rsidRDefault="00EA1EFC" w:rsidP="00EA1EFC">
      <w:pPr>
        <w:spacing w:line="360" w:lineRule="auto"/>
        <w:rPr>
          <w:sz w:val="28"/>
          <w:szCs w:val="28"/>
          <w:lang w:val="uk-UA"/>
        </w:rPr>
      </w:pPr>
    </w:p>
    <w:p w:rsidR="00EA1EFC" w:rsidRDefault="00EA1EFC" w:rsidP="00EA1EFC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br w:type="page"/>
      </w:r>
    </w:p>
    <w:p w:rsidR="00EA1EFC" w:rsidRDefault="00EA1EFC" w:rsidP="00EA1EFC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7A0BFC">
        <w:rPr>
          <w:b/>
          <w:sz w:val="28"/>
          <w:szCs w:val="28"/>
          <w:lang w:val="uk-UA"/>
        </w:rPr>
        <w:lastRenderedPageBreak/>
        <w:t>ЗМІСТ</w:t>
      </w:r>
    </w:p>
    <w:p w:rsidR="00EA1EFC" w:rsidRPr="007A0BFC" w:rsidRDefault="00EA1EFC" w:rsidP="00EA1EFC">
      <w:pPr>
        <w:spacing w:line="360" w:lineRule="auto"/>
        <w:rPr>
          <w:b/>
          <w:sz w:val="28"/>
          <w:szCs w:val="28"/>
          <w:lang w:val="uk-UA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639"/>
        <w:gridCol w:w="712"/>
        <w:gridCol w:w="7514"/>
        <w:gridCol w:w="490"/>
      </w:tblGrid>
      <w:tr w:rsidR="00EA1EFC" w:rsidRPr="007A0BFC" w:rsidTr="0055131D">
        <w:tc>
          <w:tcPr>
            <w:tcW w:w="9052" w:type="dxa"/>
            <w:gridSpan w:val="3"/>
          </w:tcPr>
          <w:p w:rsidR="00EA1EFC" w:rsidRPr="007A0BFC" w:rsidRDefault="00EA1EFC" w:rsidP="0055131D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7A0BFC">
              <w:rPr>
                <w:sz w:val="28"/>
                <w:szCs w:val="28"/>
                <w:lang w:val="uk-UA"/>
              </w:rPr>
              <w:t>ВСТУП ……………………………………………………………………</w:t>
            </w:r>
            <w:r>
              <w:rPr>
                <w:sz w:val="28"/>
                <w:szCs w:val="28"/>
                <w:lang w:val="uk-UA"/>
              </w:rPr>
              <w:t>…..</w:t>
            </w:r>
          </w:p>
        </w:tc>
        <w:tc>
          <w:tcPr>
            <w:tcW w:w="532" w:type="dxa"/>
          </w:tcPr>
          <w:p w:rsidR="00EA1EFC" w:rsidRPr="007A0BFC" w:rsidRDefault="00EA1EFC" w:rsidP="0055131D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7A0BFC">
              <w:rPr>
                <w:sz w:val="28"/>
                <w:szCs w:val="28"/>
                <w:lang w:val="uk-UA"/>
              </w:rPr>
              <w:t>5</w:t>
            </w:r>
          </w:p>
        </w:tc>
      </w:tr>
      <w:tr w:rsidR="00EA1EFC" w:rsidRPr="007A0BFC" w:rsidTr="0055131D">
        <w:tc>
          <w:tcPr>
            <w:tcW w:w="9052" w:type="dxa"/>
            <w:gridSpan w:val="3"/>
          </w:tcPr>
          <w:p w:rsidR="00EA1EFC" w:rsidRPr="007A0BFC" w:rsidRDefault="00EA1EFC" w:rsidP="0055131D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7A0BFC">
              <w:rPr>
                <w:bCs/>
                <w:caps/>
                <w:sz w:val="28"/>
                <w:szCs w:val="28"/>
                <w:lang w:val="uk-UA" w:eastAsia="uk-UA"/>
              </w:rPr>
              <w:t>1.</w:t>
            </w:r>
            <w:r w:rsidRPr="007A0BFC">
              <w:rPr>
                <w:bCs/>
                <w:caps/>
                <w:spacing w:val="-2"/>
                <w:sz w:val="28"/>
                <w:szCs w:val="28"/>
                <w:lang w:val="uk-UA" w:eastAsia="uk-UA"/>
              </w:rPr>
              <w:t xml:space="preserve"> </w:t>
            </w:r>
            <w:r w:rsidRPr="007A0BFC">
              <w:rPr>
                <w:bCs/>
                <w:caps/>
                <w:sz w:val="28"/>
                <w:szCs w:val="28"/>
                <w:lang w:val="uk-UA" w:eastAsia="uk-UA"/>
              </w:rPr>
              <w:t>ОГЛЯД</w:t>
            </w:r>
            <w:r w:rsidRPr="007A0BFC">
              <w:rPr>
                <w:bCs/>
                <w:caps/>
                <w:spacing w:val="-2"/>
                <w:sz w:val="28"/>
                <w:szCs w:val="28"/>
                <w:lang w:val="uk-UA" w:eastAsia="uk-UA"/>
              </w:rPr>
              <w:t xml:space="preserve"> </w:t>
            </w:r>
            <w:r w:rsidRPr="007A0BFC">
              <w:rPr>
                <w:bCs/>
                <w:caps/>
                <w:sz w:val="28"/>
                <w:szCs w:val="28"/>
                <w:lang w:val="uk-UA" w:eastAsia="uk-UA"/>
              </w:rPr>
              <w:t>ЛІТЕРАТУРИ ………………………………………………</w:t>
            </w:r>
            <w:r>
              <w:rPr>
                <w:bCs/>
                <w:caps/>
                <w:sz w:val="28"/>
                <w:szCs w:val="28"/>
                <w:lang w:val="uk-UA" w:eastAsia="uk-UA"/>
              </w:rPr>
              <w:t>…….</w:t>
            </w:r>
          </w:p>
        </w:tc>
        <w:tc>
          <w:tcPr>
            <w:tcW w:w="532" w:type="dxa"/>
          </w:tcPr>
          <w:p w:rsidR="00EA1EFC" w:rsidRPr="007A0BFC" w:rsidRDefault="00EA1EFC" w:rsidP="0055131D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7</w:t>
            </w:r>
          </w:p>
        </w:tc>
      </w:tr>
      <w:tr w:rsidR="00EA1EFC" w:rsidRPr="00E30559" w:rsidTr="0055131D">
        <w:tc>
          <w:tcPr>
            <w:tcW w:w="649" w:type="dxa"/>
          </w:tcPr>
          <w:p w:rsidR="00EA1EFC" w:rsidRPr="007A0BFC" w:rsidRDefault="00EA1EFC" w:rsidP="0055131D">
            <w:pPr>
              <w:spacing w:line="360" w:lineRule="auto"/>
              <w:rPr>
                <w:sz w:val="28"/>
                <w:szCs w:val="28"/>
                <w:lang w:val="uk-UA"/>
              </w:rPr>
            </w:pPr>
          </w:p>
        </w:tc>
        <w:tc>
          <w:tcPr>
            <w:tcW w:w="723" w:type="dxa"/>
          </w:tcPr>
          <w:p w:rsidR="00EA1EFC" w:rsidRPr="007A0BFC" w:rsidRDefault="00EA1EFC" w:rsidP="0055131D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7A0BFC">
              <w:rPr>
                <w:sz w:val="28"/>
                <w:szCs w:val="28"/>
                <w:lang w:val="uk-UA"/>
              </w:rPr>
              <w:t>1.1</w:t>
            </w:r>
          </w:p>
        </w:tc>
        <w:tc>
          <w:tcPr>
            <w:tcW w:w="7680" w:type="dxa"/>
          </w:tcPr>
          <w:p w:rsidR="00EA1EFC" w:rsidRPr="002F416A" w:rsidRDefault="00EA1EFC" w:rsidP="0055131D">
            <w:pPr>
              <w:pStyle w:val="2"/>
              <w:autoSpaceDE w:val="0"/>
              <w:autoSpaceDN w:val="0"/>
              <w:spacing w:before="0" w:beforeAutospacing="0" w:after="0" w:afterAutospacing="0" w:line="360" w:lineRule="auto"/>
              <w:jc w:val="both"/>
              <w:rPr>
                <w:b w:val="0"/>
                <w:sz w:val="28"/>
                <w:szCs w:val="28"/>
                <w:lang w:val="uk-UA"/>
              </w:rPr>
            </w:pPr>
            <w:r w:rsidRPr="002F416A">
              <w:rPr>
                <w:b w:val="0"/>
                <w:sz w:val="28"/>
                <w:szCs w:val="28"/>
                <w:lang w:val="uk-UA"/>
              </w:rPr>
              <w:t>Роль заліза в організмі людини і тварин</w:t>
            </w:r>
            <w:r>
              <w:rPr>
                <w:b w:val="0"/>
                <w:sz w:val="28"/>
                <w:szCs w:val="28"/>
                <w:lang w:val="uk-UA"/>
              </w:rPr>
              <w:t xml:space="preserve"> ……………………..</w:t>
            </w:r>
          </w:p>
        </w:tc>
        <w:tc>
          <w:tcPr>
            <w:tcW w:w="532" w:type="dxa"/>
          </w:tcPr>
          <w:p w:rsidR="00EA1EFC" w:rsidRPr="00E30559" w:rsidRDefault="00EA1EFC" w:rsidP="0055131D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7</w:t>
            </w:r>
          </w:p>
        </w:tc>
      </w:tr>
      <w:tr w:rsidR="00EA1EFC" w:rsidRPr="00E30559" w:rsidTr="0055131D">
        <w:tc>
          <w:tcPr>
            <w:tcW w:w="649" w:type="dxa"/>
          </w:tcPr>
          <w:p w:rsidR="00EA1EFC" w:rsidRPr="007A0BFC" w:rsidRDefault="00EA1EFC" w:rsidP="0055131D">
            <w:pPr>
              <w:spacing w:line="360" w:lineRule="auto"/>
              <w:rPr>
                <w:sz w:val="28"/>
                <w:szCs w:val="28"/>
                <w:lang w:val="uk-UA"/>
              </w:rPr>
            </w:pPr>
          </w:p>
        </w:tc>
        <w:tc>
          <w:tcPr>
            <w:tcW w:w="723" w:type="dxa"/>
          </w:tcPr>
          <w:p w:rsidR="00EA1EFC" w:rsidRPr="007A0BFC" w:rsidRDefault="00EA1EFC" w:rsidP="0055131D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7A0BFC">
              <w:rPr>
                <w:sz w:val="28"/>
                <w:szCs w:val="28"/>
                <w:lang w:val="uk-UA"/>
              </w:rPr>
              <w:t>1.2</w:t>
            </w:r>
          </w:p>
        </w:tc>
        <w:tc>
          <w:tcPr>
            <w:tcW w:w="7680" w:type="dxa"/>
          </w:tcPr>
          <w:p w:rsidR="00EA1EFC" w:rsidRPr="002F416A" w:rsidRDefault="00EA1EFC" w:rsidP="0055131D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2F416A">
              <w:rPr>
                <w:sz w:val="28"/>
                <w:szCs w:val="28"/>
                <w:lang w:val="uk-UA"/>
              </w:rPr>
              <w:t>Застосування сорбентів у комплексному лікуванні  захворювань організму і шлунково-кишкового тракту</w:t>
            </w:r>
            <w:r>
              <w:rPr>
                <w:sz w:val="28"/>
                <w:szCs w:val="28"/>
                <w:lang w:val="uk-UA"/>
              </w:rPr>
              <w:t xml:space="preserve"> ……..</w:t>
            </w:r>
          </w:p>
        </w:tc>
        <w:tc>
          <w:tcPr>
            <w:tcW w:w="532" w:type="dxa"/>
          </w:tcPr>
          <w:p w:rsidR="00EA1EFC" w:rsidRDefault="00EA1EFC" w:rsidP="0055131D">
            <w:pPr>
              <w:spacing w:line="360" w:lineRule="auto"/>
              <w:rPr>
                <w:sz w:val="28"/>
                <w:szCs w:val="28"/>
                <w:lang w:val="uk-UA"/>
              </w:rPr>
            </w:pPr>
          </w:p>
          <w:p w:rsidR="00EA1EFC" w:rsidRPr="00E30559" w:rsidRDefault="00EA1EFC" w:rsidP="0055131D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15</w:t>
            </w:r>
          </w:p>
        </w:tc>
      </w:tr>
      <w:tr w:rsidR="00EA1EFC" w:rsidRPr="00E30559" w:rsidTr="0055131D">
        <w:tc>
          <w:tcPr>
            <w:tcW w:w="9052" w:type="dxa"/>
            <w:gridSpan w:val="3"/>
          </w:tcPr>
          <w:p w:rsidR="00EA1EFC" w:rsidRPr="00E30559" w:rsidRDefault="00EA1EFC" w:rsidP="0055131D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E30559">
              <w:rPr>
                <w:sz w:val="28"/>
                <w:szCs w:val="28"/>
                <w:lang w:val="uk-UA"/>
              </w:rPr>
              <w:t>2.</w:t>
            </w:r>
            <w:r w:rsidRPr="00E30559">
              <w:rPr>
                <w:bCs/>
                <w:sz w:val="28"/>
                <w:szCs w:val="28"/>
                <w:lang w:val="uk-UA" w:eastAsia="uk-UA"/>
              </w:rPr>
              <w:t xml:space="preserve">  МАТЕРІАЛИ  І</w:t>
            </w:r>
            <w:r w:rsidRPr="00E30559">
              <w:rPr>
                <w:bCs/>
                <w:spacing w:val="-14"/>
                <w:sz w:val="28"/>
                <w:szCs w:val="28"/>
                <w:lang w:val="uk-UA" w:eastAsia="uk-UA"/>
              </w:rPr>
              <w:t xml:space="preserve"> </w:t>
            </w:r>
            <w:r w:rsidRPr="00E30559">
              <w:rPr>
                <w:bCs/>
                <w:sz w:val="28"/>
                <w:szCs w:val="28"/>
                <w:lang w:val="uk-UA" w:eastAsia="uk-UA"/>
              </w:rPr>
              <w:t>МЕТОДИ ДОСЛІДЖЕНЬ…………………………</w:t>
            </w:r>
            <w:r>
              <w:rPr>
                <w:bCs/>
                <w:sz w:val="28"/>
                <w:szCs w:val="28"/>
                <w:lang w:val="uk-UA" w:eastAsia="uk-UA"/>
              </w:rPr>
              <w:t>…….</w:t>
            </w:r>
          </w:p>
        </w:tc>
        <w:tc>
          <w:tcPr>
            <w:tcW w:w="532" w:type="dxa"/>
          </w:tcPr>
          <w:p w:rsidR="00EA1EFC" w:rsidRPr="00E30559" w:rsidRDefault="00EA1EFC" w:rsidP="0055131D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21</w:t>
            </w:r>
          </w:p>
        </w:tc>
      </w:tr>
      <w:tr w:rsidR="00EA1EFC" w:rsidRPr="00E30559" w:rsidTr="0055131D">
        <w:tc>
          <w:tcPr>
            <w:tcW w:w="9052" w:type="dxa"/>
            <w:gridSpan w:val="3"/>
          </w:tcPr>
          <w:p w:rsidR="00EA1EFC" w:rsidRPr="00E30559" w:rsidRDefault="00EA1EFC" w:rsidP="0055131D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7A0BFC">
              <w:rPr>
                <w:sz w:val="28"/>
                <w:szCs w:val="28"/>
                <w:lang w:val="uk-UA"/>
              </w:rPr>
              <w:t>3.</w:t>
            </w:r>
            <w:r w:rsidRPr="00E30559">
              <w:rPr>
                <w:bCs/>
                <w:sz w:val="28"/>
                <w:szCs w:val="28"/>
                <w:lang w:val="uk-UA" w:eastAsia="uk-UA"/>
              </w:rPr>
              <w:t>РЕЗУЛЬТАТИ  ДОСЛІДЖЕНЬ ТА</w:t>
            </w:r>
            <w:r w:rsidRPr="00E30559">
              <w:rPr>
                <w:bCs/>
                <w:spacing w:val="-43"/>
                <w:sz w:val="28"/>
                <w:szCs w:val="28"/>
                <w:lang w:val="uk-UA" w:eastAsia="uk-UA"/>
              </w:rPr>
              <w:t xml:space="preserve"> </w:t>
            </w:r>
            <w:r w:rsidRPr="00E30559">
              <w:rPr>
                <w:bCs/>
                <w:sz w:val="28"/>
                <w:szCs w:val="28"/>
                <w:lang w:val="uk-UA" w:eastAsia="uk-UA"/>
              </w:rPr>
              <w:t>ЇХ</w:t>
            </w:r>
            <w:r w:rsidRPr="00E30559">
              <w:rPr>
                <w:bCs/>
                <w:spacing w:val="-8"/>
                <w:sz w:val="28"/>
                <w:szCs w:val="28"/>
                <w:lang w:val="uk-UA" w:eastAsia="uk-UA"/>
              </w:rPr>
              <w:t xml:space="preserve"> </w:t>
            </w:r>
            <w:r w:rsidRPr="00E30559">
              <w:rPr>
                <w:bCs/>
                <w:sz w:val="28"/>
                <w:szCs w:val="28"/>
                <w:lang w:val="uk-UA" w:eastAsia="uk-UA"/>
              </w:rPr>
              <w:t>ОБГОВОРЕННЯ………</w:t>
            </w:r>
            <w:r>
              <w:rPr>
                <w:bCs/>
                <w:sz w:val="28"/>
                <w:szCs w:val="28"/>
                <w:lang w:val="uk-UA" w:eastAsia="uk-UA"/>
              </w:rPr>
              <w:t>…………</w:t>
            </w:r>
          </w:p>
        </w:tc>
        <w:tc>
          <w:tcPr>
            <w:tcW w:w="532" w:type="dxa"/>
          </w:tcPr>
          <w:p w:rsidR="00EA1EFC" w:rsidRPr="00E30559" w:rsidRDefault="00EA1EFC" w:rsidP="0055131D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23</w:t>
            </w:r>
          </w:p>
        </w:tc>
      </w:tr>
      <w:tr w:rsidR="00EA1EFC" w:rsidRPr="007A0BFC" w:rsidTr="0055131D">
        <w:tc>
          <w:tcPr>
            <w:tcW w:w="9052" w:type="dxa"/>
            <w:gridSpan w:val="3"/>
          </w:tcPr>
          <w:p w:rsidR="00EA1EFC" w:rsidRPr="007A0BFC" w:rsidRDefault="00EA1EFC" w:rsidP="0055131D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7A0BFC">
              <w:rPr>
                <w:bCs/>
                <w:caps/>
                <w:sz w:val="28"/>
                <w:szCs w:val="28"/>
                <w:lang w:val="uk-UA" w:eastAsia="uk-UA"/>
              </w:rPr>
              <w:t>УЗАГАЛЬНЕННЯ………………………………………………………</w:t>
            </w:r>
            <w:r>
              <w:rPr>
                <w:bCs/>
                <w:caps/>
                <w:sz w:val="28"/>
                <w:szCs w:val="28"/>
                <w:lang w:val="uk-UA" w:eastAsia="uk-UA"/>
              </w:rPr>
              <w:t>…….</w:t>
            </w:r>
          </w:p>
        </w:tc>
        <w:tc>
          <w:tcPr>
            <w:tcW w:w="532" w:type="dxa"/>
          </w:tcPr>
          <w:p w:rsidR="00EA1EFC" w:rsidRPr="007A0BFC" w:rsidRDefault="00EA1EFC" w:rsidP="0055131D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29</w:t>
            </w:r>
          </w:p>
        </w:tc>
      </w:tr>
      <w:tr w:rsidR="00EA1EFC" w:rsidRPr="007A0BFC" w:rsidTr="0055131D">
        <w:tc>
          <w:tcPr>
            <w:tcW w:w="9052" w:type="dxa"/>
            <w:gridSpan w:val="3"/>
          </w:tcPr>
          <w:p w:rsidR="00EA1EFC" w:rsidRPr="007A0BFC" w:rsidRDefault="00EA1EFC" w:rsidP="0055131D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7A0BFC">
              <w:rPr>
                <w:bCs/>
                <w:caps/>
                <w:sz w:val="28"/>
                <w:szCs w:val="28"/>
                <w:lang w:val="uk-UA" w:eastAsia="uk-UA"/>
              </w:rPr>
              <w:t>ВИСНОВКИ………………………………………………………………</w:t>
            </w:r>
            <w:r>
              <w:rPr>
                <w:bCs/>
                <w:caps/>
                <w:sz w:val="28"/>
                <w:szCs w:val="28"/>
                <w:lang w:val="uk-UA" w:eastAsia="uk-UA"/>
              </w:rPr>
              <w:t>……</w:t>
            </w:r>
          </w:p>
        </w:tc>
        <w:tc>
          <w:tcPr>
            <w:tcW w:w="532" w:type="dxa"/>
          </w:tcPr>
          <w:p w:rsidR="00EA1EFC" w:rsidRPr="007A0BFC" w:rsidRDefault="00EA1EFC" w:rsidP="0055131D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31</w:t>
            </w:r>
          </w:p>
        </w:tc>
      </w:tr>
      <w:tr w:rsidR="00EA1EFC" w:rsidRPr="007A0BFC" w:rsidTr="0055131D">
        <w:tc>
          <w:tcPr>
            <w:tcW w:w="9052" w:type="dxa"/>
            <w:gridSpan w:val="3"/>
          </w:tcPr>
          <w:p w:rsidR="00EA1EFC" w:rsidRPr="007A0BFC" w:rsidRDefault="00EA1EFC" w:rsidP="0055131D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7A0BFC">
              <w:rPr>
                <w:bCs/>
                <w:caps/>
                <w:sz w:val="28"/>
                <w:szCs w:val="28"/>
                <w:lang w:val="uk-UA" w:eastAsia="uk-UA"/>
              </w:rPr>
              <w:t>СПИСОК ВИКОРИСТАНОЇ ЛІТЕРАТУРИ……………………………</w:t>
            </w:r>
            <w:r>
              <w:rPr>
                <w:bCs/>
                <w:caps/>
                <w:sz w:val="28"/>
                <w:szCs w:val="28"/>
                <w:lang w:val="uk-UA" w:eastAsia="uk-UA"/>
              </w:rPr>
              <w:t>…...</w:t>
            </w:r>
          </w:p>
        </w:tc>
        <w:tc>
          <w:tcPr>
            <w:tcW w:w="532" w:type="dxa"/>
          </w:tcPr>
          <w:p w:rsidR="00EA1EFC" w:rsidRPr="007A0BFC" w:rsidRDefault="00EA1EFC" w:rsidP="0055131D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32</w:t>
            </w:r>
          </w:p>
        </w:tc>
      </w:tr>
    </w:tbl>
    <w:p w:rsidR="00EA1EFC" w:rsidRDefault="00EA1EFC" w:rsidP="00EA1EFC">
      <w:pPr>
        <w:rPr>
          <w:lang w:val="uk-UA"/>
        </w:rPr>
      </w:pPr>
    </w:p>
    <w:p w:rsidR="00EA1EFC" w:rsidRPr="00D25ED9" w:rsidRDefault="00EA1EFC" w:rsidP="00EA1EFC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br w:type="page"/>
      </w:r>
    </w:p>
    <w:p w:rsidR="00EA1EFC" w:rsidRPr="003D1892" w:rsidRDefault="00EA1EFC" w:rsidP="00EA1EFC">
      <w:pPr>
        <w:pStyle w:val="8"/>
        <w:jc w:val="center"/>
        <w:rPr>
          <w:rFonts w:ascii="Times New Roman" w:hAnsi="Times New Roman"/>
          <w:b/>
          <w:bCs/>
          <w:i w:val="0"/>
          <w:sz w:val="28"/>
          <w:szCs w:val="28"/>
          <w:lang w:val="uk-UA"/>
        </w:rPr>
      </w:pPr>
      <w:r w:rsidRPr="003D1892">
        <w:rPr>
          <w:rFonts w:ascii="Times New Roman" w:hAnsi="Times New Roman"/>
          <w:b/>
          <w:bCs/>
          <w:i w:val="0"/>
          <w:sz w:val="28"/>
          <w:szCs w:val="28"/>
        </w:rPr>
        <w:lastRenderedPageBreak/>
        <w:t>ВСТУП</w:t>
      </w:r>
    </w:p>
    <w:p w:rsidR="00EA1EFC" w:rsidRPr="003D1892" w:rsidRDefault="00EA1EFC" w:rsidP="00EA1EFC">
      <w:pPr>
        <w:rPr>
          <w:lang w:val="uk-UA"/>
        </w:rPr>
      </w:pPr>
    </w:p>
    <w:p w:rsidR="00EA1EFC" w:rsidRPr="003D1892" w:rsidRDefault="00EA1EFC" w:rsidP="00EA1EFC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І. О. Родіонова та співавт.</w:t>
      </w:r>
      <w:r w:rsidRPr="003D1892">
        <w:rPr>
          <w:sz w:val="28"/>
          <w:szCs w:val="28"/>
          <w:lang w:val="uk-UA"/>
        </w:rPr>
        <w:t xml:space="preserve"> [2023]</w:t>
      </w:r>
      <w:r>
        <w:rPr>
          <w:sz w:val="28"/>
          <w:szCs w:val="28"/>
          <w:lang w:val="uk-UA"/>
        </w:rPr>
        <w:t xml:space="preserve"> у своєї сучасної роботі дають  визначення залізодефіцитної анемії: </w:t>
      </w:r>
      <w:r w:rsidRPr="003D1892">
        <w:rPr>
          <w:sz w:val="28"/>
          <w:szCs w:val="28"/>
          <w:lang w:val="uk-UA"/>
        </w:rPr>
        <w:t xml:space="preserve"> «Залізодефіцитна анемія (ЗДА) – це клініко-гематологічний синдром, що характеризується порушенням синтезу гемоглобіну в результаті дефіциту заліза, що розвивається на тлі різних патологічних (фізіологічних) процесів, і виявляється ознаками анемії та сидеропенії». Серед усіх анемій залізодефіцитн</w:t>
      </w:r>
      <w:r>
        <w:rPr>
          <w:sz w:val="28"/>
          <w:szCs w:val="28"/>
          <w:lang w:val="uk-UA"/>
        </w:rPr>
        <w:t>а (ЗДА) утримує сумне лідерство</w:t>
      </w:r>
      <w:r w:rsidRPr="00AA7DD9">
        <w:rPr>
          <w:sz w:val="28"/>
          <w:szCs w:val="28"/>
          <w:lang w:val="uk-UA"/>
        </w:rPr>
        <w:t xml:space="preserve"> </w:t>
      </w:r>
      <w:r w:rsidRPr="003D1892">
        <w:rPr>
          <w:sz w:val="28"/>
          <w:szCs w:val="28"/>
          <w:lang w:val="uk-UA"/>
        </w:rPr>
        <w:t>[</w:t>
      </w:r>
      <w:r>
        <w:rPr>
          <w:sz w:val="28"/>
          <w:szCs w:val="28"/>
          <w:lang w:val="uk-UA"/>
        </w:rPr>
        <w:t>Родіонова та ін.,</w:t>
      </w:r>
      <w:r w:rsidRPr="003D1892">
        <w:rPr>
          <w:sz w:val="28"/>
          <w:szCs w:val="28"/>
          <w:lang w:val="uk-UA"/>
        </w:rPr>
        <w:t xml:space="preserve"> 2023]</w:t>
      </w:r>
    </w:p>
    <w:p w:rsidR="00EA1EFC" w:rsidRPr="003D1892" w:rsidRDefault="00EA1EFC" w:rsidP="00EA1EFC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С. М.</w:t>
      </w:r>
      <w:r w:rsidRPr="00AA7DD9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Гайдуков та співавт</w:t>
      </w:r>
      <w:r w:rsidRPr="003D1892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  <w:r w:rsidRPr="003D1892">
        <w:rPr>
          <w:sz w:val="28"/>
          <w:szCs w:val="28"/>
          <w:lang w:val="uk-UA"/>
        </w:rPr>
        <w:t>[</w:t>
      </w:r>
      <w:r>
        <w:rPr>
          <w:sz w:val="28"/>
          <w:szCs w:val="28"/>
          <w:lang w:val="uk-UA"/>
        </w:rPr>
        <w:t xml:space="preserve">2001] вказують, що </w:t>
      </w:r>
      <w:r w:rsidRPr="003D1892">
        <w:rPr>
          <w:sz w:val="28"/>
          <w:szCs w:val="28"/>
          <w:lang w:val="uk-UA"/>
        </w:rPr>
        <w:t>ЗДА на даний час залишається серйозною проблемою екстрагенітальної патології в акушерстві, оскільки частота захворювання не знижується і є дуже високою [Гайдуков та ін., 2001].</w:t>
      </w:r>
    </w:p>
    <w:p w:rsidR="00EA1EFC" w:rsidRPr="003D1892" w:rsidRDefault="00EA1EFC" w:rsidP="00EA1EFC">
      <w:pPr>
        <w:spacing w:line="360" w:lineRule="auto"/>
        <w:jc w:val="both"/>
        <w:rPr>
          <w:sz w:val="28"/>
          <w:szCs w:val="28"/>
        </w:rPr>
      </w:pPr>
      <w:r w:rsidRPr="003D1892">
        <w:rPr>
          <w:sz w:val="28"/>
          <w:szCs w:val="28"/>
        </w:rPr>
        <w:t> </w:t>
      </w:r>
      <w:r w:rsidRPr="003D1892">
        <w:rPr>
          <w:sz w:val="28"/>
          <w:szCs w:val="28"/>
        </w:rPr>
        <w:tab/>
        <w:t>Незважаючи на значну кількість робіт, присвячених вивченню патогене</w:t>
      </w:r>
      <w:r>
        <w:rPr>
          <w:sz w:val="28"/>
          <w:szCs w:val="28"/>
        </w:rPr>
        <w:t xml:space="preserve">зу перинатальних ушкоджень при </w:t>
      </w:r>
      <w:r>
        <w:rPr>
          <w:sz w:val="28"/>
          <w:szCs w:val="28"/>
          <w:lang w:val="uk-UA"/>
        </w:rPr>
        <w:t>З</w:t>
      </w:r>
      <w:r w:rsidRPr="003D1892">
        <w:rPr>
          <w:sz w:val="28"/>
          <w:szCs w:val="28"/>
        </w:rPr>
        <w:t>ДА та впровадженню в практику нових анти</w:t>
      </w:r>
      <w:r>
        <w:rPr>
          <w:sz w:val="28"/>
          <w:szCs w:val="28"/>
        </w:rPr>
        <w:t xml:space="preserve">анемічних препаратів, </w:t>
      </w:r>
      <w:r>
        <w:rPr>
          <w:sz w:val="28"/>
          <w:szCs w:val="28"/>
          <w:lang w:val="uk-UA"/>
        </w:rPr>
        <w:t>З</w:t>
      </w:r>
      <w:r w:rsidRPr="003D1892">
        <w:rPr>
          <w:sz w:val="28"/>
          <w:szCs w:val="28"/>
        </w:rPr>
        <w:t>ДА продовжує залишатися одним з основних факторів, що викликають ускладнення в стані організму матері та дитини в перинатальний період [Медведь та ін.,2019]</w:t>
      </w:r>
    </w:p>
    <w:p w:rsidR="00EA1EFC" w:rsidRPr="003D1892" w:rsidRDefault="00EA1EFC" w:rsidP="00EA1EFC">
      <w:pPr>
        <w:spacing w:line="360" w:lineRule="auto"/>
        <w:ind w:firstLine="708"/>
        <w:jc w:val="both"/>
        <w:rPr>
          <w:sz w:val="28"/>
          <w:szCs w:val="28"/>
        </w:rPr>
      </w:pPr>
      <w:r w:rsidRPr="003D1892">
        <w:rPr>
          <w:sz w:val="28"/>
          <w:szCs w:val="28"/>
        </w:rPr>
        <w:t>Так, за даними ряду авторів, у 40% вагітних з анемією виявляють гестоз різного ступеня тяжкості. При цьому лікування анемії у таких вагітних часто є серйозною проблемою. Наслідком анемії будь-якого генезу, зокрема і анемії вагітних, є розвиток гіпоксії [</w:t>
      </w:r>
      <w:r w:rsidRPr="003D1892">
        <w:rPr>
          <w:sz w:val="28"/>
          <w:szCs w:val="28"/>
          <w:lang w:val="uk-UA"/>
        </w:rPr>
        <w:t xml:space="preserve">Горбачова, 2019; </w:t>
      </w:r>
      <w:r w:rsidRPr="003D1892">
        <w:rPr>
          <w:sz w:val="28"/>
          <w:szCs w:val="28"/>
        </w:rPr>
        <w:t>Іліка</w:t>
      </w:r>
      <w:r w:rsidRPr="003D1892">
        <w:rPr>
          <w:sz w:val="28"/>
          <w:szCs w:val="28"/>
          <w:lang w:val="uk-UA"/>
        </w:rPr>
        <w:t>, 2020</w:t>
      </w:r>
      <w:r w:rsidRPr="003D1892">
        <w:rPr>
          <w:sz w:val="28"/>
          <w:szCs w:val="28"/>
        </w:rPr>
        <w:t>]. Поєднання анемії з гестозом посилює гіпоксію, що значно ускладнює перебіг вагітності [Виговська, 2018].</w:t>
      </w:r>
    </w:p>
    <w:p w:rsidR="00EA1EFC" w:rsidRPr="003D1892" w:rsidRDefault="00EA1EFC" w:rsidP="00EA1EFC">
      <w:pPr>
        <w:spacing w:line="360" w:lineRule="auto"/>
        <w:ind w:firstLine="708"/>
        <w:jc w:val="both"/>
        <w:rPr>
          <w:sz w:val="28"/>
          <w:szCs w:val="22"/>
        </w:rPr>
      </w:pPr>
      <w:r w:rsidRPr="003D1892">
        <w:rPr>
          <w:sz w:val="28"/>
          <w:szCs w:val="28"/>
        </w:rPr>
        <w:t xml:space="preserve">Основним способом усунення явищ дефіциту заліза при ЗДА є застосування препаратів заліза. Однак залізо у великих дозах є токсичним. </w:t>
      </w:r>
      <w:r w:rsidRPr="003D1892">
        <w:rPr>
          <w:sz w:val="28"/>
          <w:szCs w:val="28"/>
          <w:lang w:val="uk-UA"/>
        </w:rPr>
        <w:t xml:space="preserve">Токсична дія заліза обумовлена тим, що залізо у відновленій формі може підвищити продукцію вільних радикалів, які пошкоджують біомолекули, включаючи протеази, ліпіди, ДНК [Нагорнюк, 2002;Медведь та ін., 2019; Зайченко та ін., 2022].     Тобто залізо є прооксидантом, «вільне» залізо </w:t>
      </w:r>
      <w:r w:rsidRPr="003D1892">
        <w:rPr>
          <w:sz w:val="28"/>
          <w:szCs w:val="28"/>
          <w:shd w:val="clear" w:color="auto" w:fill="FFFFFF"/>
          <w:lang w:val="uk-UA"/>
        </w:rPr>
        <w:t xml:space="preserve">надає  руйнівний вплив на клітини організму.  </w:t>
      </w:r>
      <w:r w:rsidRPr="003D1892">
        <w:rPr>
          <w:sz w:val="28"/>
          <w:szCs w:val="28"/>
          <w:lang w:val="uk-UA"/>
        </w:rPr>
        <w:t>[</w:t>
      </w:r>
      <w:r w:rsidRPr="003D1892">
        <w:rPr>
          <w:sz w:val="28"/>
          <w:szCs w:val="28"/>
          <w:shd w:val="clear" w:color="auto" w:fill="FFFFFF"/>
          <w:lang w:val="uk-UA"/>
        </w:rPr>
        <w:t>Шкромада, 2012</w:t>
      </w:r>
      <w:r w:rsidRPr="003D1892">
        <w:rPr>
          <w:sz w:val="28"/>
          <w:szCs w:val="28"/>
          <w:lang w:val="uk-UA"/>
        </w:rPr>
        <w:t>].</w:t>
      </w:r>
    </w:p>
    <w:p w:rsidR="00EA1EFC" w:rsidRPr="003D1892" w:rsidRDefault="00EA1EFC" w:rsidP="00EA1EFC">
      <w:pPr>
        <w:spacing w:line="360" w:lineRule="auto"/>
        <w:jc w:val="both"/>
        <w:rPr>
          <w:sz w:val="28"/>
        </w:rPr>
      </w:pPr>
      <w:r w:rsidRPr="003D1892">
        <w:rPr>
          <w:sz w:val="28"/>
        </w:rPr>
        <w:lastRenderedPageBreak/>
        <w:tab/>
        <w:t xml:space="preserve">Останнім часом позитивну оцінку, особливо під час лікування отруєння важкими металами, отримав метод ентеросорбції </w:t>
      </w:r>
      <w:r w:rsidRPr="003D1892">
        <w:rPr>
          <w:sz w:val="28"/>
          <w:szCs w:val="28"/>
          <w:lang w:val="uk-UA"/>
        </w:rPr>
        <w:t>[</w:t>
      </w:r>
      <w:r w:rsidRPr="003D1892">
        <w:rPr>
          <w:bCs/>
          <w:sz w:val="28"/>
          <w:szCs w:val="28"/>
        </w:rPr>
        <w:t>Тарасенко та ін., 2014</w:t>
      </w:r>
      <w:r w:rsidRPr="003D1892">
        <w:rPr>
          <w:sz w:val="28"/>
          <w:szCs w:val="28"/>
          <w:lang w:val="uk-UA"/>
        </w:rPr>
        <w:t>].</w:t>
      </w:r>
    </w:p>
    <w:p w:rsidR="00EA1EFC" w:rsidRDefault="00EA1EFC" w:rsidP="00EA1EFC">
      <w:pPr>
        <w:spacing w:line="360" w:lineRule="auto"/>
        <w:jc w:val="both"/>
        <w:rPr>
          <w:sz w:val="28"/>
          <w:lang w:val="uk-UA"/>
        </w:rPr>
      </w:pPr>
      <w:r w:rsidRPr="003D1892">
        <w:rPr>
          <w:sz w:val="28"/>
        </w:rPr>
        <w:t>Тому експериментальне вивчення ефективності використання методу ентеросорбції при лікуванні ЗДА залізо</w:t>
      </w:r>
      <w:r>
        <w:rPr>
          <w:sz w:val="28"/>
          <w:lang w:val="uk-UA"/>
        </w:rPr>
        <w:t>у</w:t>
      </w:r>
      <w:r>
        <w:rPr>
          <w:sz w:val="28"/>
        </w:rPr>
        <w:t>трима</w:t>
      </w:r>
      <w:r>
        <w:rPr>
          <w:sz w:val="28"/>
          <w:lang w:val="uk-UA"/>
        </w:rPr>
        <w:t>юч</w:t>
      </w:r>
      <w:r w:rsidRPr="003D1892">
        <w:rPr>
          <w:sz w:val="28"/>
        </w:rPr>
        <w:t>ими препаратами у тварин можна вважати за доцільне.</w:t>
      </w:r>
    </w:p>
    <w:p w:rsidR="00EA1EFC" w:rsidRPr="008647EC" w:rsidRDefault="00EA1EFC" w:rsidP="00EA1EFC">
      <w:pPr>
        <w:spacing w:line="360" w:lineRule="auto"/>
        <w:ind w:firstLine="720"/>
        <w:jc w:val="both"/>
        <w:rPr>
          <w:sz w:val="28"/>
          <w:lang w:val="uk-UA"/>
        </w:rPr>
      </w:pPr>
      <w:r>
        <w:rPr>
          <w:sz w:val="28"/>
          <w:lang w:val="uk-UA"/>
        </w:rPr>
        <w:t>У</w:t>
      </w:r>
      <w:r w:rsidRPr="003D1892">
        <w:rPr>
          <w:sz w:val="28"/>
        </w:rPr>
        <w:t xml:space="preserve"> Київському національному університеті ім. Тараса Шевченка спільно зі спеціалістами Інституту медицини праці НАМН України </w:t>
      </w:r>
      <w:r>
        <w:rPr>
          <w:sz w:val="28"/>
          <w:lang w:val="uk-UA"/>
        </w:rPr>
        <w:t xml:space="preserve">було розроблено </w:t>
      </w:r>
      <w:r>
        <w:rPr>
          <w:sz w:val="28"/>
        </w:rPr>
        <w:t>ентеросорбент</w:t>
      </w:r>
      <w:r w:rsidRPr="003D1892">
        <w:rPr>
          <w:sz w:val="28"/>
        </w:rPr>
        <w:t xml:space="preserve"> EASYsorb на основі фруктового та бурякового пектинів</w:t>
      </w:r>
      <w:r w:rsidRPr="003D1892">
        <w:rPr>
          <w:sz w:val="28"/>
          <w:lang w:val="uk-UA"/>
        </w:rPr>
        <w:t xml:space="preserve"> [К</w:t>
      </w:r>
      <w:r>
        <w:rPr>
          <w:sz w:val="28"/>
          <w:lang w:val="uk-UA"/>
        </w:rPr>
        <w:t xml:space="preserve">ороленко, 2009; Демченко, 2009].  </w:t>
      </w:r>
    </w:p>
    <w:p w:rsidR="00EA1EFC" w:rsidRPr="008647EC" w:rsidRDefault="00EA1EFC" w:rsidP="00EA1EFC">
      <w:pPr>
        <w:spacing w:line="360" w:lineRule="auto"/>
        <w:ind w:firstLine="720"/>
        <w:jc w:val="both"/>
        <w:rPr>
          <w:sz w:val="28"/>
          <w:lang w:val="uk-UA"/>
        </w:rPr>
      </w:pPr>
      <w:r>
        <w:rPr>
          <w:sz w:val="28"/>
          <w:lang w:val="uk-UA"/>
        </w:rPr>
        <w:t>Тому м</w:t>
      </w:r>
      <w:r w:rsidRPr="008647EC">
        <w:rPr>
          <w:sz w:val="28"/>
          <w:lang w:val="uk-UA"/>
        </w:rPr>
        <w:t xml:space="preserve">етою нашого дослідження було вивчення на моделі </w:t>
      </w:r>
      <w:r>
        <w:rPr>
          <w:sz w:val="28"/>
          <w:lang w:val="uk-UA"/>
        </w:rPr>
        <w:t xml:space="preserve">залізодефіцитної анемії </w:t>
      </w:r>
      <w:r w:rsidRPr="008647EC">
        <w:rPr>
          <w:sz w:val="28"/>
          <w:lang w:val="uk-UA"/>
        </w:rPr>
        <w:t xml:space="preserve"> у вагітних щурів ефективн</w:t>
      </w:r>
      <w:r>
        <w:rPr>
          <w:sz w:val="28"/>
          <w:lang w:val="uk-UA"/>
        </w:rPr>
        <w:t>ості застосування препарату Фер</w:t>
      </w:r>
      <w:r w:rsidRPr="008647EC">
        <w:rPr>
          <w:sz w:val="28"/>
          <w:lang w:val="uk-UA"/>
        </w:rPr>
        <w:t xml:space="preserve">ум лек у поєднанні з ентеросорбентом </w:t>
      </w:r>
      <w:r>
        <w:rPr>
          <w:sz w:val="28"/>
        </w:rPr>
        <w:t>EASYsorb</w:t>
      </w:r>
      <w:r>
        <w:rPr>
          <w:sz w:val="28"/>
          <w:lang w:val="uk-UA"/>
        </w:rPr>
        <w:t>.</w:t>
      </w:r>
    </w:p>
    <w:p w:rsidR="00EA1EFC" w:rsidRPr="003D1892" w:rsidRDefault="00EA1EFC" w:rsidP="00EA1EFC">
      <w:pPr>
        <w:spacing w:line="360" w:lineRule="auto"/>
        <w:ind w:firstLine="720"/>
        <w:jc w:val="both"/>
        <w:rPr>
          <w:sz w:val="28"/>
        </w:rPr>
      </w:pPr>
      <w:r w:rsidRPr="003D1892">
        <w:rPr>
          <w:sz w:val="28"/>
        </w:rPr>
        <w:t>Для досягнення зазначеної мети ми поставили перед собою такі завдання:</w:t>
      </w:r>
    </w:p>
    <w:p w:rsidR="00EA1EFC" w:rsidRPr="003D1892" w:rsidRDefault="00EA1EFC" w:rsidP="00EA1EFC">
      <w:pPr>
        <w:spacing w:line="360" w:lineRule="auto"/>
        <w:ind w:firstLine="720"/>
        <w:jc w:val="both"/>
        <w:rPr>
          <w:sz w:val="28"/>
        </w:rPr>
      </w:pPr>
      <w:r w:rsidRPr="003D1892">
        <w:rPr>
          <w:sz w:val="28"/>
        </w:rPr>
        <w:t xml:space="preserve">- з'ясувати вплив повторних кровопускань з метою створення моделі </w:t>
      </w:r>
      <w:r>
        <w:rPr>
          <w:sz w:val="28"/>
          <w:lang w:val="uk-UA"/>
        </w:rPr>
        <w:t xml:space="preserve">залізодефіцитної анемії </w:t>
      </w:r>
      <w:r w:rsidRPr="003D1892">
        <w:rPr>
          <w:sz w:val="28"/>
        </w:rPr>
        <w:t xml:space="preserve"> на показники периферичної крові щурів;</w:t>
      </w:r>
    </w:p>
    <w:p w:rsidR="00EA1EFC" w:rsidRPr="003D1892" w:rsidRDefault="00EA1EFC" w:rsidP="00EA1EFC">
      <w:pPr>
        <w:spacing w:line="360" w:lineRule="auto"/>
        <w:ind w:firstLine="720"/>
        <w:jc w:val="both"/>
        <w:rPr>
          <w:sz w:val="28"/>
        </w:rPr>
      </w:pPr>
      <w:r w:rsidRPr="003D1892">
        <w:rPr>
          <w:sz w:val="28"/>
        </w:rPr>
        <w:t>- визначити ефективність застосуван</w:t>
      </w:r>
      <w:r>
        <w:rPr>
          <w:sz w:val="28"/>
        </w:rPr>
        <w:t>ня антианемічного препарату Фер</w:t>
      </w:r>
      <w:r w:rsidRPr="003D1892">
        <w:rPr>
          <w:sz w:val="28"/>
        </w:rPr>
        <w:t xml:space="preserve">ум Лек при його ізольованому введенні вагітним щурам з моделлю </w:t>
      </w:r>
      <w:r>
        <w:rPr>
          <w:sz w:val="28"/>
          <w:lang w:val="uk-UA"/>
        </w:rPr>
        <w:t xml:space="preserve">залізодефіцитної анемії </w:t>
      </w:r>
      <w:r w:rsidRPr="003D1892">
        <w:rPr>
          <w:sz w:val="28"/>
        </w:rPr>
        <w:t xml:space="preserve"> ;</w:t>
      </w:r>
    </w:p>
    <w:p w:rsidR="00EA1EFC" w:rsidRPr="003D1892" w:rsidRDefault="00EA1EFC" w:rsidP="00EA1EFC">
      <w:pPr>
        <w:spacing w:line="360" w:lineRule="auto"/>
        <w:ind w:firstLine="720"/>
        <w:jc w:val="both"/>
        <w:rPr>
          <w:sz w:val="28"/>
        </w:rPr>
      </w:pPr>
      <w:r w:rsidRPr="003D1892">
        <w:rPr>
          <w:sz w:val="28"/>
        </w:rPr>
        <w:t>- з'ясувати доцільність включен</w:t>
      </w:r>
      <w:r>
        <w:rPr>
          <w:sz w:val="28"/>
        </w:rPr>
        <w:t xml:space="preserve">ня до схеми лікування щурів із </w:t>
      </w:r>
      <w:r>
        <w:rPr>
          <w:sz w:val="28"/>
          <w:lang w:val="uk-UA"/>
        </w:rPr>
        <w:t xml:space="preserve">залізодефіцитною анемією </w:t>
      </w:r>
      <w:r w:rsidRPr="003D1892">
        <w:rPr>
          <w:sz w:val="28"/>
        </w:rPr>
        <w:t xml:space="preserve"> ентеросорбенту на основі фруктового та бурякового пектинів.</w:t>
      </w:r>
    </w:p>
    <w:p w:rsidR="00EA1EFC" w:rsidRPr="003D1892" w:rsidRDefault="00EA1EFC" w:rsidP="00EA1EFC">
      <w:pPr>
        <w:spacing w:line="360" w:lineRule="auto"/>
        <w:ind w:firstLine="720"/>
        <w:jc w:val="both"/>
        <w:rPr>
          <w:sz w:val="28"/>
        </w:rPr>
      </w:pPr>
      <w:r w:rsidRPr="003D1892">
        <w:rPr>
          <w:sz w:val="28"/>
        </w:rPr>
        <w:t>Об'єкт дослідження – залізодефіцитна анемія</w:t>
      </w:r>
    </w:p>
    <w:p w:rsidR="00EA1EFC" w:rsidRDefault="00EA1EFC" w:rsidP="00EA1EFC">
      <w:pPr>
        <w:spacing w:line="360" w:lineRule="auto"/>
        <w:ind w:firstLine="720"/>
        <w:jc w:val="both"/>
        <w:rPr>
          <w:sz w:val="28"/>
        </w:rPr>
      </w:pPr>
      <w:r w:rsidRPr="003D1892">
        <w:rPr>
          <w:sz w:val="28"/>
        </w:rPr>
        <w:t>Предмет досліджен</w:t>
      </w:r>
      <w:r>
        <w:rPr>
          <w:sz w:val="28"/>
        </w:rPr>
        <w:t>ня – антианемічний препарат Фер</w:t>
      </w:r>
      <w:r w:rsidRPr="003D1892">
        <w:rPr>
          <w:sz w:val="28"/>
        </w:rPr>
        <w:t>ум Лек у поєднанні з ентеросорбентом на основі фруктового та бурякового пектину.</w:t>
      </w:r>
    </w:p>
    <w:p w:rsidR="0080024C" w:rsidRDefault="0080024C" w:rsidP="00EA1EFC">
      <w:pPr>
        <w:spacing w:line="360" w:lineRule="auto"/>
        <w:ind w:firstLine="720"/>
        <w:jc w:val="both"/>
        <w:rPr>
          <w:sz w:val="28"/>
        </w:rPr>
      </w:pPr>
    </w:p>
    <w:p w:rsidR="0080024C" w:rsidRDefault="0080024C" w:rsidP="00EA1EFC">
      <w:pPr>
        <w:spacing w:line="360" w:lineRule="auto"/>
        <w:ind w:firstLine="720"/>
        <w:jc w:val="both"/>
        <w:rPr>
          <w:sz w:val="28"/>
        </w:rPr>
      </w:pPr>
    </w:p>
    <w:p w:rsidR="0080024C" w:rsidRDefault="0080024C" w:rsidP="00EA1EFC">
      <w:pPr>
        <w:spacing w:line="360" w:lineRule="auto"/>
        <w:ind w:firstLine="720"/>
        <w:jc w:val="both"/>
        <w:rPr>
          <w:sz w:val="28"/>
        </w:rPr>
      </w:pPr>
    </w:p>
    <w:p w:rsidR="0080024C" w:rsidRDefault="0080024C" w:rsidP="00EA1EFC">
      <w:pPr>
        <w:spacing w:line="360" w:lineRule="auto"/>
        <w:ind w:firstLine="720"/>
        <w:jc w:val="both"/>
        <w:rPr>
          <w:sz w:val="28"/>
        </w:rPr>
      </w:pPr>
    </w:p>
    <w:p w:rsidR="0080024C" w:rsidRDefault="0080024C" w:rsidP="00EA1EFC">
      <w:pPr>
        <w:spacing w:line="360" w:lineRule="auto"/>
        <w:ind w:firstLine="720"/>
        <w:jc w:val="both"/>
        <w:rPr>
          <w:sz w:val="28"/>
        </w:rPr>
      </w:pPr>
    </w:p>
    <w:p w:rsidR="0080024C" w:rsidRPr="003D1892" w:rsidRDefault="0080024C" w:rsidP="0080024C">
      <w:pPr>
        <w:jc w:val="center"/>
        <w:rPr>
          <w:b/>
          <w:sz w:val="28"/>
          <w:szCs w:val="28"/>
          <w:lang w:val="uk-UA"/>
        </w:rPr>
      </w:pPr>
      <w:r w:rsidRPr="003D1892">
        <w:rPr>
          <w:b/>
          <w:sz w:val="28"/>
          <w:szCs w:val="28"/>
          <w:lang w:val="uk-UA"/>
        </w:rPr>
        <w:lastRenderedPageBreak/>
        <w:t>ВИСНОВКИ</w:t>
      </w:r>
    </w:p>
    <w:p w:rsidR="0080024C" w:rsidRPr="003D1892" w:rsidRDefault="0080024C" w:rsidP="0080024C">
      <w:pPr>
        <w:jc w:val="center"/>
        <w:rPr>
          <w:b/>
          <w:sz w:val="28"/>
          <w:szCs w:val="28"/>
          <w:lang w:val="uk-UA"/>
        </w:rPr>
      </w:pPr>
    </w:p>
    <w:p w:rsidR="0080024C" w:rsidRPr="003D1892" w:rsidRDefault="0080024C" w:rsidP="0080024C">
      <w:pPr>
        <w:jc w:val="center"/>
        <w:rPr>
          <w:b/>
          <w:sz w:val="28"/>
          <w:szCs w:val="28"/>
          <w:lang w:val="uk-UA"/>
        </w:rPr>
      </w:pPr>
    </w:p>
    <w:p w:rsidR="0080024C" w:rsidRPr="003D1892" w:rsidRDefault="0080024C" w:rsidP="0080024C">
      <w:pPr>
        <w:pStyle w:val="a6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3D1892">
        <w:rPr>
          <w:rFonts w:ascii="Times New Roman" w:hAnsi="Times New Roman"/>
          <w:sz w:val="28"/>
          <w:szCs w:val="28"/>
          <w:lang w:val="uk-UA"/>
        </w:rPr>
        <w:t>Потягом вагітності у здорових щурів відбуваються незначні коливання вмісту еритроцитів та кількості гемоглобіну у крові: на 14-у добу незначне зменшення (на 6%), наприкінці вагітності показники повертаються до вихідних значень.</w:t>
      </w:r>
    </w:p>
    <w:p w:rsidR="0080024C" w:rsidRPr="003D1892" w:rsidRDefault="0080024C" w:rsidP="0080024C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rPr>
          <w:color w:val="000000"/>
          <w:sz w:val="28"/>
          <w:lang w:val="uk-UA"/>
        </w:rPr>
      </w:pPr>
      <w:r w:rsidRPr="003D1892">
        <w:rPr>
          <w:color w:val="000000"/>
          <w:sz w:val="28"/>
          <w:lang w:val="uk-UA"/>
        </w:rPr>
        <w:t xml:space="preserve">Моделювання залізодефіцитної анемії шляхом триразового кровопускання призвело до достовірного зменшення кількості еритроцитів (на 20%) та вмісту гемоглобіну (на 30%) у периферичній крові вагітних щурів на 4-й день вагітності. </w:t>
      </w:r>
      <w:r w:rsidRPr="003D1892">
        <w:rPr>
          <w:sz w:val="28"/>
          <w:lang w:val="uk-UA"/>
        </w:rPr>
        <w:t>До двадцятої доби вагітності відзначено відносне відновлення показників. Вміст еритроцитів досяг 90,4% порівняно з вихідними значеннями, а вміст гемоглобіну – 89,8%</w:t>
      </w:r>
    </w:p>
    <w:p w:rsidR="0080024C" w:rsidRPr="003D1892" w:rsidRDefault="0080024C" w:rsidP="0080024C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rPr>
          <w:color w:val="000000"/>
          <w:sz w:val="28"/>
          <w:lang w:val="uk-UA"/>
        </w:rPr>
      </w:pPr>
      <w:r w:rsidRPr="003D1892">
        <w:rPr>
          <w:color w:val="000000"/>
          <w:sz w:val="28"/>
          <w:lang w:val="uk-UA"/>
        </w:rPr>
        <w:t>Використання залізовмісного препарату Ферум Лек з четвертого по десятий дні вагітності з метою усунення дефіциту заліза при анемії у щурів, сприяло підвищенню вмісту еритроцитів до кінця вагітності, проте вміст гемоглобіну залишився достовірно нижчим за вихідні значення.</w:t>
      </w:r>
    </w:p>
    <w:p w:rsidR="0080024C" w:rsidRPr="003D1892" w:rsidRDefault="0080024C" w:rsidP="0080024C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rPr>
          <w:color w:val="000000"/>
          <w:sz w:val="28"/>
          <w:lang w:val="uk-UA"/>
        </w:rPr>
      </w:pPr>
      <w:r w:rsidRPr="003D1892">
        <w:rPr>
          <w:color w:val="000000"/>
          <w:sz w:val="28"/>
          <w:lang w:val="uk-UA"/>
        </w:rPr>
        <w:t>При комбінованому лікуванні тварин з анемією препаратами Ферум Лек та ентеросорбентом на основі яблучного і бурякового пектину  до кінця вагітності (двадцятий день) було досягнуто нормалізації показників периферичної крові.</w:t>
      </w:r>
    </w:p>
    <w:p w:rsidR="0080024C" w:rsidRPr="003D1892" w:rsidRDefault="0080024C" w:rsidP="0080024C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80024C" w:rsidRPr="003D1892" w:rsidRDefault="0080024C" w:rsidP="0080024C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80024C" w:rsidRPr="003D1892" w:rsidRDefault="0080024C" w:rsidP="0080024C">
      <w:pPr>
        <w:spacing w:line="360" w:lineRule="auto"/>
        <w:ind w:left="284"/>
        <w:jc w:val="center"/>
        <w:rPr>
          <w:b/>
          <w:sz w:val="28"/>
          <w:szCs w:val="28"/>
          <w:lang w:val="uk-UA"/>
        </w:rPr>
      </w:pPr>
      <w:r w:rsidRPr="003D1892">
        <w:rPr>
          <w:sz w:val="28"/>
          <w:szCs w:val="28"/>
          <w:lang w:val="uk-UA"/>
        </w:rPr>
        <w:br w:type="page"/>
      </w:r>
      <w:r w:rsidRPr="003D1892">
        <w:rPr>
          <w:b/>
          <w:sz w:val="28"/>
          <w:szCs w:val="28"/>
          <w:lang w:val="uk-UA"/>
        </w:rPr>
        <w:lastRenderedPageBreak/>
        <w:t>СПИСОК ЛІТЕРАТУРИ</w:t>
      </w:r>
    </w:p>
    <w:p w:rsidR="0080024C" w:rsidRPr="003D1892" w:rsidRDefault="0080024C" w:rsidP="0080024C">
      <w:pPr>
        <w:pStyle w:val="a6"/>
        <w:numPr>
          <w:ilvl w:val="0"/>
          <w:numId w:val="2"/>
        </w:numPr>
        <w:spacing w:after="0" w:line="360" w:lineRule="auto"/>
        <w:ind w:left="284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3D1892">
        <w:rPr>
          <w:rFonts w:ascii="Times New Roman" w:hAnsi="Times New Roman"/>
          <w:sz w:val="28"/>
          <w:szCs w:val="28"/>
          <w:lang w:val="uk-UA"/>
        </w:rPr>
        <w:t>Албок Є. Й.  Залізодефіцитна анемія: глобальність проблеми, сучасні можливості її корекції в клінічній практиці / Є. Й. Албок // Науковий вісник Ужгородського університету, Серія «Медицина». – 2011. – Вип. 40. –С.20-26</w:t>
      </w:r>
    </w:p>
    <w:p w:rsidR="0080024C" w:rsidRPr="003D1892" w:rsidRDefault="0080024C" w:rsidP="0080024C">
      <w:pPr>
        <w:numPr>
          <w:ilvl w:val="0"/>
          <w:numId w:val="2"/>
        </w:numPr>
        <w:shd w:val="clear" w:color="auto" w:fill="FFFFFF"/>
        <w:spacing w:line="360" w:lineRule="auto"/>
        <w:ind w:left="284" w:firstLine="0"/>
        <w:jc w:val="both"/>
        <w:rPr>
          <w:sz w:val="28"/>
          <w:szCs w:val="28"/>
          <w:lang w:val="uk-UA"/>
        </w:rPr>
      </w:pPr>
      <w:r w:rsidRPr="003D1892">
        <w:rPr>
          <w:sz w:val="28"/>
          <w:szCs w:val="28"/>
          <w:lang w:val="uk-UA"/>
        </w:rPr>
        <w:t>Андрейчин М. А. Лікувальна фективність ентеросгелю при гострих респіраторних вірусних інфекціях  / М. А. Андрейчин,  В. Г. Ніколаєв,  Я. І. Йосик // Інфекційні хвороби. – 2011. – № 1. – С. 25-28.</w:t>
      </w:r>
    </w:p>
    <w:p w:rsidR="0080024C" w:rsidRPr="003D1892" w:rsidRDefault="0080024C" w:rsidP="0080024C">
      <w:pPr>
        <w:pStyle w:val="a6"/>
        <w:numPr>
          <w:ilvl w:val="0"/>
          <w:numId w:val="2"/>
        </w:numPr>
        <w:spacing w:after="0" w:line="360" w:lineRule="auto"/>
        <w:ind w:left="284" w:firstLine="0"/>
        <w:jc w:val="both"/>
        <w:rPr>
          <w:rFonts w:ascii="Times New Roman" w:hAnsi="Times New Roman"/>
          <w:sz w:val="28"/>
          <w:szCs w:val="28"/>
          <w:lang w:val="ru-RU"/>
        </w:rPr>
      </w:pPr>
      <w:r w:rsidRPr="003D1892">
        <w:rPr>
          <w:rFonts w:ascii="Times New Roman" w:hAnsi="Times New Roman"/>
          <w:sz w:val="28"/>
          <w:szCs w:val="28"/>
          <w:lang w:val="ru-RU"/>
        </w:rPr>
        <w:t>Антоняк Г. Л. Особливості гемопоезу у тварин на ранніх стадіях постнатального розвитку / Г. Л. Антоняк: автореф. дис. ... д-ра біол. наук : 03.00.04 «Біохімія». – Львів, 2002. – 29 с.</w:t>
      </w:r>
    </w:p>
    <w:p w:rsidR="0080024C" w:rsidRPr="003D1892" w:rsidRDefault="0080024C" w:rsidP="0080024C">
      <w:pPr>
        <w:numPr>
          <w:ilvl w:val="0"/>
          <w:numId w:val="2"/>
        </w:numPr>
        <w:shd w:val="clear" w:color="auto" w:fill="FFFFFF"/>
        <w:spacing w:line="360" w:lineRule="auto"/>
        <w:ind w:left="284" w:firstLine="0"/>
        <w:jc w:val="both"/>
        <w:rPr>
          <w:sz w:val="28"/>
          <w:szCs w:val="28"/>
          <w:lang w:val="uk-UA"/>
        </w:rPr>
      </w:pPr>
      <w:r w:rsidRPr="003D1892">
        <w:rPr>
          <w:sz w:val="28"/>
          <w:szCs w:val="28"/>
          <w:lang w:val="uk-UA"/>
        </w:rPr>
        <w:t>Бардахівська К. І.  Поглинальна активність засобів детоксикації відносно деяких основних протитуберкульозних препаратів / К. І. Бардахівська, Н. М. Гуріна,  А. С. Шаламай, В. Г. Ніколаєв // Український пульмонологічний журнал. – 2009. – № 2. – С.70-73.</w:t>
      </w:r>
    </w:p>
    <w:p w:rsidR="0080024C" w:rsidRPr="003D1892" w:rsidRDefault="0080024C" w:rsidP="0080024C">
      <w:pPr>
        <w:pStyle w:val="a6"/>
        <w:numPr>
          <w:ilvl w:val="0"/>
          <w:numId w:val="2"/>
        </w:numPr>
        <w:spacing w:after="0" w:line="360" w:lineRule="auto"/>
        <w:ind w:left="284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3D1892">
        <w:rPr>
          <w:rFonts w:ascii="Times New Roman" w:hAnsi="Times New Roman"/>
          <w:sz w:val="28"/>
          <w:szCs w:val="28"/>
          <w:lang w:val="uk-UA"/>
        </w:rPr>
        <w:t>Безрук В. В. Вплив залізодефіцитної анемії вагітних  на деякі аспекти фізичного та психомоторного розвитку дітей раннього віку / В. В. Безрук // Вісник Вінницького державного медичного університету. – 2002. –Т.6, №1. – С.131-132.</w:t>
      </w:r>
    </w:p>
    <w:p w:rsidR="0080024C" w:rsidRPr="003D1892" w:rsidRDefault="0080024C" w:rsidP="0080024C">
      <w:pPr>
        <w:pStyle w:val="a6"/>
        <w:numPr>
          <w:ilvl w:val="0"/>
          <w:numId w:val="2"/>
        </w:numPr>
        <w:spacing w:after="0" w:line="360" w:lineRule="auto"/>
        <w:ind w:left="284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3D1892">
        <w:rPr>
          <w:rFonts w:ascii="Times New Roman" w:hAnsi="Times New Roman"/>
          <w:sz w:val="28"/>
          <w:szCs w:val="28"/>
          <w:lang w:val="uk-UA"/>
        </w:rPr>
        <w:t xml:space="preserve">Безрук В. В. Розвиток дітей раннього віку, народжених матерями із залізодефіцитною анемією під час вагітності, та корекція залізодефіцитних станів цих дітей : автореф. </w:t>
      </w:r>
      <w:r>
        <w:rPr>
          <w:rFonts w:ascii="Times New Roman" w:hAnsi="Times New Roman"/>
          <w:sz w:val="28"/>
          <w:szCs w:val="28"/>
          <w:lang w:val="uk-UA"/>
        </w:rPr>
        <w:t xml:space="preserve">дис. </w:t>
      </w:r>
      <w:r w:rsidRPr="003D1892">
        <w:rPr>
          <w:rFonts w:ascii="Times New Roman" w:hAnsi="Times New Roman"/>
          <w:sz w:val="28"/>
          <w:szCs w:val="28"/>
          <w:lang w:val="uk-UA"/>
        </w:rPr>
        <w:t>….  канд.мед.н. : 14.01.10 «Педіатрія»/ В. В. Безрук. – Тернопіль, 2005. – 23 с.</w:t>
      </w:r>
    </w:p>
    <w:p w:rsidR="0080024C" w:rsidRPr="00255336" w:rsidRDefault="0080024C" w:rsidP="0080024C">
      <w:pPr>
        <w:pStyle w:val="a6"/>
        <w:numPr>
          <w:ilvl w:val="0"/>
          <w:numId w:val="2"/>
        </w:numPr>
        <w:spacing w:after="0" w:line="360" w:lineRule="auto"/>
        <w:ind w:left="284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3D1892">
        <w:rPr>
          <w:rFonts w:ascii="Times New Roman" w:hAnsi="Times New Roman"/>
          <w:sz w:val="28"/>
          <w:szCs w:val="28"/>
          <w:lang w:val="uk-UA"/>
        </w:rPr>
        <w:t xml:space="preserve">Березовський Р. З. Метаболічні процеси та функціональна активність еритроцитів за профілактики анемії поросят ферум цитратом : автореф. дис. ... </w:t>
      </w:r>
      <w:r w:rsidRPr="00255336">
        <w:rPr>
          <w:rFonts w:ascii="Times New Roman" w:hAnsi="Times New Roman"/>
          <w:sz w:val="28"/>
          <w:szCs w:val="28"/>
          <w:lang w:val="uk-UA"/>
        </w:rPr>
        <w:t xml:space="preserve">канд. вет. наук : 03.00.04 «Біохімія»/ Р. З. Березовський – Львів, 2015. – 18 </w:t>
      </w:r>
      <w:r w:rsidRPr="00255336">
        <w:rPr>
          <w:rFonts w:ascii="Times New Roman" w:hAnsi="Times New Roman"/>
          <w:sz w:val="28"/>
          <w:szCs w:val="28"/>
        </w:rPr>
        <w:t>c</w:t>
      </w:r>
      <w:r w:rsidRPr="00255336">
        <w:rPr>
          <w:rFonts w:ascii="Times New Roman" w:hAnsi="Times New Roman"/>
          <w:sz w:val="28"/>
          <w:szCs w:val="28"/>
          <w:lang w:val="uk-UA"/>
        </w:rPr>
        <w:t>.</w:t>
      </w:r>
    </w:p>
    <w:p w:rsidR="0080024C" w:rsidRPr="00D65B3A" w:rsidRDefault="0080024C" w:rsidP="0080024C">
      <w:pPr>
        <w:pStyle w:val="a6"/>
        <w:numPr>
          <w:ilvl w:val="0"/>
          <w:numId w:val="2"/>
        </w:numPr>
        <w:spacing w:after="0" w:line="360" w:lineRule="auto"/>
        <w:ind w:left="284" w:firstLine="0"/>
        <w:jc w:val="both"/>
        <w:rPr>
          <w:rFonts w:ascii="Times New Roman" w:hAnsi="Times New Roman"/>
          <w:sz w:val="28"/>
          <w:szCs w:val="28"/>
          <w:shd w:val="clear" w:color="auto" w:fill="F9F9F9"/>
          <w:lang w:val="uk-UA"/>
        </w:rPr>
      </w:pPr>
      <w:r w:rsidRPr="00255336">
        <w:rPr>
          <w:rFonts w:ascii="Times New Roman" w:hAnsi="Times New Roman"/>
          <w:sz w:val="28"/>
          <w:szCs w:val="28"/>
          <w:shd w:val="clear" w:color="auto" w:fill="F9F9F9"/>
          <w:lang w:val="uk-UA"/>
        </w:rPr>
        <w:t>Бєлоус О. Б.</w:t>
      </w:r>
      <w:r w:rsidRPr="00255336">
        <w:rPr>
          <w:rFonts w:ascii="Times New Roman" w:hAnsi="Times New Roman"/>
          <w:sz w:val="28"/>
          <w:szCs w:val="28"/>
          <w:shd w:val="clear" w:color="auto" w:fill="F9F9F9"/>
        </w:rPr>
        <w:t> </w:t>
      </w:r>
      <w:hyperlink r:id="rId5" w:history="1">
        <w:r w:rsidRPr="00255336">
          <w:rPr>
            <w:rStyle w:val="a4"/>
            <w:rFonts w:ascii="Times New Roman" w:hAnsi="Times New Roman"/>
            <w:bCs/>
            <w:sz w:val="28"/>
            <w:szCs w:val="28"/>
            <w:lang w:val="uk-UA"/>
          </w:rPr>
          <w:t>Гіпоксичний синдром при залізодефіцитних анеміях у вагітних та його корекція з використанням фосфатидилхолінових ліпосом</w:t>
        </w:r>
      </w:hyperlink>
      <w:r w:rsidRPr="00255336">
        <w:rPr>
          <w:rFonts w:ascii="Times New Roman" w:hAnsi="Times New Roman"/>
          <w:sz w:val="28"/>
          <w:szCs w:val="28"/>
          <w:lang w:val="uk-UA"/>
        </w:rPr>
        <w:t xml:space="preserve"> / </w:t>
      </w:r>
      <w:r w:rsidRPr="00255336">
        <w:rPr>
          <w:rFonts w:ascii="Times New Roman" w:hAnsi="Times New Roman"/>
          <w:sz w:val="28"/>
          <w:szCs w:val="28"/>
          <w:lang w:val="uk-UA"/>
        </w:rPr>
        <w:lastRenderedPageBreak/>
        <w:t>О.</w:t>
      </w:r>
      <w:r w:rsidRPr="00D65B3A">
        <w:rPr>
          <w:rFonts w:ascii="Times New Roman" w:hAnsi="Times New Roman"/>
          <w:sz w:val="28"/>
          <w:szCs w:val="28"/>
          <w:lang w:val="uk-UA"/>
        </w:rPr>
        <w:t xml:space="preserve"> Б. Бєлоус</w:t>
      </w:r>
      <w:r w:rsidRPr="00D65B3A">
        <w:rPr>
          <w:rFonts w:ascii="Times New Roman" w:hAnsi="Times New Roman"/>
          <w:sz w:val="28"/>
          <w:szCs w:val="28"/>
          <w:shd w:val="clear" w:color="auto" w:fill="F9F9F9"/>
        </w:rPr>
        <w:t> </w:t>
      </w:r>
      <w:r w:rsidRPr="00D65B3A">
        <w:rPr>
          <w:rFonts w:ascii="Times New Roman" w:hAnsi="Times New Roman"/>
          <w:sz w:val="28"/>
          <w:szCs w:val="28"/>
          <w:shd w:val="clear" w:color="auto" w:fill="F9F9F9"/>
          <w:lang w:val="uk-UA"/>
        </w:rPr>
        <w:t>: автореф. дис.</w:t>
      </w:r>
      <w:r>
        <w:rPr>
          <w:rFonts w:ascii="Times New Roman" w:hAnsi="Times New Roman"/>
          <w:sz w:val="28"/>
          <w:szCs w:val="28"/>
          <w:shd w:val="clear" w:color="auto" w:fill="F9F9F9"/>
          <w:lang w:val="uk-UA"/>
        </w:rPr>
        <w:t xml:space="preserve"> </w:t>
      </w:r>
      <w:r w:rsidRPr="00D65B3A">
        <w:rPr>
          <w:rFonts w:ascii="Times New Roman" w:hAnsi="Times New Roman"/>
          <w:sz w:val="28"/>
          <w:szCs w:val="28"/>
          <w:shd w:val="clear" w:color="auto" w:fill="F9F9F9"/>
          <w:lang w:val="uk-UA"/>
        </w:rPr>
        <w:t>..</w:t>
      </w:r>
      <w:r>
        <w:rPr>
          <w:rFonts w:ascii="Times New Roman" w:hAnsi="Times New Roman"/>
          <w:sz w:val="28"/>
          <w:szCs w:val="28"/>
          <w:shd w:val="clear" w:color="auto" w:fill="F9F9F9"/>
          <w:lang w:val="uk-UA"/>
        </w:rPr>
        <w:t>.</w:t>
      </w:r>
      <w:r w:rsidRPr="00D65B3A">
        <w:rPr>
          <w:rFonts w:ascii="Times New Roman" w:hAnsi="Times New Roman"/>
          <w:sz w:val="28"/>
          <w:szCs w:val="28"/>
          <w:shd w:val="clear" w:color="auto" w:fill="F9F9F9"/>
          <w:lang w:val="uk-UA"/>
        </w:rPr>
        <w:t xml:space="preserve"> канд. мед. наук:</w:t>
      </w:r>
      <w:r w:rsidRPr="00D65B3A">
        <w:rPr>
          <w:rFonts w:ascii="Times New Roman" w:hAnsi="Times New Roman"/>
          <w:sz w:val="28"/>
          <w:szCs w:val="28"/>
          <w:shd w:val="clear" w:color="auto" w:fill="F9F9F9"/>
        </w:rPr>
        <w:t> </w:t>
      </w:r>
      <w:r w:rsidRPr="00D65B3A">
        <w:rPr>
          <w:rStyle w:val="a5"/>
          <w:rFonts w:ascii="Times New Roman" w:hAnsi="Times New Roman"/>
          <w:b w:val="0"/>
          <w:sz w:val="28"/>
          <w:szCs w:val="28"/>
          <w:lang w:val="uk-UA"/>
        </w:rPr>
        <w:t xml:space="preserve">14.01.01 </w:t>
      </w:r>
      <w:r w:rsidRPr="00D65B3A">
        <w:rPr>
          <w:rFonts w:ascii="Times New Roman" w:hAnsi="Times New Roman"/>
          <w:sz w:val="28"/>
          <w:szCs w:val="28"/>
          <w:shd w:val="clear" w:color="auto" w:fill="F9F9F9"/>
          <w:lang w:val="uk-UA"/>
        </w:rPr>
        <w:t xml:space="preserve">«Акушерство та гінекологія». </w:t>
      </w:r>
      <w:r w:rsidRPr="00D65B3A">
        <w:rPr>
          <w:rFonts w:ascii="Times New Roman" w:hAnsi="Times New Roman"/>
          <w:sz w:val="28"/>
          <w:szCs w:val="28"/>
          <w:lang w:val="uk-UA"/>
        </w:rPr>
        <w:t>–</w:t>
      </w:r>
      <w:r w:rsidRPr="00D65B3A">
        <w:rPr>
          <w:rFonts w:ascii="Times New Roman" w:hAnsi="Times New Roman"/>
          <w:sz w:val="28"/>
          <w:szCs w:val="28"/>
          <w:shd w:val="clear" w:color="auto" w:fill="F9F9F9"/>
          <w:lang w:val="uk-UA"/>
        </w:rPr>
        <w:t xml:space="preserve"> Одесса., 2003. </w:t>
      </w:r>
      <w:r w:rsidRPr="00D65B3A">
        <w:rPr>
          <w:rFonts w:ascii="Times New Roman" w:hAnsi="Times New Roman"/>
          <w:sz w:val="28"/>
          <w:szCs w:val="28"/>
          <w:lang w:val="uk-UA"/>
        </w:rPr>
        <w:t>–</w:t>
      </w:r>
      <w:r w:rsidRPr="00D65B3A">
        <w:rPr>
          <w:rFonts w:ascii="Times New Roman" w:hAnsi="Times New Roman"/>
          <w:sz w:val="28"/>
          <w:szCs w:val="28"/>
          <w:shd w:val="clear" w:color="auto" w:fill="F9F9F9"/>
          <w:lang w:val="uk-UA"/>
        </w:rPr>
        <w:t xml:space="preserve"> 18 с.</w:t>
      </w:r>
    </w:p>
    <w:p w:rsidR="0080024C" w:rsidRPr="00D65B3A" w:rsidRDefault="0080024C" w:rsidP="0080024C">
      <w:pPr>
        <w:numPr>
          <w:ilvl w:val="0"/>
          <w:numId w:val="2"/>
        </w:numPr>
        <w:autoSpaceDE w:val="0"/>
        <w:autoSpaceDN w:val="0"/>
        <w:adjustRightInd w:val="0"/>
        <w:spacing w:line="360" w:lineRule="auto"/>
        <w:ind w:left="284" w:firstLine="0"/>
        <w:jc w:val="both"/>
        <w:rPr>
          <w:rFonts w:eastAsia="TimesNewRomanPSMT"/>
          <w:sz w:val="28"/>
          <w:szCs w:val="28"/>
        </w:rPr>
      </w:pPr>
      <w:r w:rsidRPr="00D65B3A">
        <w:rPr>
          <w:rFonts w:eastAsia="TimesNewRomanPSMT"/>
          <w:sz w:val="28"/>
          <w:szCs w:val="28"/>
        </w:rPr>
        <w:t>Білецька Е. М. Оцінка ефективності профілактичного використання природних ентеросорбентів / Е. М. Білецька, Т. А. Головкова, Т. Д. Землякова та ін. // Сб. статей науч.-практ.конф. «Актуальные вопросы нутрициологии. Роль биологически активных добавок в обеспечении здоровья населения» (4–5 ноября 2014 г.,  Днепропетровск). – С.22-25.</w:t>
      </w:r>
    </w:p>
    <w:p w:rsidR="0080024C" w:rsidRPr="00D65B3A" w:rsidRDefault="0080024C" w:rsidP="0080024C">
      <w:pPr>
        <w:numPr>
          <w:ilvl w:val="0"/>
          <w:numId w:val="2"/>
        </w:numPr>
        <w:shd w:val="clear" w:color="auto" w:fill="FFFFFF"/>
        <w:spacing w:line="360" w:lineRule="auto"/>
        <w:ind w:left="284" w:firstLine="0"/>
        <w:jc w:val="both"/>
        <w:rPr>
          <w:sz w:val="28"/>
          <w:szCs w:val="28"/>
        </w:rPr>
      </w:pPr>
      <w:r w:rsidRPr="00D65B3A">
        <w:rPr>
          <w:sz w:val="28"/>
          <w:szCs w:val="28"/>
        </w:rPr>
        <w:t>Боброва  І. А. Ентеросорбенти вчора та сьогодні: аспекти застосування / І. А. Боброва // Новини медицини і фармації. – 2015. – № 3. – С. 8-11.</w:t>
      </w:r>
    </w:p>
    <w:p w:rsidR="0080024C" w:rsidRPr="00D65B3A" w:rsidRDefault="0080024C" w:rsidP="0080024C">
      <w:pPr>
        <w:numPr>
          <w:ilvl w:val="0"/>
          <w:numId w:val="2"/>
        </w:numPr>
        <w:shd w:val="clear" w:color="auto" w:fill="FFFFFF"/>
        <w:spacing w:line="360" w:lineRule="auto"/>
        <w:ind w:left="284" w:firstLine="0"/>
        <w:jc w:val="both"/>
        <w:rPr>
          <w:sz w:val="28"/>
          <w:szCs w:val="28"/>
        </w:rPr>
      </w:pPr>
      <w:r w:rsidRPr="00D65B3A">
        <w:rPr>
          <w:sz w:val="28"/>
          <w:szCs w:val="28"/>
        </w:rPr>
        <w:t>Веред П. І. Ефективність застосування металовмісних препаратів “Ферокол” вітчизняного виробництва і “Ферибіон” чеського виробництва / П. І. Веред, В. С. Бітюцький, О. М. Мельниченко // Науковий вісник Львівської державної академії ветеринарної медицини. – 2003. – Т. 5, №2, ч. 3. – С. 27-30.</w:t>
      </w:r>
    </w:p>
    <w:p w:rsidR="0080024C" w:rsidRPr="00D65B3A" w:rsidRDefault="0080024C" w:rsidP="0080024C">
      <w:pPr>
        <w:numPr>
          <w:ilvl w:val="0"/>
          <w:numId w:val="2"/>
        </w:numPr>
        <w:shd w:val="clear" w:color="auto" w:fill="FFFFFF"/>
        <w:spacing w:line="360" w:lineRule="auto"/>
        <w:ind w:left="284" w:firstLine="0"/>
        <w:jc w:val="both"/>
        <w:rPr>
          <w:sz w:val="28"/>
          <w:szCs w:val="28"/>
        </w:rPr>
      </w:pPr>
      <w:r w:rsidRPr="00D65B3A">
        <w:rPr>
          <w:sz w:val="28"/>
          <w:szCs w:val="28"/>
        </w:rPr>
        <w:t>Веред П. І. Порівняльна характеристика антианемічних препаратів вітчизняного виробництва і закордонних аналогів / П. І. Веред // Аграрні вісті. – 2004. – №1. – С. 31-32.</w:t>
      </w:r>
    </w:p>
    <w:p w:rsidR="0080024C" w:rsidRPr="00D65B3A" w:rsidRDefault="0080024C" w:rsidP="0080024C">
      <w:pPr>
        <w:pStyle w:val="a6"/>
        <w:numPr>
          <w:ilvl w:val="0"/>
          <w:numId w:val="2"/>
        </w:numPr>
        <w:spacing w:after="0" w:line="360" w:lineRule="auto"/>
        <w:ind w:left="284" w:firstLine="0"/>
        <w:jc w:val="both"/>
        <w:rPr>
          <w:rFonts w:ascii="Times New Roman" w:hAnsi="Times New Roman"/>
          <w:bCs/>
          <w:color w:val="000000"/>
          <w:sz w:val="28"/>
          <w:szCs w:val="28"/>
          <w:lang w:val="uk-UA"/>
        </w:rPr>
      </w:pPr>
      <w:r w:rsidRPr="00D65B3A"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Вовк З. В.Метаболізм заліза та диференційована корекція його порушень у дітей раннього та дошкільного віку, хворих на залізодефіцитну анемію / З. В. Вовк :автореф. дис.. … канд..мед.н. : </w:t>
      </w:r>
      <w:r w:rsidRPr="00D65B3A">
        <w:rPr>
          <w:rFonts w:ascii="Times New Roman" w:hAnsi="Times New Roman"/>
          <w:color w:val="000000"/>
          <w:sz w:val="28"/>
          <w:szCs w:val="28"/>
          <w:lang w:val="uk-UA"/>
        </w:rPr>
        <w:t>14.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01.10 «Педіатрія» – Київ. – 2020</w:t>
      </w:r>
      <w:r w:rsidRPr="00D65B3A">
        <w:rPr>
          <w:rFonts w:ascii="Times New Roman" w:hAnsi="Times New Roman"/>
          <w:color w:val="000000"/>
          <w:sz w:val="28"/>
          <w:szCs w:val="28"/>
          <w:lang w:val="uk-UA"/>
        </w:rPr>
        <w:t xml:space="preserve">. – 23 с. </w:t>
      </w:r>
    </w:p>
    <w:p w:rsidR="0080024C" w:rsidRPr="00D65B3A" w:rsidRDefault="0080024C" w:rsidP="0080024C">
      <w:pPr>
        <w:pStyle w:val="a6"/>
        <w:numPr>
          <w:ilvl w:val="0"/>
          <w:numId w:val="2"/>
        </w:numPr>
        <w:spacing w:after="0" w:line="360" w:lineRule="auto"/>
        <w:ind w:left="284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D65B3A">
        <w:rPr>
          <w:rFonts w:ascii="Times New Roman" w:hAnsi="Times New Roman"/>
          <w:sz w:val="28"/>
          <w:szCs w:val="28"/>
          <w:lang w:val="uk-UA"/>
        </w:rPr>
        <w:t xml:space="preserve">Виговська Я. І. Анемія хронічних хвороб: патогенез, діагностика, лікування / Я. І. Виговська // Український медичний часопис. – 2012. – № 6 (92). – Режим доступу: </w:t>
      </w:r>
      <w:hyperlink r:id="rId6" w:history="1">
        <w:r w:rsidRPr="00D65B3A">
          <w:rPr>
            <w:rStyle w:val="a4"/>
            <w:rFonts w:ascii="Times New Roman" w:hAnsi="Times New Roman"/>
            <w:sz w:val="28"/>
            <w:szCs w:val="28"/>
          </w:rPr>
          <w:t>https</w:t>
        </w:r>
        <w:r w:rsidRPr="00D65B3A">
          <w:rPr>
            <w:rStyle w:val="a4"/>
            <w:rFonts w:ascii="Times New Roman" w:hAnsi="Times New Roman"/>
            <w:sz w:val="28"/>
            <w:szCs w:val="28"/>
            <w:lang w:val="uk-UA"/>
          </w:rPr>
          <w:t>://</w:t>
        </w:r>
        <w:r w:rsidRPr="00D65B3A">
          <w:rPr>
            <w:rStyle w:val="a4"/>
            <w:rFonts w:ascii="Times New Roman" w:hAnsi="Times New Roman"/>
            <w:sz w:val="28"/>
            <w:szCs w:val="28"/>
          </w:rPr>
          <w:t>www</w:t>
        </w:r>
        <w:r w:rsidRPr="00D65B3A">
          <w:rPr>
            <w:rStyle w:val="a4"/>
            <w:rFonts w:ascii="Times New Roman" w:hAnsi="Times New Roman"/>
            <w:sz w:val="28"/>
            <w:szCs w:val="28"/>
            <w:lang w:val="uk-UA"/>
          </w:rPr>
          <w:t>.</w:t>
        </w:r>
        <w:r w:rsidRPr="00D65B3A">
          <w:rPr>
            <w:rStyle w:val="a4"/>
            <w:rFonts w:ascii="Times New Roman" w:hAnsi="Times New Roman"/>
            <w:sz w:val="28"/>
            <w:szCs w:val="28"/>
          </w:rPr>
          <w:t>umj</w:t>
        </w:r>
        <w:r w:rsidRPr="00D65B3A">
          <w:rPr>
            <w:rStyle w:val="a4"/>
            <w:rFonts w:ascii="Times New Roman" w:hAnsi="Times New Roman"/>
            <w:sz w:val="28"/>
            <w:szCs w:val="28"/>
            <w:lang w:val="uk-UA"/>
          </w:rPr>
          <w:t>.</w:t>
        </w:r>
        <w:r w:rsidRPr="00D65B3A">
          <w:rPr>
            <w:rStyle w:val="a4"/>
            <w:rFonts w:ascii="Times New Roman" w:hAnsi="Times New Roman"/>
            <w:sz w:val="28"/>
            <w:szCs w:val="28"/>
          </w:rPr>
          <w:t>com</w:t>
        </w:r>
        <w:r w:rsidRPr="00D65B3A">
          <w:rPr>
            <w:rStyle w:val="a4"/>
            <w:rFonts w:ascii="Times New Roman" w:hAnsi="Times New Roman"/>
            <w:sz w:val="28"/>
            <w:szCs w:val="28"/>
            <w:lang w:val="uk-UA"/>
          </w:rPr>
          <w:t>.</w:t>
        </w:r>
        <w:r w:rsidRPr="00D65B3A">
          <w:rPr>
            <w:rStyle w:val="a4"/>
            <w:rFonts w:ascii="Times New Roman" w:hAnsi="Times New Roman"/>
            <w:sz w:val="28"/>
            <w:szCs w:val="28"/>
          </w:rPr>
          <w:t>ua</w:t>
        </w:r>
        <w:r w:rsidRPr="00D65B3A">
          <w:rPr>
            <w:rStyle w:val="a4"/>
            <w:rFonts w:ascii="Times New Roman" w:hAnsi="Times New Roman"/>
            <w:sz w:val="28"/>
            <w:szCs w:val="28"/>
            <w:lang w:val="uk-UA"/>
          </w:rPr>
          <w:t>/</w:t>
        </w:r>
        <w:r w:rsidRPr="00D65B3A">
          <w:rPr>
            <w:rStyle w:val="a4"/>
            <w:rFonts w:ascii="Times New Roman" w:hAnsi="Times New Roman"/>
            <w:sz w:val="28"/>
            <w:szCs w:val="28"/>
          </w:rPr>
          <w:t>article</w:t>
        </w:r>
        <w:r w:rsidRPr="00D65B3A">
          <w:rPr>
            <w:rStyle w:val="a4"/>
            <w:rFonts w:ascii="Times New Roman" w:hAnsi="Times New Roman"/>
            <w:sz w:val="28"/>
            <w:szCs w:val="28"/>
            <w:lang w:val="uk-UA"/>
          </w:rPr>
          <w:t>/42042/</w:t>
        </w:r>
        <w:r w:rsidRPr="00D65B3A">
          <w:rPr>
            <w:rStyle w:val="a4"/>
            <w:rFonts w:ascii="Times New Roman" w:hAnsi="Times New Roman"/>
            <w:sz w:val="28"/>
            <w:szCs w:val="28"/>
          </w:rPr>
          <w:t>anemiya</w:t>
        </w:r>
        <w:r w:rsidRPr="00D65B3A">
          <w:rPr>
            <w:rStyle w:val="a4"/>
            <w:rFonts w:ascii="Times New Roman" w:hAnsi="Times New Roman"/>
            <w:sz w:val="28"/>
            <w:szCs w:val="28"/>
            <w:lang w:val="uk-UA"/>
          </w:rPr>
          <w:t>-</w:t>
        </w:r>
        <w:r w:rsidRPr="00D65B3A">
          <w:rPr>
            <w:rStyle w:val="a4"/>
            <w:rFonts w:ascii="Times New Roman" w:hAnsi="Times New Roman"/>
            <w:sz w:val="28"/>
            <w:szCs w:val="28"/>
          </w:rPr>
          <w:t>xronichnix</w:t>
        </w:r>
        <w:r w:rsidRPr="00D65B3A">
          <w:rPr>
            <w:rStyle w:val="a4"/>
            <w:rFonts w:ascii="Times New Roman" w:hAnsi="Times New Roman"/>
            <w:sz w:val="28"/>
            <w:szCs w:val="28"/>
            <w:lang w:val="uk-UA"/>
          </w:rPr>
          <w:t>-</w:t>
        </w:r>
        <w:r w:rsidRPr="00D65B3A">
          <w:rPr>
            <w:rStyle w:val="a4"/>
            <w:rFonts w:ascii="Times New Roman" w:hAnsi="Times New Roman"/>
            <w:sz w:val="28"/>
            <w:szCs w:val="28"/>
          </w:rPr>
          <w:t>xvorob</w:t>
        </w:r>
        <w:r w:rsidRPr="00D65B3A">
          <w:rPr>
            <w:rStyle w:val="a4"/>
            <w:rFonts w:ascii="Times New Roman" w:hAnsi="Times New Roman"/>
            <w:sz w:val="28"/>
            <w:szCs w:val="28"/>
            <w:lang w:val="uk-UA"/>
          </w:rPr>
          <w:t>-</w:t>
        </w:r>
        <w:r w:rsidRPr="00D65B3A">
          <w:rPr>
            <w:rStyle w:val="a4"/>
            <w:rFonts w:ascii="Times New Roman" w:hAnsi="Times New Roman"/>
            <w:sz w:val="28"/>
            <w:szCs w:val="28"/>
          </w:rPr>
          <w:t>patogenezdiagnostika</w:t>
        </w:r>
        <w:r w:rsidRPr="00D65B3A">
          <w:rPr>
            <w:rStyle w:val="a4"/>
            <w:rFonts w:ascii="Times New Roman" w:hAnsi="Times New Roman"/>
            <w:sz w:val="28"/>
            <w:szCs w:val="28"/>
            <w:lang w:val="uk-UA"/>
          </w:rPr>
          <w:t>-</w:t>
        </w:r>
        <w:r w:rsidRPr="00D65B3A">
          <w:rPr>
            <w:rStyle w:val="a4"/>
            <w:rFonts w:ascii="Times New Roman" w:hAnsi="Times New Roman"/>
            <w:sz w:val="28"/>
            <w:szCs w:val="28"/>
          </w:rPr>
          <w:t>likuvannya</w:t>
        </w:r>
        <w:r w:rsidRPr="00D65B3A">
          <w:rPr>
            <w:rStyle w:val="a4"/>
            <w:rFonts w:ascii="Times New Roman" w:hAnsi="Times New Roman"/>
            <w:sz w:val="28"/>
            <w:szCs w:val="28"/>
            <w:lang w:val="uk-UA"/>
          </w:rPr>
          <w:t>-</w:t>
        </w:r>
        <w:r w:rsidRPr="00D65B3A">
          <w:rPr>
            <w:rStyle w:val="a4"/>
            <w:rFonts w:ascii="Times New Roman" w:hAnsi="Times New Roman"/>
            <w:sz w:val="28"/>
            <w:szCs w:val="28"/>
          </w:rPr>
          <w:t>lekciya</w:t>
        </w:r>
      </w:hyperlink>
    </w:p>
    <w:p w:rsidR="0080024C" w:rsidRPr="00D65B3A" w:rsidRDefault="0080024C" w:rsidP="0080024C">
      <w:pPr>
        <w:pStyle w:val="a6"/>
        <w:numPr>
          <w:ilvl w:val="0"/>
          <w:numId w:val="2"/>
        </w:numPr>
        <w:spacing w:after="0" w:line="360" w:lineRule="auto"/>
        <w:ind w:left="284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D65B3A">
        <w:rPr>
          <w:rFonts w:ascii="Times New Roman" w:hAnsi="Times New Roman"/>
          <w:sz w:val="28"/>
          <w:szCs w:val="28"/>
          <w:lang w:val="uk-UA"/>
        </w:rPr>
        <w:t xml:space="preserve">Видиборець С. В. Механізми формування залізодефіцитних станів і </w:t>
      </w:r>
      <w:r w:rsidRPr="00D65B3A">
        <w:rPr>
          <w:rFonts w:ascii="Times New Roman" w:hAnsi="Times New Roman"/>
          <w:sz w:val="28"/>
          <w:szCs w:val="28"/>
        </w:rPr>
        <w:t>c</w:t>
      </w:r>
      <w:r w:rsidRPr="00D65B3A">
        <w:rPr>
          <w:rFonts w:ascii="Times New Roman" w:hAnsi="Times New Roman"/>
          <w:sz w:val="28"/>
          <w:szCs w:val="28"/>
          <w:lang w:val="uk-UA"/>
        </w:rPr>
        <w:t>учасні підходи до призначення оральних засобів заліза [Електронний ресурс] / С. В. Видиборець // Репродуктивная эндокринология. – 2013. – № 3. – С. 62-69. – Режим доступу:</w:t>
      </w:r>
      <w:r w:rsidRPr="00D65B3A">
        <w:rPr>
          <w:rFonts w:ascii="Times New Roman" w:hAnsi="Times New Roman"/>
          <w:sz w:val="28"/>
          <w:szCs w:val="28"/>
        </w:rPr>
        <w:t>http</w:t>
      </w:r>
      <w:r w:rsidRPr="00D65B3A">
        <w:rPr>
          <w:rFonts w:ascii="Times New Roman" w:hAnsi="Times New Roman"/>
          <w:sz w:val="28"/>
          <w:szCs w:val="28"/>
          <w:lang w:val="uk-UA"/>
        </w:rPr>
        <w:t>://</w:t>
      </w:r>
      <w:r w:rsidRPr="00D65B3A">
        <w:rPr>
          <w:rFonts w:ascii="Times New Roman" w:hAnsi="Times New Roman"/>
          <w:sz w:val="28"/>
          <w:szCs w:val="28"/>
        </w:rPr>
        <w:t>nbuv</w:t>
      </w:r>
      <w:r w:rsidRPr="00D65B3A">
        <w:rPr>
          <w:rFonts w:ascii="Times New Roman" w:hAnsi="Times New Roman"/>
          <w:sz w:val="28"/>
          <w:szCs w:val="28"/>
          <w:lang w:val="uk-UA"/>
        </w:rPr>
        <w:t>.</w:t>
      </w:r>
      <w:r w:rsidRPr="00D65B3A">
        <w:rPr>
          <w:rFonts w:ascii="Times New Roman" w:hAnsi="Times New Roman"/>
          <w:sz w:val="28"/>
          <w:szCs w:val="28"/>
        </w:rPr>
        <w:t>gov</w:t>
      </w:r>
      <w:r w:rsidRPr="00D65B3A">
        <w:rPr>
          <w:rFonts w:ascii="Times New Roman" w:hAnsi="Times New Roman"/>
          <w:sz w:val="28"/>
          <w:szCs w:val="28"/>
          <w:lang w:val="uk-UA"/>
        </w:rPr>
        <w:t>.</w:t>
      </w:r>
      <w:r w:rsidRPr="00D65B3A">
        <w:rPr>
          <w:rFonts w:ascii="Times New Roman" w:hAnsi="Times New Roman"/>
          <w:sz w:val="28"/>
          <w:szCs w:val="28"/>
        </w:rPr>
        <w:t>ua</w:t>
      </w:r>
      <w:r w:rsidRPr="00D65B3A">
        <w:rPr>
          <w:rFonts w:ascii="Times New Roman" w:hAnsi="Times New Roman"/>
          <w:sz w:val="28"/>
          <w:szCs w:val="28"/>
          <w:lang w:val="uk-UA"/>
        </w:rPr>
        <w:t>/</w:t>
      </w:r>
      <w:r w:rsidRPr="00D65B3A">
        <w:rPr>
          <w:rFonts w:ascii="Times New Roman" w:hAnsi="Times New Roman"/>
          <w:sz w:val="28"/>
          <w:szCs w:val="28"/>
        </w:rPr>
        <w:t>UJRN</w:t>
      </w:r>
      <w:r w:rsidRPr="00D65B3A">
        <w:rPr>
          <w:rFonts w:ascii="Times New Roman" w:hAnsi="Times New Roman"/>
          <w:sz w:val="28"/>
          <w:szCs w:val="28"/>
          <w:lang w:val="uk-UA"/>
        </w:rPr>
        <w:t>/</w:t>
      </w:r>
      <w:r w:rsidRPr="00D65B3A">
        <w:rPr>
          <w:rFonts w:ascii="Times New Roman" w:hAnsi="Times New Roman"/>
          <w:sz w:val="28"/>
          <w:szCs w:val="28"/>
        </w:rPr>
        <w:t>repe</w:t>
      </w:r>
      <w:r w:rsidRPr="00D65B3A">
        <w:rPr>
          <w:rFonts w:ascii="Times New Roman" w:hAnsi="Times New Roman"/>
          <w:sz w:val="28"/>
          <w:szCs w:val="28"/>
          <w:lang w:val="uk-UA"/>
        </w:rPr>
        <w:t>_2013_3_8</w:t>
      </w:r>
    </w:p>
    <w:p w:rsidR="0080024C" w:rsidRPr="00D65B3A" w:rsidRDefault="0080024C" w:rsidP="0080024C">
      <w:pPr>
        <w:pStyle w:val="a6"/>
        <w:numPr>
          <w:ilvl w:val="0"/>
          <w:numId w:val="2"/>
        </w:numPr>
        <w:spacing w:after="0" w:line="360" w:lineRule="auto"/>
        <w:ind w:left="284" w:firstLine="0"/>
        <w:jc w:val="both"/>
        <w:rPr>
          <w:rFonts w:ascii="Times New Roman" w:hAnsi="Times New Roman"/>
          <w:sz w:val="28"/>
          <w:szCs w:val="28"/>
          <w:lang w:val="ru-RU"/>
        </w:rPr>
      </w:pPr>
      <w:r w:rsidRPr="00D65B3A">
        <w:rPr>
          <w:rFonts w:ascii="Times New Roman" w:hAnsi="Times New Roman"/>
          <w:sz w:val="28"/>
          <w:szCs w:val="28"/>
          <w:lang w:val="ru-RU"/>
        </w:rPr>
        <w:lastRenderedPageBreak/>
        <w:t>Видиборець С. В. Фізіологічна роль гепсидину як центрального регулятора метаболізму заліза (огляд літератури) / С. В. Видиборець, А. О. Андріяка. // Сімейна медицина. – 2017. – №1(69). – С. 154–157.</w:t>
      </w:r>
    </w:p>
    <w:p w:rsidR="0080024C" w:rsidRPr="00D65B3A" w:rsidRDefault="0080024C" w:rsidP="0080024C">
      <w:pPr>
        <w:pStyle w:val="a6"/>
        <w:numPr>
          <w:ilvl w:val="0"/>
          <w:numId w:val="2"/>
        </w:numPr>
        <w:spacing w:after="0" w:line="360" w:lineRule="auto"/>
        <w:ind w:left="284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D65B3A">
        <w:rPr>
          <w:rFonts w:ascii="Times New Roman" w:hAnsi="Times New Roman"/>
          <w:sz w:val="28"/>
          <w:szCs w:val="28"/>
          <w:lang w:val="uk-UA"/>
        </w:rPr>
        <w:t xml:space="preserve">Видиборець С. В.  Гепсидин, трансферин, феритин: фізіологічна роль як центральних регуляторів обміну заліза в організмі / С. В. Видиборець, Д. В. Борисенко // </w:t>
      </w:r>
      <w:r w:rsidRPr="00D65B3A">
        <w:rPr>
          <w:rFonts w:ascii="Times New Roman" w:hAnsi="Times New Roman"/>
          <w:sz w:val="28"/>
          <w:szCs w:val="28"/>
        </w:rPr>
        <w:t>Science</w:t>
      </w:r>
      <w:r w:rsidRPr="00D65B3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65B3A">
        <w:rPr>
          <w:rFonts w:ascii="Times New Roman" w:hAnsi="Times New Roman"/>
          <w:sz w:val="28"/>
          <w:szCs w:val="28"/>
        </w:rPr>
        <w:t>review</w:t>
      </w:r>
      <w:r w:rsidRPr="00D65B3A">
        <w:rPr>
          <w:rFonts w:ascii="Times New Roman" w:hAnsi="Times New Roman"/>
          <w:sz w:val="28"/>
          <w:szCs w:val="28"/>
          <w:lang w:val="uk-UA"/>
        </w:rPr>
        <w:t>. – 2019. – №9 (26). – С. 8–17.</w:t>
      </w:r>
    </w:p>
    <w:p w:rsidR="0080024C" w:rsidRPr="00D65B3A" w:rsidRDefault="0080024C" w:rsidP="0080024C">
      <w:pPr>
        <w:pStyle w:val="a6"/>
        <w:numPr>
          <w:ilvl w:val="0"/>
          <w:numId w:val="2"/>
        </w:numPr>
        <w:spacing w:after="0" w:line="360" w:lineRule="auto"/>
        <w:ind w:left="284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D65B3A">
        <w:rPr>
          <w:rFonts w:ascii="Times New Roman" w:hAnsi="Times New Roman"/>
          <w:sz w:val="28"/>
          <w:szCs w:val="28"/>
          <w:lang w:val="uk-UA"/>
        </w:rPr>
        <w:t xml:space="preserve">Видиборець С. В. Метаболізм заліза і залізодефіцитні стани: монографія / С. В. Видиборець. - </w:t>
      </w:r>
      <w:r w:rsidRPr="00D65B3A">
        <w:rPr>
          <w:rFonts w:ascii="Times New Roman" w:hAnsi="Times New Roman"/>
          <w:sz w:val="28"/>
          <w:szCs w:val="28"/>
        </w:rPr>
        <w:t>Boston</w:t>
      </w:r>
      <w:r w:rsidRPr="00D65B3A">
        <w:rPr>
          <w:rFonts w:ascii="Times New Roman" w:hAnsi="Times New Roman"/>
          <w:sz w:val="28"/>
          <w:szCs w:val="28"/>
          <w:lang w:val="uk-UA"/>
        </w:rPr>
        <w:t xml:space="preserve">: </w:t>
      </w:r>
      <w:r w:rsidRPr="00D65B3A">
        <w:rPr>
          <w:rFonts w:ascii="Times New Roman" w:hAnsi="Times New Roman"/>
          <w:sz w:val="28"/>
          <w:szCs w:val="28"/>
        </w:rPr>
        <w:t>Published</w:t>
      </w:r>
      <w:r w:rsidRPr="00D65B3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65B3A">
        <w:rPr>
          <w:rFonts w:ascii="Times New Roman" w:hAnsi="Times New Roman"/>
          <w:sz w:val="28"/>
          <w:szCs w:val="28"/>
        </w:rPr>
        <w:t>by</w:t>
      </w:r>
      <w:r w:rsidRPr="00D65B3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65B3A">
        <w:rPr>
          <w:rFonts w:ascii="Times New Roman" w:hAnsi="Times New Roman"/>
          <w:sz w:val="28"/>
          <w:szCs w:val="28"/>
        </w:rPr>
        <w:t>Primedia</w:t>
      </w:r>
      <w:r w:rsidRPr="00D65B3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65B3A">
        <w:rPr>
          <w:rFonts w:ascii="Times New Roman" w:hAnsi="Times New Roman"/>
          <w:sz w:val="28"/>
          <w:szCs w:val="28"/>
        </w:rPr>
        <w:t>eLaunch</w:t>
      </w:r>
      <w:r w:rsidRPr="00D65B3A">
        <w:rPr>
          <w:rFonts w:ascii="Times New Roman" w:hAnsi="Times New Roman"/>
          <w:sz w:val="28"/>
          <w:szCs w:val="28"/>
          <w:lang w:val="uk-UA"/>
        </w:rPr>
        <w:t xml:space="preserve">. 2022.  – 267 </w:t>
      </w:r>
      <w:r w:rsidRPr="00D65B3A">
        <w:rPr>
          <w:rFonts w:ascii="Times New Roman" w:hAnsi="Times New Roman"/>
          <w:sz w:val="28"/>
          <w:szCs w:val="28"/>
        </w:rPr>
        <w:t>p</w:t>
      </w:r>
      <w:r w:rsidRPr="00D65B3A">
        <w:rPr>
          <w:rFonts w:ascii="Times New Roman" w:hAnsi="Times New Roman"/>
          <w:sz w:val="28"/>
          <w:szCs w:val="28"/>
          <w:lang w:val="uk-UA"/>
        </w:rPr>
        <w:t>,</w:t>
      </w:r>
    </w:p>
    <w:p w:rsidR="0080024C" w:rsidRPr="00D65B3A" w:rsidRDefault="0080024C" w:rsidP="0080024C">
      <w:pPr>
        <w:pStyle w:val="a3"/>
        <w:numPr>
          <w:ilvl w:val="0"/>
          <w:numId w:val="2"/>
        </w:numPr>
        <w:spacing w:before="0" w:beforeAutospacing="0" w:after="0" w:afterAutospacing="0" w:line="360" w:lineRule="auto"/>
        <w:ind w:left="284" w:right="300" w:firstLine="0"/>
        <w:rPr>
          <w:sz w:val="28"/>
          <w:szCs w:val="28"/>
          <w:lang w:val="uk-UA"/>
        </w:rPr>
      </w:pPr>
      <w:r w:rsidRPr="00D65B3A">
        <w:rPr>
          <w:sz w:val="28"/>
          <w:szCs w:val="28"/>
          <w:lang w:val="uk-UA"/>
        </w:rPr>
        <w:t>Воронін Є. П. В</w:t>
      </w:r>
      <w:r w:rsidRPr="00D65B3A">
        <w:rPr>
          <w:sz w:val="28"/>
          <w:szCs w:val="28"/>
        </w:rPr>
        <w:t xml:space="preserve">ластивості нанорозмірного кремнезему як медичного сорбенту </w:t>
      </w:r>
      <w:r w:rsidRPr="00D65B3A">
        <w:rPr>
          <w:sz w:val="28"/>
          <w:szCs w:val="28"/>
          <w:lang w:val="uk-UA"/>
        </w:rPr>
        <w:t xml:space="preserve">/ </w:t>
      </w:r>
      <w:r w:rsidRPr="00D65B3A">
        <w:rPr>
          <w:sz w:val="28"/>
          <w:szCs w:val="28"/>
        </w:rPr>
        <w:t>Є. П. Воронін, І. С. Чекман, А. В. Руденко, Л. В. Носа, Л. М. Осіння.  //</w:t>
      </w:r>
      <w:r w:rsidRPr="00D65B3A">
        <w:rPr>
          <w:sz w:val="28"/>
          <w:szCs w:val="28"/>
          <w:lang w:val="uk-UA"/>
        </w:rPr>
        <w:t>І</w:t>
      </w:r>
      <w:r w:rsidRPr="00D65B3A">
        <w:rPr>
          <w:sz w:val="28"/>
          <w:szCs w:val="28"/>
        </w:rPr>
        <w:t>нтегративна антропологія</w:t>
      </w:r>
      <w:r w:rsidRPr="00D65B3A">
        <w:rPr>
          <w:sz w:val="28"/>
          <w:szCs w:val="28"/>
          <w:lang w:val="uk-UA"/>
        </w:rPr>
        <w:t>. – 2017. –</w:t>
      </w:r>
      <w:r w:rsidRPr="00D65B3A">
        <w:rPr>
          <w:sz w:val="28"/>
          <w:szCs w:val="28"/>
        </w:rPr>
        <w:t>№ 1 (29)</w:t>
      </w:r>
      <w:r w:rsidRPr="00D65B3A">
        <w:rPr>
          <w:sz w:val="28"/>
          <w:szCs w:val="28"/>
          <w:lang w:val="uk-UA"/>
        </w:rPr>
        <w:t xml:space="preserve">. </w:t>
      </w:r>
      <w:r w:rsidRPr="00D65B3A">
        <w:rPr>
          <w:sz w:val="28"/>
          <w:szCs w:val="28"/>
        </w:rPr>
        <w:t>– С.45-48.</w:t>
      </w:r>
    </w:p>
    <w:p w:rsidR="0080024C" w:rsidRPr="00D65B3A" w:rsidRDefault="0080024C" w:rsidP="0080024C">
      <w:pPr>
        <w:pStyle w:val="a6"/>
        <w:numPr>
          <w:ilvl w:val="0"/>
          <w:numId w:val="2"/>
        </w:numPr>
        <w:spacing w:after="0" w:line="360" w:lineRule="auto"/>
        <w:ind w:left="284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D65B3A">
        <w:rPr>
          <w:rFonts w:ascii="Times New Roman" w:hAnsi="Times New Roman"/>
          <w:sz w:val="28"/>
          <w:szCs w:val="28"/>
          <w:lang w:val="uk-UA"/>
        </w:rPr>
        <w:t xml:space="preserve">Гайдук О. Ферумвмісні препарати в Україні / О. Гайдук // Матеріали </w:t>
      </w:r>
      <w:r w:rsidRPr="00D65B3A">
        <w:rPr>
          <w:rFonts w:ascii="Times New Roman" w:hAnsi="Times New Roman"/>
          <w:sz w:val="28"/>
          <w:szCs w:val="28"/>
        </w:rPr>
        <w:t>X</w:t>
      </w:r>
      <w:r w:rsidRPr="00D65B3A">
        <w:rPr>
          <w:rFonts w:ascii="Times New Roman" w:hAnsi="Times New Roman"/>
          <w:sz w:val="28"/>
          <w:szCs w:val="28"/>
          <w:lang w:val="uk-UA"/>
        </w:rPr>
        <w:t xml:space="preserve">ІІІ Всеукраїнської науково–практичної конференції студентів та молодих 294 науковців, 23 травн. </w:t>
      </w:r>
      <w:r w:rsidRPr="00D65B3A">
        <w:rPr>
          <w:rFonts w:ascii="Times New Roman" w:hAnsi="Times New Roman"/>
          <w:sz w:val="28"/>
          <w:szCs w:val="28"/>
          <w:lang w:val="ru-RU"/>
        </w:rPr>
        <w:t xml:space="preserve">2019 р. Кам’янець–Подільський: Подільський державний аграрно–технічний університет. </w:t>
      </w:r>
      <w:r w:rsidRPr="00D65B3A">
        <w:rPr>
          <w:rFonts w:ascii="Times New Roman" w:hAnsi="Times New Roman"/>
          <w:sz w:val="28"/>
          <w:szCs w:val="28"/>
          <w:lang w:val="uk-UA"/>
        </w:rPr>
        <w:t xml:space="preserve">– </w:t>
      </w:r>
      <w:r w:rsidRPr="00D65B3A">
        <w:rPr>
          <w:rFonts w:ascii="Times New Roman" w:hAnsi="Times New Roman"/>
          <w:sz w:val="28"/>
          <w:szCs w:val="28"/>
          <w:lang w:val="ru-RU"/>
        </w:rPr>
        <w:t>2019. – С. 37.</w:t>
      </w:r>
    </w:p>
    <w:p w:rsidR="0080024C" w:rsidRPr="00D65B3A" w:rsidRDefault="0080024C" w:rsidP="0080024C">
      <w:pPr>
        <w:pStyle w:val="a6"/>
        <w:numPr>
          <w:ilvl w:val="0"/>
          <w:numId w:val="2"/>
        </w:numPr>
        <w:spacing w:after="0" w:line="360" w:lineRule="auto"/>
        <w:ind w:left="284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D65B3A">
        <w:rPr>
          <w:rFonts w:ascii="Times New Roman" w:hAnsi="Times New Roman"/>
          <w:sz w:val="28"/>
          <w:szCs w:val="28"/>
          <w:lang w:val="ru-RU"/>
        </w:rPr>
        <w:t>Гайдуков С. М. Залізодефіцитна анемія як проблема сучасної медицини / С. М. Гайдуков, С. В. Видиборець // Здоров’я України. – 2001. – №8. – С. 30-33.</w:t>
      </w:r>
    </w:p>
    <w:p w:rsidR="0080024C" w:rsidRPr="00D65B3A" w:rsidRDefault="0080024C" w:rsidP="0080024C">
      <w:pPr>
        <w:numPr>
          <w:ilvl w:val="0"/>
          <w:numId w:val="2"/>
        </w:numPr>
        <w:spacing w:line="360" w:lineRule="auto"/>
        <w:ind w:left="284" w:firstLine="0"/>
        <w:jc w:val="both"/>
        <w:rPr>
          <w:sz w:val="28"/>
          <w:szCs w:val="28"/>
          <w:lang w:val="uk-UA"/>
        </w:rPr>
      </w:pPr>
      <w:r w:rsidRPr="00D65B3A">
        <w:rPr>
          <w:sz w:val="28"/>
          <w:szCs w:val="28"/>
          <w:shd w:val="clear" w:color="auto" w:fill="FFFFFF"/>
          <w:lang w:val="uk-UA"/>
        </w:rPr>
        <w:t>Гайнюк М. Б. Детоксикуючий ефект яблучного пектину за умов експериментальної гострої алкогольної інтоксикації</w:t>
      </w:r>
      <w:r w:rsidRPr="00D65B3A">
        <w:rPr>
          <w:sz w:val="28"/>
          <w:szCs w:val="28"/>
          <w:lang w:val="uk-UA"/>
        </w:rPr>
        <w:t xml:space="preserve">  / М. Б. </w:t>
      </w:r>
      <w:r w:rsidRPr="00D65B3A">
        <w:rPr>
          <w:sz w:val="28"/>
          <w:szCs w:val="28"/>
          <w:shd w:val="clear" w:color="auto" w:fill="FFFFFF"/>
          <w:lang w:val="uk-UA"/>
        </w:rPr>
        <w:t>Гайнюк, Л. М.  Шеремета</w:t>
      </w:r>
      <w:r w:rsidRPr="00D65B3A">
        <w:rPr>
          <w:sz w:val="28"/>
          <w:szCs w:val="28"/>
          <w:lang w:val="uk-UA"/>
        </w:rPr>
        <w:t xml:space="preserve"> // </w:t>
      </w:r>
      <w:r w:rsidRPr="00D65B3A">
        <w:rPr>
          <w:sz w:val="28"/>
          <w:szCs w:val="28"/>
          <w:shd w:val="clear" w:color="auto" w:fill="FFFFFF"/>
          <w:lang w:val="uk-UA"/>
        </w:rPr>
        <w:t xml:space="preserve">Медична та клінічна хімія: науково-практичний журнал. - Тернопіль, 2018. </w:t>
      </w:r>
      <w:r w:rsidRPr="00D65B3A">
        <w:rPr>
          <w:sz w:val="28"/>
          <w:szCs w:val="28"/>
          <w:lang w:val="uk-UA"/>
        </w:rPr>
        <w:t>–</w:t>
      </w:r>
      <w:r w:rsidRPr="00D65B3A">
        <w:rPr>
          <w:sz w:val="28"/>
          <w:szCs w:val="28"/>
          <w:shd w:val="clear" w:color="auto" w:fill="FFFFFF"/>
          <w:lang w:val="uk-UA"/>
        </w:rPr>
        <w:t xml:space="preserve">Т. 20, № 2. </w:t>
      </w:r>
      <w:r w:rsidRPr="00D65B3A">
        <w:rPr>
          <w:sz w:val="28"/>
          <w:szCs w:val="28"/>
          <w:lang w:val="uk-UA"/>
        </w:rPr>
        <w:t>–</w:t>
      </w:r>
      <w:r w:rsidRPr="00D65B3A">
        <w:rPr>
          <w:sz w:val="28"/>
          <w:szCs w:val="28"/>
          <w:shd w:val="clear" w:color="auto" w:fill="FFFFFF"/>
          <w:lang w:val="uk-UA"/>
        </w:rPr>
        <w:t xml:space="preserve"> С. 72-76.  </w:t>
      </w:r>
    </w:p>
    <w:p w:rsidR="0080024C" w:rsidRPr="00D65B3A" w:rsidRDefault="0080024C" w:rsidP="0080024C">
      <w:pPr>
        <w:numPr>
          <w:ilvl w:val="0"/>
          <w:numId w:val="2"/>
        </w:numPr>
        <w:autoSpaceDE w:val="0"/>
        <w:autoSpaceDN w:val="0"/>
        <w:adjustRightInd w:val="0"/>
        <w:spacing w:line="360" w:lineRule="auto"/>
        <w:ind w:left="284" w:firstLine="0"/>
        <w:jc w:val="both"/>
        <w:rPr>
          <w:rFonts w:eastAsia="TimesNewRomanPSMT"/>
          <w:sz w:val="28"/>
          <w:szCs w:val="28"/>
          <w:lang w:val="uk-UA"/>
        </w:rPr>
      </w:pPr>
      <w:r w:rsidRPr="00D65B3A">
        <w:rPr>
          <w:rFonts w:eastAsia="TimesNewRomanPSMT"/>
          <w:sz w:val="28"/>
          <w:szCs w:val="28"/>
          <w:lang w:val="uk-UA"/>
        </w:rPr>
        <w:t xml:space="preserve">Геращенко І. І. Ентеросорбенти: лікарські засоби і дієтичні добавки : науково-довідкове видання/ І. І. Геращенко. – К.: </w:t>
      </w:r>
      <w:hyperlink r:id="rId7" w:tgtFrame="_blank" w:history="1">
        <w:r w:rsidRPr="00D65B3A">
          <w:rPr>
            <w:rStyle w:val="a4"/>
            <w:color w:val="000000"/>
            <w:sz w:val="28"/>
            <w:szCs w:val="28"/>
            <w:lang w:val="uk-UA"/>
          </w:rPr>
          <w:t xml:space="preserve">Інститут хімії поверхні ім. </w:t>
        </w:r>
        <w:r w:rsidRPr="00D65B3A">
          <w:rPr>
            <w:rStyle w:val="a4"/>
            <w:color w:val="000000"/>
            <w:sz w:val="28"/>
            <w:szCs w:val="28"/>
          </w:rPr>
          <w:t>О. О. Чуйка</w:t>
        </w:r>
      </w:hyperlink>
      <w:r w:rsidRPr="00D65B3A">
        <w:rPr>
          <w:rFonts w:eastAsia="TimesNewRomanPSMT"/>
          <w:sz w:val="28"/>
          <w:szCs w:val="28"/>
          <w:lang w:val="uk-UA"/>
        </w:rPr>
        <w:t>, 2014. –</w:t>
      </w:r>
      <w:r w:rsidRPr="00D65B3A">
        <w:rPr>
          <w:rFonts w:eastAsia="TimesNewRomanPSMT"/>
          <w:sz w:val="28"/>
          <w:szCs w:val="28"/>
        </w:rPr>
        <w:t>249 с.</w:t>
      </w:r>
    </w:p>
    <w:p w:rsidR="0080024C" w:rsidRPr="00D65B3A" w:rsidRDefault="0080024C" w:rsidP="0080024C">
      <w:pPr>
        <w:numPr>
          <w:ilvl w:val="0"/>
          <w:numId w:val="2"/>
        </w:numPr>
        <w:spacing w:line="360" w:lineRule="auto"/>
        <w:ind w:left="284" w:firstLine="0"/>
        <w:jc w:val="both"/>
        <w:rPr>
          <w:sz w:val="28"/>
          <w:szCs w:val="28"/>
          <w:lang w:val="uk-UA"/>
        </w:rPr>
      </w:pPr>
      <w:r w:rsidRPr="00D65B3A">
        <w:rPr>
          <w:rStyle w:val="a5"/>
          <w:b w:val="0"/>
          <w:iCs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Голубовська О. А.  </w:t>
      </w:r>
      <w:r w:rsidRPr="00D65B3A">
        <w:rPr>
          <w:kern w:val="36"/>
          <w:sz w:val="28"/>
          <w:szCs w:val="28"/>
          <w:lang w:val="uk-UA"/>
        </w:rPr>
        <w:t xml:space="preserve">Гострі кишкові інфекції: сучасні методи інтенсивної терапії / </w:t>
      </w:r>
      <w:r w:rsidRPr="00D65B3A">
        <w:rPr>
          <w:rStyle w:val="a5"/>
          <w:b w:val="0"/>
          <w:iCs/>
          <w:sz w:val="28"/>
          <w:szCs w:val="28"/>
          <w:bdr w:val="none" w:sz="0" w:space="0" w:color="auto" w:frame="1"/>
          <w:shd w:val="clear" w:color="auto" w:fill="FFFFFF"/>
          <w:lang w:val="uk-UA"/>
        </w:rPr>
        <w:t>О. А.</w:t>
      </w:r>
      <w:r w:rsidRPr="00D65B3A">
        <w:rPr>
          <w:rStyle w:val="a5"/>
          <w:b w:val="0"/>
          <w:iCs/>
          <w:sz w:val="28"/>
          <w:szCs w:val="28"/>
          <w:bdr w:val="none" w:sz="0" w:space="0" w:color="auto" w:frame="1"/>
          <w:shd w:val="clear" w:color="auto" w:fill="FFFFFF"/>
        </w:rPr>
        <w:t> </w:t>
      </w:r>
      <w:r w:rsidRPr="00D65B3A">
        <w:rPr>
          <w:rStyle w:val="a5"/>
          <w:b w:val="0"/>
          <w:iCs/>
          <w:sz w:val="28"/>
          <w:szCs w:val="28"/>
          <w:bdr w:val="none" w:sz="0" w:space="0" w:color="auto" w:frame="1"/>
          <w:shd w:val="clear" w:color="auto" w:fill="FFFFFF"/>
          <w:lang w:val="uk-UA"/>
        </w:rPr>
        <w:t>Голубовська, О. А.</w:t>
      </w:r>
      <w:r w:rsidRPr="00D65B3A">
        <w:rPr>
          <w:rStyle w:val="a5"/>
          <w:b w:val="0"/>
          <w:iCs/>
          <w:sz w:val="28"/>
          <w:szCs w:val="28"/>
          <w:bdr w:val="none" w:sz="0" w:space="0" w:color="auto" w:frame="1"/>
          <w:shd w:val="clear" w:color="auto" w:fill="FFFFFF"/>
        </w:rPr>
        <w:t> </w:t>
      </w:r>
      <w:r w:rsidRPr="00D65B3A">
        <w:rPr>
          <w:rStyle w:val="a5"/>
          <w:b w:val="0"/>
          <w:iCs/>
          <w:sz w:val="28"/>
          <w:szCs w:val="28"/>
          <w:bdr w:val="none" w:sz="0" w:space="0" w:color="auto" w:frame="1"/>
          <w:shd w:val="clear" w:color="auto" w:fill="FFFFFF"/>
          <w:lang w:val="uk-UA"/>
        </w:rPr>
        <w:t>Галушко</w:t>
      </w:r>
      <w:r w:rsidRPr="00D65B3A">
        <w:rPr>
          <w:kern w:val="36"/>
          <w:sz w:val="28"/>
          <w:szCs w:val="28"/>
          <w:lang w:val="uk-UA"/>
        </w:rPr>
        <w:t xml:space="preserve"> </w:t>
      </w:r>
      <w:r w:rsidRPr="00D65B3A">
        <w:rPr>
          <w:rStyle w:val="a5"/>
          <w:i/>
          <w:iCs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// </w:t>
      </w:r>
      <w:r w:rsidRPr="00D65B3A">
        <w:rPr>
          <w:sz w:val="28"/>
          <w:szCs w:val="28"/>
          <w:lang w:val="uk-UA"/>
        </w:rPr>
        <w:t>Академия инфузионной терапии. 2016. – №2. – С.15-18.</w:t>
      </w:r>
    </w:p>
    <w:p w:rsidR="0080024C" w:rsidRPr="00D65B3A" w:rsidRDefault="0080024C" w:rsidP="0080024C">
      <w:pPr>
        <w:pStyle w:val="a6"/>
        <w:numPr>
          <w:ilvl w:val="0"/>
          <w:numId w:val="2"/>
        </w:numPr>
        <w:spacing w:after="0" w:line="360" w:lineRule="auto"/>
        <w:ind w:left="284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D65B3A">
        <w:rPr>
          <w:rFonts w:ascii="Times New Roman" w:hAnsi="Times New Roman"/>
          <w:sz w:val="28"/>
          <w:szCs w:val="28"/>
          <w:lang w:val="uk-UA"/>
        </w:rPr>
        <w:lastRenderedPageBreak/>
        <w:t>Горбачова В. В. Клініко-прогностичне значення  стану обміну заліза при хронічній серцевій недостатності / В. В. Горбачова: автореф…дис.. канд..мед.н. : 14.01.11 «Кардіологія». – Київ, 2019. – 22 с.</w:t>
      </w:r>
    </w:p>
    <w:p w:rsidR="0080024C" w:rsidRPr="00D65B3A" w:rsidRDefault="0080024C" w:rsidP="0080024C">
      <w:pPr>
        <w:numPr>
          <w:ilvl w:val="0"/>
          <w:numId w:val="2"/>
        </w:numPr>
        <w:spacing w:line="360" w:lineRule="auto"/>
        <w:ind w:left="284" w:firstLine="0"/>
        <w:jc w:val="both"/>
        <w:rPr>
          <w:sz w:val="28"/>
          <w:szCs w:val="28"/>
          <w:lang w:val="uk-UA"/>
        </w:rPr>
      </w:pPr>
      <w:r w:rsidRPr="00D65B3A">
        <w:rPr>
          <w:sz w:val="28"/>
          <w:szCs w:val="28"/>
          <w:lang w:val="uk-UA"/>
        </w:rPr>
        <w:t>Горчакова Н. О. ,  Вивчення фармакологічної активності та безпечності препарату Ентеросгель ] / Н. О. Горчакова, І. С. Чекман, В. В. Бабак [та ін.] // Мистецтво лікування. – 2005. – № 6. – С. 76–77.</w:t>
      </w:r>
    </w:p>
    <w:p w:rsidR="0080024C" w:rsidRPr="00D65B3A" w:rsidRDefault="0080024C" w:rsidP="0080024C">
      <w:pPr>
        <w:numPr>
          <w:ilvl w:val="0"/>
          <w:numId w:val="2"/>
        </w:numPr>
        <w:spacing w:line="360" w:lineRule="auto"/>
        <w:ind w:left="284" w:firstLine="0"/>
        <w:jc w:val="both"/>
        <w:rPr>
          <w:sz w:val="28"/>
          <w:szCs w:val="28"/>
          <w:lang w:val="uk-UA"/>
        </w:rPr>
      </w:pPr>
      <w:r w:rsidRPr="00D65B3A">
        <w:rPr>
          <w:sz w:val="28"/>
          <w:szCs w:val="28"/>
          <w:lang w:val="uk-UA"/>
        </w:rPr>
        <w:t xml:space="preserve">Гринь Н. В. Клініко-лабораторна оцінка ефективності комплексного лікування хворих на рак гортаноглотки із застосуванням аргінінвмісних препаратів та методу ентеросорбції: авторф.дис. … канд..мед.н.:14.01.19  «Оториноларингологія». – Київ, 2021. – 22 с. </w:t>
      </w:r>
    </w:p>
    <w:p w:rsidR="0080024C" w:rsidRPr="00D65B3A" w:rsidRDefault="0080024C" w:rsidP="0080024C">
      <w:pPr>
        <w:pStyle w:val="a6"/>
        <w:numPr>
          <w:ilvl w:val="0"/>
          <w:numId w:val="2"/>
        </w:numPr>
        <w:spacing w:after="0" w:line="360" w:lineRule="auto"/>
        <w:ind w:left="284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D65B3A">
        <w:rPr>
          <w:rFonts w:ascii="Times New Roman" w:hAnsi="Times New Roman"/>
          <w:sz w:val="28"/>
          <w:szCs w:val="28"/>
          <w:lang w:val="uk-UA"/>
        </w:rPr>
        <w:t>Губеня В. О. Порівняльна характеристика та ефективність застосування носіїв заліза для створення хлібобулочних виробів антианемічного призначення / В. О Губеня, М. М. Антонюк, Н. П. Бондар, Л. Ю. Арсеньєва // Обладнання та технології харчових виробництв. – 2012. – №28. – С.363-368.</w:t>
      </w:r>
    </w:p>
    <w:p w:rsidR="0080024C" w:rsidRPr="00D65B3A" w:rsidRDefault="0080024C" w:rsidP="0080024C">
      <w:pPr>
        <w:pStyle w:val="a6"/>
        <w:numPr>
          <w:ilvl w:val="0"/>
          <w:numId w:val="2"/>
        </w:numPr>
        <w:spacing w:after="0" w:line="360" w:lineRule="auto"/>
        <w:ind w:left="284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D65B3A">
        <w:rPr>
          <w:rFonts w:ascii="Times New Roman" w:hAnsi="Times New Roman"/>
          <w:sz w:val="28"/>
          <w:szCs w:val="28"/>
          <w:lang w:val="uk-UA"/>
        </w:rPr>
        <w:t xml:space="preserve">Губеня В. О. </w:t>
      </w:r>
      <w:r w:rsidRPr="00D65B3A">
        <w:rPr>
          <w:rFonts w:ascii="Times New Roman" w:hAnsi="Times New Roman"/>
          <w:sz w:val="28"/>
          <w:szCs w:val="28"/>
          <w:lang w:val="ru-RU"/>
        </w:rPr>
        <w:t>Технологія хлібобулочних виробів антианемічного призначення для закладів ресторанного господарства / В. О. Губеня: автореф. … канд.тех.н. : 05.18.16 – Технологія харчової продукції</w:t>
      </w:r>
      <w:r w:rsidRPr="00D65B3A">
        <w:rPr>
          <w:rFonts w:ascii="Times New Roman" w:hAnsi="Times New Roman"/>
          <w:sz w:val="28"/>
          <w:szCs w:val="28"/>
          <w:lang w:val="uk-UA"/>
        </w:rPr>
        <w:t>. – Київ, 2018. – 22 с.</w:t>
      </w:r>
    </w:p>
    <w:p w:rsidR="0080024C" w:rsidRPr="00D65B3A" w:rsidRDefault="0080024C" w:rsidP="0080024C">
      <w:pPr>
        <w:pStyle w:val="a6"/>
        <w:numPr>
          <w:ilvl w:val="0"/>
          <w:numId w:val="2"/>
        </w:numPr>
        <w:spacing w:after="0" w:line="360" w:lineRule="auto"/>
        <w:ind w:left="284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D65B3A">
        <w:rPr>
          <w:rFonts w:ascii="Times New Roman" w:hAnsi="Times New Roman"/>
          <w:sz w:val="28"/>
          <w:szCs w:val="28"/>
          <w:lang w:val="uk-UA"/>
        </w:rPr>
        <w:t>Гуніна Л. М. Роль інноваційної ліпосомальної форми пірофосфату заліза в корекції порушень транспорту кисню у представників олімпійських циклічних видів спорту (результати рандомізованого подвійного-сліпого плацебо-контрольованого дослідження) / Л. М. Гуніна,  С. І.Данильченко, О. В. Носач та ін.//  Український журнал медицини, біології та спорту. – 2020. – Том 5, № 5 (27). – С.90-104.</w:t>
      </w:r>
    </w:p>
    <w:p w:rsidR="0080024C" w:rsidRPr="00D65B3A" w:rsidRDefault="0080024C" w:rsidP="0080024C">
      <w:pPr>
        <w:numPr>
          <w:ilvl w:val="0"/>
          <w:numId w:val="2"/>
        </w:numPr>
        <w:shd w:val="clear" w:color="auto" w:fill="FFFFFF"/>
        <w:spacing w:line="360" w:lineRule="auto"/>
        <w:ind w:left="284" w:firstLine="0"/>
        <w:jc w:val="both"/>
        <w:rPr>
          <w:sz w:val="28"/>
          <w:szCs w:val="28"/>
          <w:lang w:val="uk-UA"/>
        </w:rPr>
      </w:pPr>
      <w:r w:rsidRPr="00D65B3A">
        <w:rPr>
          <w:sz w:val="28"/>
          <w:szCs w:val="28"/>
          <w:lang w:val="uk-UA"/>
        </w:rPr>
        <w:t>Гуріна  Н. М. Ентеросорбенти як засіб детоксикації організму  / Н. М. Гуріна, К. І. Бардахівська // Довкілля та здоров’я. – 2007. – № 3. – С. 64-66.</w:t>
      </w:r>
    </w:p>
    <w:p w:rsidR="0080024C" w:rsidRPr="00D65B3A" w:rsidRDefault="0080024C" w:rsidP="0080024C">
      <w:pPr>
        <w:numPr>
          <w:ilvl w:val="0"/>
          <w:numId w:val="2"/>
        </w:numPr>
        <w:autoSpaceDE w:val="0"/>
        <w:autoSpaceDN w:val="0"/>
        <w:adjustRightInd w:val="0"/>
        <w:spacing w:line="360" w:lineRule="auto"/>
        <w:ind w:left="284" w:firstLine="0"/>
        <w:jc w:val="both"/>
        <w:rPr>
          <w:rFonts w:eastAsia="TimesNewRomanPSMT"/>
          <w:sz w:val="28"/>
          <w:szCs w:val="28"/>
          <w:lang w:val="uk-UA"/>
        </w:rPr>
      </w:pPr>
      <w:r w:rsidRPr="00D65B3A">
        <w:rPr>
          <w:rFonts w:eastAsia="TimesNewRomanPSMT"/>
          <w:sz w:val="28"/>
          <w:szCs w:val="28"/>
          <w:lang w:val="uk-UA"/>
        </w:rPr>
        <w:t xml:space="preserve">Демків І. Я. Вплив ентеросорбенту «Альгігель» та карнітину хлориду на стан гуморальної ланки імунітету тварин з гострим отруєнням етанолом на </w:t>
      </w:r>
      <w:r w:rsidRPr="00D65B3A">
        <w:rPr>
          <w:rFonts w:eastAsia="TimesNewRomanPSMT"/>
          <w:sz w:val="28"/>
          <w:szCs w:val="28"/>
          <w:lang w:val="uk-UA"/>
        </w:rPr>
        <w:lastRenderedPageBreak/>
        <w:t>фоні тривалого введення солей свинцю і кадмію / І. Я. Демків // Світ медицини та біології. – 2008. –Ч. 3, № 2. – С. 17-19.</w:t>
      </w:r>
    </w:p>
    <w:p w:rsidR="0080024C" w:rsidRPr="00D65B3A" w:rsidRDefault="0080024C" w:rsidP="0080024C">
      <w:pPr>
        <w:numPr>
          <w:ilvl w:val="0"/>
          <w:numId w:val="2"/>
        </w:numPr>
        <w:autoSpaceDE w:val="0"/>
        <w:autoSpaceDN w:val="0"/>
        <w:adjustRightInd w:val="0"/>
        <w:spacing w:line="360" w:lineRule="auto"/>
        <w:ind w:left="284" w:firstLine="0"/>
        <w:jc w:val="both"/>
        <w:rPr>
          <w:rFonts w:eastAsia="TimesNewRomanPSMT"/>
          <w:sz w:val="28"/>
          <w:szCs w:val="28"/>
          <w:lang w:val="uk-UA"/>
        </w:rPr>
      </w:pPr>
      <w:r w:rsidRPr="00D65B3A">
        <w:rPr>
          <w:rFonts w:eastAsia="TimesNewRomanPSMT"/>
          <w:sz w:val="28"/>
          <w:szCs w:val="28"/>
        </w:rPr>
        <w:t>Демченко П.І. Біопрофілактика як пріоритетна проблема профілактичної</w:t>
      </w:r>
    </w:p>
    <w:p w:rsidR="0080024C" w:rsidRPr="00D65B3A" w:rsidRDefault="0080024C" w:rsidP="0080024C">
      <w:pPr>
        <w:autoSpaceDE w:val="0"/>
        <w:autoSpaceDN w:val="0"/>
        <w:adjustRightInd w:val="0"/>
        <w:spacing w:line="360" w:lineRule="auto"/>
        <w:ind w:left="284"/>
        <w:jc w:val="both"/>
        <w:rPr>
          <w:rFonts w:eastAsia="TimesNewRomanPSMT"/>
          <w:sz w:val="28"/>
          <w:szCs w:val="28"/>
        </w:rPr>
      </w:pPr>
      <w:r w:rsidRPr="00D65B3A">
        <w:rPr>
          <w:rFonts w:eastAsia="TimesNewRomanPSMT"/>
          <w:sz w:val="28"/>
          <w:szCs w:val="28"/>
        </w:rPr>
        <w:t>медицини на прикладі пектинів // Тез. докл. науч.-практ. конф. «Биологически активные вещества: фундаментальные и прикладные вопросы получения и применения» (25 – 30 мая, 2009 г., пос. Новый Свет, Украина). – Київ,  2009. – С. 253.</w:t>
      </w:r>
    </w:p>
    <w:p w:rsidR="0080024C" w:rsidRPr="00D65B3A" w:rsidRDefault="0080024C" w:rsidP="0080024C">
      <w:pPr>
        <w:pStyle w:val="a3"/>
        <w:numPr>
          <w:ilvl w:val="0"/>
          <w:numId w:val="2"/>
        </w:numPr>
        <w:spacing w:before="0" w:beforeAutospacing="0" w:after="0" w:afterAutospacing="0" w:line="360" w:lineRule="auto"/>
        <w:ind w:left="284" w:right="227" w:firstLine="0"/>
        <w:rPr>
          <w:sz w:val="28"/>
          <w:szCs w:val="28"/>
          <w:lang w:val="uk-UA"/>
        </w:rPr>
      </w:pPr>
      <w:r w:rsidRPr="00D65B3A">
        <w:rPr>
          <w:sz w:val="28"/>
          <w:szCs w:val="28"/>
          <w:shd w:val="clear" w:color="auto" w:fill="FFFFFF"/>
          <w:lang w:val="uk-UA"/>
        </w:rPr>
        <w:t xml:space="preserve">Демченко П. Пектин як дієтична добавка та адаптоген для зменшення ризику негативного впливу на організм забруднення довкілля важкими металами / П. Демченко, К. Козлов, В. Демченко // Збірник тез доповідей </w:t>
      </w:r>
      <w:r w:rsidRPr="00D65B3A">
        <w:rPr>
          <w:rFonts w:eastAsia="MS Mincho"/>
          <w:sz w:val="28"/>
          <w:szCs w:val="28"/>
          <w:shd w:val="clear" w:color="auto" w:fill="FFFFFF"/>
          <w:lang w:val="uk-UA"/>
        </w:rPr>
        <w:t>ХІІ</w:t>
      </w:r>
      <w:r w:rsidRPr="00D65B3A">
        <w:rPr>
          <w:sz w:val="28"/>
          <w:szCs w:val="28"/>
          <w:shd w:val="clear" w:color="auto" w:fill="FFFFFF"/>
          <w:lang w:val="uk-UA"/>
        </w:rPr>
        <w:t xml:space="preserve"> міжнародної науково-технічної конференції „Стан і перспективи харчової науки та промисловості“, 10-11 жовтня 2019 року. </w:t>
      </w:r>
      <w:r w:rsidRPr="00D65B3A">
        <w:rPr>
          <w:sz w:val="28"/>
          <w:szCs w:val="28"/>
          <w:lang w:val="uk-UA"/>
        </w:rPr>
        <w:t>–</w:t>
      </w:r>
      <w:r w:rsidRPr="00D65B3A">
        <w:rPr>
          <w:sz w:val="28"/>
          <w:szCs w:val="28"/>
          <w:shd w:val="clear" w:color="auto" w:fill="FFFFFF"/>
          <w:lang w:val="uk-UA"/>
        </w:rPr>
        <w:t xml:space="preserve"> Т. : ТНТУ, 2019. </w:t>
      </w:r>
      <w:r w:rsidRPr="00D65B3A">
        <w:rPr>
          <w:sz w:val="28"/>
          <w:szCs w:val="28"/>
          <w:lang w:val="uk-UA"/>
        </w:rPr>
        <w:t>–</w:t>
      </w:r>
      <w:r w:rsidRPr="00D65B3A">
        <w:rPr>
          <w:sz w:val="28"/>
          <w:szCs w:val="28"/>
          <w:shd w:val="clear" w:color="auto" w:fill="FFFFFF"/>
          <w:lang w:val="uk-UA"/>
        </w:rPr>
        <w:t xml:space="preserve"> С. 162. </w:t>
      </w:r>
    </w:p>
    <w:p w:rsidR="0080024C" w:rsidRPr="00D65B3A" w:rsidRDefault="0080024C" w:rsidP="0080024C">
      <w:pPr>
        <w:pStyle w:val="a3"/>
        <w:numPr>
          <w:ilvl w:val="0"/>
          <w:numId w:val="2"/>
        </w:numPr>
        <w:shd w:val="clear" w:color="auto" w:fill="FFFFFF"/>
        <w:spacing w:before="0" w:beforeAutospacing="0" w:after="0" w:afterAutospacing="0" w:line="360" w:lineRule="auto"/>
        <w:ind w:left="284" w:firstLine="0"/>
        <w:rPr>
          <w:color w:val="292B2C"/>
          <w:sz w:val="28"/>
          <w:szCs w:val="28"/>
          <w:shd w:val="clear" w:color="auto" w:fill="FFFFFF"/>
          <w:lang w:val="uk-UA"/>
        </w:rPr>
      </w:pPr>
      <w:r w:rsidRPr="00D65B3A">
        <w:rPr>
          <w:color w:val="292B2C"/>
          <w:sz w:val="28"/>
          <w:szCs w:val="28"/>
          <w:shd w:val="clear" w:color="auto" w:fill="FFFFFF"/>
        </w:rPr>
        <w:t xml:space="preserve">Денисова М. Ф. </w:t>
      </w:r>
      <w:r w:rsidRPr="00D65B3A">
        <w:rPr>
          <w:bCs/>
          <w:color w:val="292B2C"/>
          <w:sz w:val="28"/>
          <w:szCs w:val="28"/>
          <w:lang w:eastAsia="en-US"/>
        </w:rPr>
        <w:t>Энтерособция в комплексном лечении соматических заболеваний у детей</w:t>
      </w:r>
      <w:r w:rsidRPr="00D65B3A">
        <w:rPr>
          <w:bCs/>
          <w:color w:val="292B2C"/>
          <w:sz w:val="28"/>
          <w:szCs w:val="28"/>
          <w:lang w:val="uk-UA" w:eastAsia="en-US"/>
        </w:rPr>
        <w:t xml:space="preserve"> / </w:t>
      </w:r>
      <w:r w:rsidRPr="00D65B3A">
        <w:rPr>
          <w:color w:val="292B2C"/>
          <w:sz w:val="28"/>
          <w:szCs w:val="28"/>
          <w:shd w:val="clear" w:color="auto" w:fill="FFFFFF"/>
        </w:rPr>
        <w:t>М. Ф.</w:t>
      </w:r>
      <w:r w:rsidRPr="00D65B3A">
        <w:rPr>
          <w:color w:val="292B2C"/>
          <w:sz w:val="28"/>
          <w:szCs w:val="28"/>
          <w:shd w:val="clear" w:color="auto" w:fill="FFFFFF"/>
          <w:lang w:val="uk-UA"/>
        </w:rPr>
        <w:t xml:space="preserve"> </w:t>
      </w:r>
      <w:r w:rsidRPr="00D65B3A">
        <w:rPr>
          <w:color w:val="292B2C"/>
          <w:sz w:val="28"/>
          <w:szCs w:val="28"/>
          <w:shd w:val="clear" w:color="auto" w:fill="FFFFFF"/>
        </w:rPr>
        <w:t>Денисова</w:t>
      </w:r>
      <w:r w:rsidRPr="00D65B3A">
        <w:rPr>
          <w:color w:val="292B2C"/>
          <w:sz w:val="28"/>
          <w:szCs w:val="28"/>
          <w:shd w:val="clear" w:color="auto" w:fill="FFFFFF"/>
          <w:lang w:val="uk-UA"/>
        </w:rPr>
        <w:t xml:space="preserve">, Л.И. </w:t>
      </w:r>
      <w:r w:rsidRPr="00D65B3A">
        <w:rPr>
          <w:color w:val="292B2C"/>
          <w:sz w:val="28"/>
          <w:szCs w:val="28"/>
          <w:shd w:val="clear" w:color="auto" w:fill="FFFFFF"/>
        </w:rPr>
        <w:t xml:space="preserve">Омельченко, </w:t>
      </w:r>
      <w:r w:rsidRPr="00D65B3A">
        <w:rPr>
          <w:color w:val="292B2C"/>
          <w:sz w:val="28"/>
          <w:szCs w:val="28"/>
          <w:shd w:val="clear" w:color="auto" w:fill="FFFFFF"/>
          <w:lang w:val="uk-UA"/>
        </w:rPr>
        <w:t xml:space="preserve">О. Г. </w:t>
      </w:r>
      <w:r w:rsidRPr="00D65B3A">
        <w:rPr>
          <w:color w:val="292B2C"/>
          <w:sz w:val="28"/>
          <w:szCs w:val="28"/>
          <w:shd w:val="clear" w:color="auto" w:fill="FFFFFF"/>
        </w:rPr>
        <w:t>Шадрин</w:t>
      </w:r>
      <w:r w:rsidRPr="00D65B3A">
        <w:rPr>
          <w:color w:val="292B2C"/>
          <w:sz w:val="28"/>
          <w:szCs w:val="28"/>
          <w:shd w:val="clear" w:color="auto" w:fill="FFFFFF"/>
          <w:lang w:val="uk-UA"/>
        </w:rPr>
        <w:t xml:space="preserve"> </w:t>
      </w:r>
      <w:r w:rsidRPr="00D65B3A">
        <w:rPr>
          <w:color w:val="292B2C"/>
          <w:sz w:val="28"/>
          <w:szCs w:val="28"/>
          <w:shd w:val="clear" w:color="auto" w:fill="FFFFFF"/>
        </w:rPr>
        <w:t xml:space="preserve"> </w:t>
      </w:r>
      <w:r w:rsidRPr="00D65B3A">
        <w:rPr>
          <w:b/>
          <w:bCs/>
          <w:color w:val="292B2C"/>
          <w:sz w:val="28"/>
          <w:szCs w:val="28"/>
          <w:lang w:val="uk-UA" w:eastAsia="en-US"/>
        </w:rPr>
        <w:t>//</w:t>
      </w:r>
      <w:r w:rsidRPr="00D65B3A">
        <w:rPr>
          <w:color w:val="292B2C"/>
          <w:sz w:val="28"/>
          <w:szCs w:val="28"/>
          <w:shd w:val="clear" w:color="auto" w:fill="FFFFFF"/>
          <w:lang w:val="uk-UA"/>
        </w:rPr>
        <w:t xml:space="preserve"> Р</w:t>
      </w:r>
      <w:r w:rsidRPr="00D65B3A">
        <w:rPr>
          <w:color w:val="292B2C"/>
          <w:sz w:val="28"/>
          <w:szCs w:val="28"/>
          <w:shd w:val="clear" w:color="auto" w:fill="FFFFFF"/>
        </w:rPr>
        <w:t>erinatologiya i pediatriya.</w:t>
      </w:r>
      <w:r w:rsidRPr="00D65B3A">
        <w:rPr>
          <w:color w:val="292B2C"/>
          <w:sz w:val="28"/>
          <w:szCs w:val="28"/>
          <w:shd w:val="clear" w:color="auto" w:fill="FFFFFF"/>
          <w:lang w:val="uk-UA"/>
        </w:rPr>
        <w:t xml:space="preserve"> </w:t>
      </w:r>
      <w:r w:rsidRPr="00D65B3A">
        <w:rPr>
          <w:sz w:val="28"/>
          <w:szCs w:val="28"/>
          <w:lang w:val="uk-UA"/>
        </w:rPr>
        <w:t>–</w:t>
      </w:r>
      <w:r w:rsidRPr="00D65B3A">
        <w:rPr>
          <w:color w:val="292B2C"/>
          <w:sz w:val="28"/>
          <w:szCs w:val="28"/>
          <w:shd w:val="clear" w:color="auto" w:fill="FFFFFF"/>
          <w:lang w:val="uk-UA"/>
        </w:rPr>
        <w:t xml:space="preserve"> </w:t>
      </w:r>
      <w:r w:rsidRPr="00D65B3A">
        <w:rPr>
          <w:color w:val="292B2C"/>
          <w:sz w:val="28"/>
          <w:szCs w:val="28"/>
          <w:shd w:val="clear" w:color="auto" w:fill="FFFFFF"/>
        </w:rPr>
        <w:t>2013.</w:t>
      </w:r>
      <w:r w:rsidRPr="00D65B3A">
        <w:rPr>
          <w:sz w:val="28"/>
          <w:szCs w:val="28"/>
          <w:lang w:val="uk-UA"/>
        </w:rPr>
        <w:t xml:space="preserve"> –</w:t>
      </w:r>
      <w:r w:rsidRPr="00D65B3A">
        <w:rPr>
          <w:color w:val="292B2C"/>
          <w:sz w:val="28"/>
          <w:szCs w:val="28"/>
          <w:shd w:val="clear" w:color="auto" w:fill="FFFFFF"/>
          <w:lang w:val="uk-UA"/>
        </w:rPr>
        <w:t xml:space="preserve"> №</w:t>
      </w:r>
      <w:r w:rsidRPr="00D65B3A">
        <w:rPr>
          <w:color w:val="292B2C"/>
          <w:sz w:val="28"/>
          <w:szCs w:val="28"/>
          <w:shd w:val="clear" w:color="auto" w:fill="FFFFFF"/>
        </w:rPr>
        <w:t>4(56)</w:t>
      </w:r>
      <w:r w:rsidRPr="00D65B3A">
        <w:rPr>
          <w:color w:val="292B2C"/>
          <w:sz w:val="28"/>
          <w:szCs w:val="28"/>
          <w:shd w:val="clear" w:color="auto" w:fill="FFFFFF"/>
          <w:lang w:val="uk-UA"/>
        </w:rPr>
        <w:t xml:space="preserve">. </w:t>
      </w:r>
      <w:r w:rsidRPr="00D65B3A">
        <w:rPr>
          <w:sz w:val="28"/>
          <w:szCs w:val="28"/>
          <w:lang w:val="uk-UA"/>
        </w:rPr>
        <w:t xml:space="preserve">– </w:t>
      </w:r>
      <w:r w:rsidRPr="00D65B3A">
        <w:rPr>
          <w:color w:val="292B2C"/>
          <w:sz w:val="28"/>
          <w:szCs w:val="28"/>
          <w:shd w:val="clear" w:color="auto" w:fill="FFFFFF"/>
          <w:lang w:val="uk-UA"/>
        </w:rPr>
        <w:t>С.</w:t>
      </w:r>
      <w:r w:rsidRPr="00D65B3A">
        <w:rPr>
          <w:color w:val="292B2C"/>
          <w:sz w:val="28"/>
          <w:szCs w:val="28"/>
          <w:shd w:val="clear" w:color="auto" w:fill="FFFFFF"/>
        </w:rPr>
        <w:t>20</w:t>
      </w:r>
      <w:r w:rsidRPr="00D65B3A">
        <w:rPr>
          <w:color w:val="292B2C"/>
          <w:sz w:val="28"/>
          <w:szCs w:val="28"/>
          <w:shd w:val="clear" w:color="auto" w:fill="FFFFFF"/>
          <w:lang w:val="uk-UA"/>
        </w:rPr>
        <w:t>-</w:t>
      </w:r>
      <w:r w:rsidRPr="00D65B3A">
        <w:rPr>
          <w:color w:val="292B2C"/>
          <w:sz w:val="28"/>
          <w:szCs w:val="28"/>
          <w:shd w:val="clear" w:color="auto" w:fill="FFFFFF"/>
        </w:rPr>
        <w:t>24</w:t>
      </w:r>
      <w:r w:rsidRPr="00D65B3A">
        <w:rPr>
          <w:color w:val="292B2C"/>
          <w:sz w:val="28"/>
          <w:szCs w:val="28"/>
          <w:shd w:val="clear" w:color="auto" w:fill="FFFFFF"/>
          <w:lang w:val="uk-UA"/>
        </w:rPr>
        <w:t>.</w:t>
      </w:r>
    </w:p>
    <w:p w:rsidR="0080024C" w:rsidRPr="00D65B3A" w:rsidRDefault="0080024C" w:rsidP="0080024C">
      <w:pPr>
        <w:pStyle w:val="a3"/>
        <w:numPr>
          <w:ilvl w:val="0"/>
          <w:numId w:val="2"/>
        </w:numPr>
        <w:shd w:val="clear" w:color="auto" w:fill="FFFFFF"/>
        <w:spacing w:before="0" w:beforeAutospacing="0" w:after="0" w:afterAutospacing="0" w:line="360" w:lineRule="auto"/>
        <w:ind w:left="284" w:firstLine="0"/>
        <w:rPr>
          <w:color w:val="292B2C"/>
          <w:sz w:val="28"/>
          <w:szCs w:val="28"/>
          <w:shd w:val="clear" w:color="auto" w:fill="FFFFFF"/>
          <w:lang w:val="uk-UA"/>
        </w:rPr>
      </w:pPr>
      <w:r w:rsidRPr="00D65B3A">
        <w:rPr>
          <w:rFonts w:eastAsia="TimesNewRomanPSMT"/>
          <w:sz w:val="28"/>
          <w:szCs w:val="28"/>
          <w:lang w:val="uk-UA"/>
        </w:rPr>
        <w:t>Дерев’янко Л.П., Борисов Б.М., Соколовська О.П. Оцінка медико-біологічної дії еламіну з морської водорості ламінарії за результатами експериментальних та клінічних досліджень // Пробл. еколог. та мед. генетики і клін. імунології / Зб.наук. праць. – 2004. – Вип. 7(60). – С. 187-195.</w:t>
      </w:r>
    </w:p>
    <w:p w:rsidR="0080024C" w:rsidRPr="00D65B3A" w:rsidRDefault="0080024C" w:rsidP="0080024C">
      <w:pPr>
        <w:numPr>
          <w:ilvl w:val="0"/>
          <w:numId w:val="2"/>
        </w:numPr>
        <w:spacing w:line="360" w:lineRule="auto"/>
        <w:ind w:left="284" w:firstLine="0"/>
        <w:jc w:val="both"/>
        <w:rPr>
          <w:sz w:val="28"/>
          <w:szCs w:val="28"/>
          <w:lang w:val="uk-UA"/>
        </w:rPr>
      </w:pPr>
      <w:r w:rsidRPr="00D65B3A">
        <w:rPr>
          <w:sz w:val="28"/>
          <w:szCs w:val="28"/>
          <w:lang w:val="uk-UA"/>
        </w:rPr>
        <w:t>Деркач С. А. Корекція мікрофлори кишечнику дітей після захворювань, асоційованих з порушенням його біоценозу /С. А. Деркач, А. І. Носатенко, І. А. Воронкіна [та ін.] //Інфекційні хвороби. – 2009. – №1. – С.34-40.</w:t>
      </w:r>
    </w:p>
    <w:p w:rsidR="0080024C" w:rsidRPr="00D65B3A" w:rsidRDefault="0080024C" w:rsidP="0080024C">
      <w:pPr>
        <w:pStyle w:val="a6"/>
        <w:numPr>
          <w:ilvl w:val="0"/>
          <w:numId w:val="2"/>
        </w:numPr>
        <w:spacing w:after="0" w:line="360" w:lineRule="auto"/>
        <w:ind w:left="284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D65B3A">
        <w:rPr>
          <w:rFonts w:ascii="Times New Roman" w:hAnsi="Times New Roman"/>
          <w:sz w:val="28"/>
          <w:szCs w:val="28"/>
          <w:lang w:val="uk-UA"/>
        </w:rPr>
        <w:t xml:space="preserve">Деркач І. М. Ферум у складі кормових добавок, готових кормів та преміксів на фармацевтичному ринку в Україні / І. М.  Деркач, С. С.  Деркач, І. О. Сотніченко //Науковий вісник Львівського національного університету ветеринарної медицини та біотехнологій імені С. З. Ґжицького. Серія : Ветеринарні науки. – 2018. – Т. 20, № 83. – С. 290-294. </w:t>
      </w:r>
    </w:p>
    <w:p w:rsidR="0080024C" w:rsidRPr="00D65B3A" w:rsidRDefault="0080024C" w:rsidP="0080024C">
      <w:pPr>
        <w:pStyle w:val="a6"/>
        <w:numPr>
          <w:ilvl w:val="0"/>
          <w:numId w:val="2"/>
        </w:numPr>
        <w:spacing w:after="0" w:line="360" w:lineRule="auto"/>
        <w:ind w:left="284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D65B3A">
        <w:rPr>
          <w:rFonts w:ascii="Times New Roman" w:hAnsi="Times New Roman"/>
          <w:sz w:val="28"/>
          <w:szCs w:val="28"/>
          <w:lang w:val="uk-UA"/>
        </w:rPr>
        <w:lastRenderedPageBreak/>
        <w:t>Деркач І. М. Науково-експериментальне обґрунтування фармакологічної активності феруму : автореф.дис….докт.вет.н.: 16.00.04  «Ветеринарна фармакологія та токсикологія»ні науки) / І. М. Деркач. – Львів, 2023. – 32 с.</w:t>
      </w:r>
    </w:p>
    <w:p w:rsidR="0080024C" w:rsidRPr="00D65B3A" w:rsidRDefault="0080024C" w:rsidP="0080024C">
      <w:pPr>
        <w:pStyle w:val="a6"/>
        <w:numPr>
          <w:ilvl w:val="0"/>
          <w:numId w:val="2"/>
        </w:numPr>
        <w:spacing w:after="0" w:line="360" w:lineRule="auto"/>
        <w:ind w:left="284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D65B3A">
        <w:rPr>
          <w:rFonts w:ascii="Times New Roman" w:hAnsi="Times New Roman"/>
          <w:sz w:val="28"/>
          <w:szCs w:val="28"/>
          <w:lang w:val="uk-UA"/>
        </w:rPr>
        <w:t>Дослідження крові тварин та клінічна інтерпретація отриманих результатів: Методичні рекомендації для студентів факультету ветеринарної медицини / В.І. Левченко, В.М. Соколюк, В.М. Безух та ін. – Біла Церква, 2002. – 56 с.</w:t>
      </w:r>
    </w:p>
    <w:p w:rsidR="0080024C" w:rsidRPr="00D65B3A" w:rsidRDefault="0080024C" w:rsidP="0080024C">
      <w:pPr>
        <w:pStyle w:val="a6"/>
        <w:numPr>
          <w:ilvl w:val="0"/>
          <w:numId w:val="2"/>
        </w:numPr>
        <w:spacing w:after="0" w:line="360" w:lineRule="auto"/>
        <w:ind w:left="284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D65B3A">
        <w:rPr>
          <w:rFonts w:ascii="Times New Roman" w:hAnsi="Times New Roman"/>
          <w:sz w:val="28"/>
          <w:szCs w:val="28"/>
          <w:lang w:val="uk-UA"/>
        </w:rPr>
        <w:t>Духницький В. Б.  Клатрохелат Феруму(</w:t>
      </w:r>
      <w:r w:rsidRPr="00D65B3A">
        <w:rPr>
          <w:rFonts w:ascii="Times New Roman" w:hAnsi="Times New Roman"/>
          <w:sz w:val="28"/>
          <w:szCs w:val="28"/>
        </w:rPr>
        <w:t>IV</w:t>
      </w:r>
      <w:r w:rsidRPr="00D65B3A">
        <w:rPr>
          <w:rFonts w:ascii="Times New Roman" w:hAnsi="Times New Roman"/>
          <w:sz w:val="28"/>
          <w:szCs w:val="28"/>
          <w:lang w:val="uk-UA"/>
        </w:rPr>
        <w:t>): фізико-хімічні властивості та фармакотоксикологічна характеристика: [монографія] / В. Б. Духницький, І. О. Фрицький, І. М. Деркач, М. О. Плутенко, С. С. Деркач, В. М. Лозовий.  –</w:t>
      </w:r>
      <w:r w:rsidRPr="00D65B3A">
        <w:rPr>
          <w:rFonts w:ascii="Times New Roman" w:hAnsi="Times New Roman"/>
          <w:sz w:val="28"/>
          <w:szCs w:val="28"/>
        </w:rPr>
        <w:t xml:space="preserve">К., 2020. </w:t>
      </w:r>
      <w:r w:rsidRPr="00D65B3A">
        <w:rPr>
          <w:rFonts w:ascii="Times New Roman" w:hAnsi="Times New Roman"/>
          <w:sz w:val="28"/>
          <w:szCs w:val="28"/>
          <w:lang w:val="uk-UA"/>
        </w:rPr>
        <w:t>–</w:t>
      </w:r>
      <w:r w:rsidRPr="00D65B3A">
        <w:rPr>
          <w:rFonts w:ascii="Times New Roman" w:hAnsi="Times New Roman"/>
          <w:sz w:val="28"/>
          <w:szCs w:val="28"/>
        </w:rPr>
        <w:t xml:space="preserve">110 с. </w:t>
      </w:r>
    </w:p>
    <w:p w:rsidR="0080024C" w:rsidRPr="00D65B3A" w:rsidRDefault="0080024C" w:rsidP="0080024C">
      <w:pPr>
        <w:pStyle w:val="a6"/>
        <w:numPr>
          <w:ilvl w:val="0"/>
          <w:numId w:val="2"/>
        </w:numPr>
        <w:spacing w:after="0" w:line="360" w:lineRule="auto"/>
        <w:ind w:left="284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D65B3A">
        <w:rPr>
          <w:rFonts w:ascii="Times New Roman" w:hAnsi="Times New Roman"/>
          <w:sz w:val="28"/>
          <w:szCs w:val="28"/>
          <w:lang w:val="uk-UA"/>
        </w:rPr>
        <w:t>Духницький В. Б. Визначення параметрів гострої токсичності феруму (</w:t>
      </w:r>
      <w:r w:rsidRPr="00D65B3A">
        <w:rPr>
          <w:rFonts w:ascii="Times New Roman" w:hAnsi="Times New Roman"/>
          <w:sz w:val="28"/>
          <w:szCs w:val="28"/>
        </w:rPr>
        <w:t>IV</w:t>
      </w:r>
      <w:r w:rsidRPr="00D65B3A">
        <w:rPr>
          <w:rFonts w:ascii="Times New Roman" w:hAnsi="Times New Roman"/>
          <w:sz w:val="28"/>
          <w:szCs w:val="28"/>
          <w:lang w:val="uk-UA"/>
        </w:rPr>
        <w:t xml:space="preserve">) на білих мишах / В. Б. Духницький, І. М. Деркач, М. О. Плутенко та ін. // </w:t>
      </w:r>
      <w:r w:rsidRPr="00D65B3A">
        <w:rPr>
          <w:rFonts w:ascii="Times New Roman" w:hAnsi="Times New Roman"/>
          <w:sz w:val="28"/>
          <w:szCs w:val="28"/>
        </w:rPr>
        <w:t>Ukrainian</w:t>
      </w:r>
      <w:r w:rsidRPr="00D65B3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65B3A">
        <w:rPr>
          <w:rFonts w:ascii="Times New Roman" w:hAnsi="Times New Roman"/>
          <w:sz w:val="28"/>
          <w:szCs w:val="28"/>
        </w:rPr>
        <w:t>Journal</w:t>
      </w:r>
      <w:r w:rsidRPr="00D65B3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65B3A">
        <w:rPr>
          <w:rFonts w:ascii="Times New Roman" w:hAnsi="Times New Roman"/>
          <w:sz w:val="28"/>
          <w:szCs w:val="28"/>
        </w:rPr>
        <w:t>of</w:t>
      </w:r>
      <w:r w:rsidRPr="00D65B3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65B3A">
        <w:rPr>
          <w:rFonts w:ascii="Times New Roman" w:hAnsi="Times New Roman"/>
          <w:sz w:val="28"/>
          <w:szCs w:val="28"/>
        </w:rPr>
        <w:t>Ecology</w:t>
      </w:r>
      <w:r w:rsidRPr="00D65B3A">
        <w:rPr>
          <w:rFonts w:ascii="Times New Roman" w:hAnsi="Times New Roman"/>
          <w:sz w:val="28"/>
          <w:szCs w:val="28"/>
          <w:lang w:val="uk-UA"/>
        </w:rPr>
        <w:t>. – 2018. – №8(2). – С. 301-307.</w:t>
      </w:r>
    </w:p>
    <w:p w:rsidR="0080024C" w:rsidRPr="00D65B3A" w:rsidRDefault="0080024C" w:rsidP="0080024C">
      <w:pPr>
        <w:pStyle w:val="a6"/>
        <w:numPr>
          <w:ilvl w:val="0"/>
          <w:numId w:val="2"/>
        </w:numPr>
        <w:spacing w:after="0" w:line="360" w:lineRule="auto"/>
        <w:ind w:left="284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D65B3A">
        <w:rPr>
          <w:rFonts w:ascii="Times New Roman" w:hAnsi="Times New Roman"/>
          <w:sz w:val="28"/>
          <w:szCs w:val="28"/>
          <w:lang w:val="uk-UA"/>
        </w:rPr>
        <w:t>Духницький В. Б. Протианемічна дія препаратів феруму у поросят / В. Б. Духницький, І. М. Деркач, С. С.  Деркач, І. О.  Фрицький, М. О. Плутенко.</w:t>
      </w:r>
      <w:r w:rsidRPr="00D65B3A">
        <w:rPr>
          <w:rFonts w:ascii="Times New Roman" w:hAnsi="Times New Roman"/>
          <w:sz w:val="28"/>
          <w:szCs w:val="28"/>
          <w:lang w:val="ru-RU"/>
        </w:rPr>
        <w:t xml:space="preserve"> –</w:t>
      </w:r>
      <w:r w:rsidRPr="00D65B3A">
        <w:rPr>
          <w:rFonts w:ascii="Times New Roman" w:hAnsi="Times New Roman"/>
          <w:sz w:val="28"/>
          <w:szCs w:val="28"/>
          <w:lang w:val="uk-UA"/>
        </w:rPr>
        <w:t xml:space="preserve">   Вісник Сумського національного аграрного університету. Серія : Ветеринарна медицина. </w:t>
      </w:r>
      <w:r w:rsidRPr="00D65B3A">
        <w:rPr>
          <w:rFonts w:ascii="Times New Roman" w:hAnsi="Times New Roman"/>
          <w:sz w:val="28"/>
          <w:szCs w:val="28"/>
          <w:lang w:val="ru-RU"/>
        </w:rPr>
        <w:t>–</w:t>
      </w:r>
      <w:r w:rsidRPr="00D65B3A">
        <w:rPr>
          <w:rFonts w:ascii="Times New Roman" w:hAnsi="Times New Roman"/>
          <w:sz w:val="28"/>
          <w:szCs w:val="28"/>
          <w:lang w:val="uk-UA"/>
        </w:rPr>
        <w:t xml:space="preserve">2020. </w:t>
      </w:r>
      <w:r w:rsidRPr="00D65B3A">
        <w:rPr>
          <w:rFonts w:ascii="Times New Roman" w:hAnsi="Times New Roman"/>
          <w:sz w:val="28"/>
          <w:szCs w:val="28"/>
        </w:rPr>
        <w:t>–</w:t>
      </w:r>
      <w:r w:rsidRPr="00D65B3A">
        <w:rPr>
          <w:rFonts w:ascii="Times New Roman" w:hAnsi="Times New Roman"/>
          <w:sz w:val="28"/>
          <w:szCs w:val="28"/>
          <w:lang w:val="uk-UA"/>
        </w:rPr>
        <w:t xml:space="preserve"> № 4 (51). </w:t>
      </w:r>
      <w:r w:rsidRPr="00D65B3A">
        <w:rPr>
          <w:rFonts w:ascii="Times New Roman" w:hAnsi="Times New Roman"/>
          <w:sz w:val="28"/>
          <w:szCs w:val="28"/>
        </w:rPr>
        <w:t>–</w:t>
      </w:r>
      <w:r w:rsidRPr="00D65B3A">
        <w:rPr>
          <w:rFonts w:ascii="Times New Roman" w:hAnsi="Times New Roman"/>
          <w:sz w:val="28"/>
          <w:szCs w:val="28"/>
          <w:lang w:val="uk-UA"/>
        </w:rPr>
        <w:t>С. 46-51.</w:t>
      </w:r>
    </w:p>
    <w:p w:rsidR="0080024C" w:rsidRPr="00D65B3A" w:rsidRDefault="0080024C" w:rsidP="0080024C">
      <w:pPr>
        <w:pStyle w:val="a6"/>
        <w:numPr>
          <w:ilvl w:val="0"/>
          <w:numId w:val="2"/>
        </w:numPr>
        <w:spacing w:after="0" w:line="360" w:lineRule="auto"/>
        <w:ind w:left="284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D65B3A">
        <w:rPr>
          <w:rFonts w:ascii="Times New Roman" w:hAnsi="Times New Roman"/>
          <w:sz w:val="28"/>
          <w:szCs w:val="28"/>
          <w:lang w:val="uk-UA"/>
        </w:rPr>
        <w:t>Зайченко Г. В. Залізо: біохімічні, фармакологічні, клінічні дані / Г. В.  Зайченко, Н. О. Горчакова, О. В. Шумейко, О. В. Клименко  // Український журнал медицини, біології та спорту – 2022 – Том 7, № 5 (39). – С. 21-27.</w:t>
      </w:r>
    </w:p>
    <w:p w:rsidR="0080024C" w:rsidRPr="00D65B3A" w:rsidRDefault="0080024C" w:rsidP="0080024C">
      <w:pPr>
        <w:pStyle w:val="a6"/>
        <w:numPr>
          <w:ilvl w:val="0"/>
          <w:numId w:val="2"/>
        </w:numPr>
        <w:spacing w:after="0" w:line="360" w:lineRule="auto"/>
        <w:ind w:left="284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D65B3A">
        <w:rPr>
          <w:rFonts w:ascii="Times New Roman" w:hAnsi="Times New Roman"/>
          <w:bCs/>
          <w:sz w:val="28"/>
          <w:szCs w:val="28"/>
          <w:lang w:val="uk-UA"/>
        </w:rPr>
        <w:t>Зюзін В. О. Статистичні методи</w:t>
      </w:r>
      <w:r w:rsidRPr="00D65B3A">
        <w:rPr>
          <w:rFonts w:ascii="Times New Roman" w:hAnsi="Times New Roman"/>
          <w:sz w:val="28"/>
          <w:szCs w:val="28"/>
          <w:lang w:val="uk-UA"/>
        </w:rPr>
        <w:t xml:space="preserve"> в охороні здоров'я та медицині : навчальний посібник для студентів і лікарів-інтернів ВНЗ </w:t>
      </w:r>
      <w:r w:rsidRPr="00D65B3A">
        <w:rPr>
          <w:rFonts w:ascii="Times New Roman" w:hAnsi="Times New Roman"/>
          <w:sz w:val="28"/>
          <w:szCs w:val="28"/>
        </w:rPr>
        <w:t>III</w:t>
      </w:r>
      <w:r w:rsidRPr="00D65B3A">
        <w:rPr>
          <w:rFonts w:ascii="Times New Roman" w:hAnsi="Times New Roman"/>
          <w:sz w:val="28"/>
          <w:szCs w:val="28"/>
          <w:lang w:val="uk-UA"/>
        </w:rPr>
        <w:t>-</w:t>
      </w:r>
      <w:r w:rsidRPr="00D65B3A">
        <w:rPr>
          <w:rFonts w:ascii="Times New Roman" w:hAnsi="Times New Roman"/>
          <w:sz w:val="28"/>
          <w:szCs w:val="28"/>
        </w:rPr>
        <w:t>IV</w:t>
      </w:r>
      <w:r w:rsidRPr="00D65B3A">
        <w:rPr>
          <w:rFonts w:ascii="Times New Roman" w:hAnsi="Times New Roman"/>
          <w:sz w:val="28"/>
          <w:szCs w:val="28"/>
          <w:lang w:val="uk-UA"/>
        </w:rPr>
        <w:t xml:space="preserve"> рівнів та лікарів. </w:t>
      </w:r>
      <w:r w:rsidRPr="00D65B3A">
        <w:rPr>
          <w:rFonts w:ascii="Times New Roman" w:hAnsi="Times New Roman"/>
          <w:sz w:val="28"/>
          <w:szCs w:val="28"/>
          <w:lang w:val="ru-RU"/>
        </w:rPr>
        <w:t>[2-е вид., доп.]</w:t>
      </w:r>
      <w:r w:rsidRPr="00D65B3A">
        <w:rPr>
          <w:rFonts w:ascii="Times New Roman" w:hAnsi="Times New Roman"/>
          <w:sz w:val="28"/>
          <w:szCs w:val="28"/>
          <w:lang w:val="uk-UA"/>
        </w:rPr>
        <w:t xml:space="preserve"> / В. О.</w:t>
      </w:r>
      <w:r w:rsidRPr="00D65B3A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D65B3A">
        <w:rPr>
          <w:rFonts w:ascii="Times New Roman" w:hAnsi="Times New Roman"/>
          <w:bCs/>
          <w:sz w:val="28"/>
          <w:szCs w:val="28"/>
          <w:lang w:val="uk-UA"/>
        </w:rPr>
        <w:t xml:space="preserve">Зюзін, А. В. </w:t>
      </w:r>
      <w:r w:rsidRPr="00D65B3A">
        <w:rPr>
          <w:rFonts w:ascii="Times New Roman" w:hAnsi="Times New Roman"/>
          <w:sz w:val="28"/>
          <w:szCs w:val="28"/>
          <w:lang w:val="uk-UA"/>
        </w:rPr>
        <w:t>Костріков</w:t>
      </w:r>
      <w:r w:rsidRPr="00D65B3A">
        <w:rPr>
          <w:rFonts w:ascii="Times New Roman" w:hAnsi="Times New Roman"/>
          <w:sz w:val="28"/>
          <w:szCs w:val="28"/>
        </w:rPr>
        <w:t> </w:t>
      </w:r>
      <w:r w:rsidRPr="00D65B3A">
        <w:rPr>
          <w:rFonts w:ascii="Times New Roman" w:hAnsi="Times New Roman"/>
          <w:sz w:val="28"/>
          <w:szCs w:val="28"/>
          <w:lang w:val="uk-UA"/>
        </w:rPr>
        <w:t xml:space="preserve">, В. Л. Філатова. </w:t>
      </w:r>
      <w:r w:rsidRPr="00D65B3A">
        <w:rPr>
          <w:rFonts w:ascii="Times New Roman" w:hAnsi="Times New Roman"/>
          <w:b/>
          <w:sz w:val="28"/>
          <w:szCs w:val="28"/>
          <w:bdr w:val="none" w:sz="0" w:space="0" w:color="auto" w:frame="1"/>
          <w:lang w:val="uk-UA"/>
        </w:rPr>
        <w:t>–</w:t>
      </w:r>
      <w:r w:rsidRPr="00D65B3A">
        <w:rPr>
          <w:rFonts w:ascii="Times New Roman" w:hAnsi="Times New Roman"/>
          <w:sz w:val="28"/>
          <w:szCs w:val="28"/>
        </w:rPr>
        <w:t> </w:t>
      </w:r>
      <w:r w:rsidRPr="00D65B3A">
        <w:rPr>
          <w:rFonts w:ascii="Times New Roman" w:hAnsi="Times New Roman"/>
          <w:sz w:val="28"/>
          <w:szCs w:val="28"/>
          <w:lang w:val="ru-RU"/>
        </w:rPr>
        <w:t xml:space="preserve"> Полтава</w:t>
      </w:r>
      <w:r w:rsidRPr="00D65B3A">
        <w:rPr>
          <w:rFonts w:ascii="Times New Roman" w:hAnsi="Times New Roman"/>
          <w:sz w:val="28"/>
          <w:szCs w:val="28"/>
          <w:lang w:val="uk-UA"/>
        </w:rPr>
        <w:t xml:space="preserve">,  </w:t>
      </w:r>
      <w:r w:rsidRPr="00D65B3A">
        <w:rPr>
          <w:rFonts w:ascii="Times New Roman" w:hAnsi="Times New Roman"/>
          <w:sz w:val="28"/>
          <w:szCs w:val="28"/>
          <w:lang w:val="ru-RU"/>
        </w:rPr>
        <w:t xml:space="preserve">2002. </w:t>
      </w:r>
      <w:r w:rsidRPr="00D65B3A">
        <w:rPr>
          <w:rFonts w:ascii="Times New Roman" w:hAnsi="Times New Roman"/>
          <w:b/>
          <w:sz w:val="28"/>
          <w:szCs w:val="28"/>
          <w:bdr w:val="none" w:sz="0" w:space="0" w:color="auto" w:frame="1"/>
          <w:lang w:val="uk-UA"/>
        </w:rPr>
        <w:t>–</w:t>
      </w:r>
      <w:r w:rsidRPr="00D65B3A">
        <w:rPr>
          <w:rFonts w:ascii="Times New Roman" w:hAnsi="Times New Roman"/>
          <w:sz w:val="28"/>
          <w:szCs w:val="28"/>
          <w:lang w:val="ru-RU"/>
        </w:rPr>
        <w:t xml:space="preserve"> 150 с.</w:t>
      </w:r>
    </w:p>
    <w:p w:rsidR="0080024C" w:rsidRPr="00D65B3A" w:rsidRDefault="0080024C" w:rsidP="0080024C">
      <w:pPr>
        <w:pStyle w:val="a6"/>
        <w:numPr>
          <w:ilvl w:val="0"/>
          <w:numId w:val="2"/>
        </w:numPr>
        <w:spacing w:after="0" w:line="360" w:lineRule="auto"/>
        <w:ind w:left="284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D65B3A">
        <w:rPr>
          <w:rFonts w:ascii="Times New Roman" w:hAnsi="Times New Roman"/>
          <w:sz w:val="28"/>
          <w:szCs w:val="28"/>
          <w:lang w:val="uk-UA"/>
        </w:rPr>
        <w:t>Іліка В. В. Патологічна анатомія хоріоамніоніту та базального децидуїту при залізодефіцитній анемії вагітних / В. В. Іліка : автореф. дис. … канд.мед.н., : 14.03.02  «Патологічна анатомія». –Львів, 2020. – 24 с.</w:t>
      </w:r>
    </w:p>
    <w:p w:rsidR="0080024C" w:rsidRPr="00D65B3A" w:rsidRDefault="0080024C" w:rsidP="0080024C">
      <w:pPr>
        <w:pStyle w:val="a3"/>
        <w:numPr>
          <w:ilvl w:val="0"/>
          <w:numId w:val="2"/>
        </w:numPr>
        <w:spacing w:before="0" w:beforeAutospacing="0" w:after="0" w:afterAutospacing="0" w:line="360" w:lineRule="auto"/>
        <w:ind w:left="284" w:right="300" w:firstLine="0"/>
        <w:rPr>
          <w:sz w:val="28"/>
          <w:szCs w:val="28"/>
          <w:lang w:val="uk-UA"/>
        </w:rPr>
      </w:pPr>
      <w:r w:rsidRPr="00D65B3A">
        <w:rPr>
          <w:sz w:val="28"/>
          <w:szCs w:val="28"/>
          <w:lang w:val="uk-UA"/>
        </w:rPr>
        <w:lastRenderedPageBreak/>
        <w:t>Козинець Г.П. Модулююча дія аплікаційної</w:t>
      </w:r>
      <w:r w:rsidRPr="00D65B3A">
        <w:rPr>
          <w:sz w:val="28"/>
          <w:szCs w:val="28"/>
        </w:rPr>
        <w:t> </w:t>
      </w:r>
      <w:r w:rsidRPr="00D65B3A">
        <w:rPr>
          <w:sz w:val="28"/>
          <w:szCs w:val="28"/>
          <w:lang w:val="uk-UA"/>
        </w:rPr>
        <w:t>сорбції на розвиток раннього процесу при опіках./ Г.П.</w:t>
      </w:r>
      <w:r w:rsidRPr="00D65B3A">
        <w:rPr>
          <w:sz w:val="28"/>
          <w:szCs w:val="28"/>
        </w:rPr>
        <w:t> </w:t>
      </w:r>
      <w:r w:rsidRPr="00D65B3A">
        <w:rPr>
          <w:sz w:val="28"/>
          <w:szCs w:val="28"/>
          <w:lang w:val="uk-UA"/>
        </w:rPr>
        <w:t>Козинець // Шпитальна хірургія. – 2004. –№4. –  С. 75-79.</w:t>
      </w:r>
    </w:p>
    <w:p w:rsidR="0080024C" w:rsidRPr="00D65B3A" w:rsidRDefault="0080024C" w:rsidP="0080024C">
      <w:pPr>
        <w:pStyle w:val="a3"/>
        <w:numPr>
          <w:ilvl w:val="0"/>
          <w:numId w:val="2"/>
        </w:numPr>
        <w:spacing w:before="0" w:beforeAutospacing="0" w:after="0" w:afterAutospacing="0" w:line="360" w:lineRule="auto"/>
        <w:ind w:left="284" w:right="300" w:firstLine="0"/>
        <w:rPr>
          <w:sz w:val="28"/>
          <w:szCs w:val="28"/>
          <w:lang w:val="uk-UA"/>
        </w:rPr>
      </w:pPr>
      <w:r w:rsidRPr="00D65B3A">
        <w:rPr>
          <w:rFonts w:eastAsia="TimesNewRomanPSMT"/>
          <w:sz w:val="28"/>
          <w:szCs w:val="28"/>
        </w:rPr>
        <w:t>Короленко Т.</w:t>
      </w:r>
      <w:r w:rsidRPr="00D65B3A">
        <w:rPr>
          <w:rFonts w:eastAsia="TimesNewRomanPSMT"/>
          <w:sz w:val="28"/>
          <w:szCs w:val="28"/>
          <w:lang w:val="uk-UA"/>
        </w:rPr>
        <w:t xml:space="preserve"> </w:t>
      </w:r>
      <w:r w:rsidRPr="00D65B3A">
        <w:rPr>
          <w:rFonts w:eastAsia="TimesNewRomanPSMT"/>
          <w:sz w:val="28"/>
          <w:szCs w:val="28"/>
        </w:rPr>
        <w:t>К. Використання пектинових препаратів при хронічній інтоксикації свинцем в умовах виробництва //  Тез. докл. науч.-практ. конф. «Биологически активные вещества: фундаментальные и прикладные вопросы получения и применения» (25 – 30 мая, 2009 г., пос. Новый Свет, Украина). – Киев, 2009. – С. 323.</w:t>
      </w:r>
    </w:p>
    <w:p w:rsidR="0080024C" w:rsidRPr="00D65B3A" w:rsidRDefault="0080024C" w:rsidP="0080024C">
      <w:pPr>
        <w:numPr>
          <w:ilvl w:val="0"/>
          <w:numId w:val="2"/>
        </w:numPr>
        <w:spacing w:line="360" w:lineRule="auto"/>
        <w:ind w:left="284" w:firstLine="0"/>
        <w:jc w:val="both"/>
        <w:rPr>
          <w:sz w:val="28"/>
          <w:szCs w:val="28"/>
          <w:shd w:val="clear" w:color="auto" w:fill="FFFFFF"/>
          <w:lang w:val="uk-UA"/>
        </w:rPr>
      </w:pPr>
      <w:r w:rsidRPr="00D65B3A">
        <w:rPr>
          <w:sz w:val="28"/>
          <w:szCs w:val="28"/>
          <w:shd w:val="clear" w:color="auto" w:fill="FFFFFF"/>
          <w:lang w:val="uk-UA"/>
        </w:rPr>
        <w:t xml:space="preserve">Крамарєв С. О. Ентеросорбція при гострих кишкових інфекціях у дітей / С. О. Крамарєв, О. А.  Дмітрієва //Здоров’я дитини. </w:t>
      </w:r>
      <w:r w:rsidRPr="00D65B3A">
        <w:rPr>
          <w:b/>
          <w:sz w:val="28"/>
          <w:szCs w:val="28"/>
          <w:bdr w:val="none" w:sz="0" w:space="0" w:color="auto" w:frame="1"/>
          <w:lang w:val="uk-UA"/>
        </w:rPr>
        <w:t>–</w:t>
      </w:r>
      <w:r w:rsidRPr="00D65B3A">
        <w:rPr>
          <w:sz w:val="28"/>
          <w:szCs w:val="28"/>
          <w:shd w:val="clear" w:color="auto" w:fill="FFFFFF"/>
          <w:lang w:val="uk-UA"/>
        </w:rPr>
        <w:t xml:space="preserve">  2011, № 2 (29). </w:t>
      </w:r>
      <w:r w:rsidRPr="00D65B3A">
        <w:rPr>
          <w:b/>
          <w:sz w:val="28"/>
          <w:szCs w:val="28"/>
          <w:bdr w:val="none" w:sz="0" w:space="0" w:color="auto" w:frame="1"/>
          <w:lang w:val="uk-UA"/>
        </w:rPr>
        <w:t>–</w:t>
      </w:r>
      <w:r w:rsidRPr="00D65B3A">
        <w:rPr>
          <w:sz w:val="28"/>
          <w:szCs w:val="28"/>
          <w:shd w:val="clear" w:color="auto" w:fill="FFFFFF"/>
          <w:lang w:val="uk-UA"/>
        </w:rPr>
        <w:t xml:space="preserve">  С. 26 -31.</w:t>
      </w:r>
    </w:p>
    <w:p w:rsidR="0080024C" w:rsidRPr="00D65B3A" w:rsidRDefault="0080024C" w:rsidP="0080024C">
      <w:pPr>
        <w:numPr>
          <w:ilvl w:val="0"/>
          <w:numId w:val="2"/>
        </w:numPr>
        <w:shd w:val="clear" w:color="auto" w:fill="FFFFFF"/>
        <w:spacing w:line="360" w:lineRule="auto"/>
        <w:ind w:left="284" w:firstLine="0"/>
        <w:jc w:val="both"/>
        <w:rPr>
          <w:sz w:val="28"/>
          <w:szCs w:val="28"/>
          <w:lang w:val="uk-UA"/>
        </w:rPr>
      </w:pPr>
      <w:r w:rsidRPr="00D65B3A">
        <w:rPr>
          <w:sz w:val="28"/>
          <w:szCs w:val="28"/>
          <w:lang w:val="uk-UA"/>
        </w:rPr>
        <w:t>Кривенко В. І. Алергічні ураження шкіри у практиці сімейного лікаря (друге видання, доповнене): навчальний посібник для лікарів, клінічних ординаторів /В.І. Кривенко, І.В. Непрядкіна, М.Ю. Колесник. [та ін.]. – Запоріжжя: [ЗДМУ], 2017. – 127 с.</w:t>
      </w:r>
    </w:p>
    <w:p w:rsidR="0080024C" w:rsidRPr="00D65B3A" w:rsidRDefault="0080024C" w:rsidP="0080024C">
      <w:pPr>
        <w:numPr>
          <w:ilvl w:val="0"/>
          <w:numId w:val="2"/>
        </w:numPr>
        <w:spacing w:line="360" w:lineRule="auto"/>
        <w:ind w:left="284" w:firstLine="0"/>
        <w:jc w:val="both"/>
        <w:rPr>
          <w:sz w:val="28"/>
          <w:szCs w:val="28"/>
          <w:lang w:val="uk-UA"/>
        </w:rPr>
      </w:pPr>
      <w:r w:rsidRPr="00D65B3A">
        <w:rPr>
          <w:sz w:val="28"/>
          <w:szCs w:val="28"/>
          <w:lang w:val="uk-UA"/>
        </w:rPr>
        <w:t>Купчик Л. А. Розроблення та випробування нових ентеросорбентів на основі пектинів та пектиновмісних екстрактів / Л. А. Купчик, В. М. Пострєлко, Н. Т. Картель // Наукові праці Національного університету харчових технологій. – 2004. – Додаток до журн. № 15. – С. 22-23.</w:t>
      </w:r>
    </w:p>
    <w:p w:rsidR="0080024C" w:rsidRPr="00D65B3A" w:rsidRDefault="0080024C" w:rsidP="0080024C">
      <w:pPr>
        <w:numPr>
          <w:ilvl w:val="0"/>
          <w:numId w:val="2"/>
        </w:numPr>
        <w:shd w:val="clear" w:color="auto" w:fill="FFFFFF"/>
        <w:spacing w:line="360" w:lineRule="auto"/>
        <w:ind w:left="284" w:firstLine="0"/>
        <w:jc w:val="both"/>
        <w:rPr>
          <w:sz w:val="28"/>
          <w:szCs w:val="28"/>
          <w:lang w:val="uk-UA"/>
        </w:rPr>
      </w:pPr>
      <w:r w:rsidRPr="00D65B3A">
        <w:rPr>
          <w:sz w:val="28"/>
          <w:szCs w:val="28"/>
          <w:lang w:val="uk-UA"/>
        </w:rPr>
        <w:t>Кучер С. В.  Ентеросорбційна терапія в комплексному лікуванні хворих на хронічне обструктивне захворювання легень у фазі загострення з клініко-лабораторними проявами ендогенної інтоксикації : автореф.дис. … канд..мед.н.:    14.01.27  «Пульмонологія».  – Тернопіль, 2017. – 22 с.</w:t>
      </w:r>
    </w:p>
    <w:p w:rsidR="0080024C" w:rsidRPr="00255336" w:rsidRDefault="0080024C" w:rsidP="0080024C">
      <w:pPr>
        <w:pStyle w:val="a6"/>
        <w:numPr>
          <w:ilvl w:val="0"/>
          <w:numId w:val="2"/>
        </w:numPr>
        <w:spacing w:after="0" w:line="360" w:lineRule="auto"/>
        <w:ind w:left="284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D65B3A">
        <w:rPr>
          <w:rFonts w:ascii="Times New Roman" w:hAnsi="Times New Roman"/>
          <w:sz w:val="28"/>
          <w:szCs w:val="28"/>
          <w:lang w:val="ru-RU"/>
        </w:rPr>
        <w:t>Лубянова И. П. Избыточное железо и патология у рабочих сварочных профессий: под общей ред. акад. Ю. И. Кундиева</w:t>
      </w:r>
      <w:r w:rsidRPr="00D65B3A">
        <w:rPr>
          <w:rFonts w:ascii="Times New Roman" w:hAnsi="Times New Roman"/>
          <w:sz w:val="28"/>
          <w:szCs w:val="28"/>
          <w:lang w:val="uk-UA"/>
        </w:rPr>
        <w:t xml:space="preserve"> / И. П. Лубянова</w:t>
      </w:r>
      <w:r w:rsidRPr="00D65B3A">
        <w:rPr>
          <w:rFonts w:ascii="Times New Roman" w:hAnsi="Times New Roman"/>
          <w:sz w:val="28"/>
          <w:szCs w:val="28"/>
          <w:lang w:val="ru-RU"/>
        </w:rPr>
        <w:t>.</w:t>
      </w:r>
      <w:r w:rsidRPr="00D65B3A">
        <w:rPr>
          <w:rFonts w:ascii="Times New Roman" w:hAnsi="Times New Roman"/>
          <w:sz w:val="28"/>
          <w:szCs w:val="28"/>
          <w:lang w:val="uk-UA"/>
        </w:rPr>
        <w:t xml:space="preserve"> - </w:t>
      </w:r>
      <w:r w:rsidRPr="00D65B3A">
        <w:rPr>
          <w:rFonts w:ascii="Times New Roman" w:hAnsi="Times New Roman"/>
          <w:sz w:val="28"/>
          <w:szCs w:val="28"/>
          <w:lang w:val="ru-RU"/>
        </w:rPr>
        <w:t xml:space="preserve"> Киев : </w:t>
      </w:r>
      <w:r w:rsidRPr="00255336">
        <w:rPr>
          <w:rFonts w:ascii="Times New Roman" w:hAnsi="Times New Roman"/>
          <w:sz w:val="28"/>
          <w:szCs w:val="28"/>
          <w:lang w:val="ru-RU"/>
        </w:rPr>
        <w:t xml:space="preserve">ВД «Авіцена», 2013. </w:t>
      </w:r>
      <w:r w:rsidRPr="00255336">
        <w:rPr>
          <w:rFonts w:ascii="Times New Roman" w:hAnsi="Times New Roman"/>
          <w:sz w:val="28"/>
          <w:szCs w:val="28"/>
          <w:lang w:val="uk-UA"/>
        </w:rPr>
        <w:t xml:space="preserve">- </w:t>
      </w:r>
      <w:r w:rsidRPr="00255336">
        <w:rPr>
          <w:rFonts w:ascii="Times New Roman" w:hAnsi="Times New Roman"/>
          <w:sz w:val="28"/>
          <w:szCs w:val="28"/>
          <w:lang w:val="ru-RU"/>
        </w:rPr>
        <w:t>240 с.</w:t>
      </w:r>
    </w:p>
    <w:p w:rsidR="0080024C" w:rsidRPr="00255336" w:rsidRDefault="0080024C" w:rsidP="0080024C">
      <w:pPr>
        <w:pStyle w:val="a6"/>
        <w:numPr>
          <w:ilvl w:val="0"/>
          <w:numId w:val="2"/>
        </w:numPr>
        <w:spacing w:after="0" w:line="360" w:lineRule="auto"/>
        <w:ind w:left="284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25533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55336">
        <w:rPr>
          <w:rFonts w:ascii="Times New Roman" w:hAnsi="Times New Roman"/>
          <w:sz w:val="28"/>
          <w:szCs w:val="28"/>
          <w:shd w:val="clear" w:color="auto" w:fill="F9F9F9"/>
          <w:lang w:val="uk-UA"/>
        </w:rPr>
        <w:t>Макарчук О. М.</w:t>
      </w:r>
      <w:r w:rsidRPr="00255336">
        <w:rPr>
          <w:rFonts w:ascii="Times New Roman" w:hAnsi="Times New Roman"/>
          <w:sz w:val="28"/>
          <w:szCs w:val="28"/>
          <w:shd w:val="clear" w:color="auto" w:fill="F9F9F9"/>
        </w:rPr>
        <w:t> </w:t>
      </w:r>
      <w:hyperlink r:id="rId8" w:history="1">
        <w:r w:rsidRPr="00255336">
          <w:rPr>
            <w:rStyle w:val="a4"/>
            <w:rFonts w:ascii="Times New Roman" w:hAnsi="Times New Roman"/>
            <w:bCs/>
            <w:sz w:val="28"/>
            <w:szCs w:val="28"/>
            <w:lang w:val="uk-UA"/>
          </w:rPr>
          <w:t>Анемія вагітних: патогенез, профілактика, лікування, прогнозування ускладнень та шляхи їх попередження</w:t>
        </w:r>
      </w:hyperlink>
      <w:r w:rsidRPr="00255336">
        <w:rPr>
          <w:rFonts w:ascii="Times New Roman" w:hAnsi="Times New Roman"/>
          <w:sz w:val="28"/>
          <w:szCs w:val="28"/>
          <w:lang w:val="uk-UA"/>
        </w:rPr>
        <w:t>:</w:t>
      </w:r>
      <w:r w:rsidRPr="00255336">
        <w:rPr>
          <w:rFonts w:ascii="Times New Roman" w:hAnsi="Times New Roman"/>
          <w:sz w:val="28"/>
          <w:szCs w:val="28"/>
          <w:shd w:val="clear" w:color="auto" w:fill="F9F9F9"/>
          <w:lang w:val="uk-UA"/>
        </w:rPr>
        <w:t xml:space="preserve"> автореф. дис... д-ра мед. наук:</w:t>
      </w:r>
      <w:r w:rsidRPr="00255336">
        <w:rPr>
          <w:rFonts w:ascii="Times New Roman" w:hAnsi="Times New Roman"/>
          <w:sz w:val="28"/>
          <w:szCs w:val="28"/>
          <w:shd w:val="clear" w:color="auto" w:fill="F9F9F9"/>
        </w:rPr>
        <w:t> </w:t>
      </w:r>
      <w:r w:rsidRPr="00255336">
        <w:rPr>
          <w:rStyle w:val="a5"/>
          <w:rFonts w:ascii="Times New Roman" w:hAnsi="Times New Roman"/>
          <w:b w:val="0"/>
          <w:sz w:val="28"/>
          <w:szCs w:val="28"/>
          <w:lang w:val="uk-UA"/>
        </w:rPr>
        <w:t>14.01.01 «Акушерство та гінекологія»</w:t>
      </w:r>
      <w:r w:rsidRPr="00255336">
        <w:rPr>
          <w:rFonts w:ascii="Times New Roman" w:hAnsi="Times New Roman"/>
          <w:sz w:val="28"/>
          <w:szCs w:val="28"/>
          <w:lang w:val="uk-UA"/>
        </w:rPr>
        <w:t xml:space="preserve"> / О. М. Макарчук. </w:t>
      </w:r>
      <w:r w:rsidRPr="00255336">
        <w:rPr>
          <w:rFonts w:ascii="Times New Roman" w:hAnsi="Times New Roman"/>
          <w:sz w:val="28"/>
          <w:szCs w:val="28"/>
          <w:shd w:val="clear" w:color="auto" w:fill="F9F9F9"/>
          <w:lang w:val="uk-UA"/>
        </w:rPr>
        <w:t xml:space="preserve"> </w:t>
      </w:r>
      <w:r w:rsidRPr="00255336">
        <w:rPr>
          <w:rFonts w:ascii="Times New Roman" w:hAnsi="Times New Roman"/>
          <w:sz w:val="28"/>
          <w:szCs w:val="28"/>
          <w:lang w:val="uk-UA"/>
        </w:rPr>
        <w:t>–</w:t>
      </w:r>
      <w:r w:rsidRPr="00255336">
        <w:rPr>
          <w:rFonts w:ascii="Times New Roman" w:hAnsi="Times New Roman"/>
          <w:sz w:val="28"/>
          <w:szCs w:val="28"/>
          <w:shd w:val="clear" w:color="auto" w:fill="F9F9F9"/>
          <w:lang w:val="uk-UA"/>
        </w:rPr>
        <w:t xml:space="preserve"> К., 2004. </w:t>
      </w:r>
      <w:r w:rsidRPr="00255336">
        <w:rPr>
          <w:rFonts w:ascii="Times New Roman" w:hAnsi="Times New Roman"/>
          <w:sz w:val="28"/>
          <w:szCs w:val="28"/>
          <w:lang w:val="uk-UA"/>
        </w:rPr>
        <w:t>–</w:t>
      </w:r>
      <w:r w:rsidRPr="00255336">
        <w:rPr>
          <w:rFonts w:ascii="Times New Roman" w:hAnsi="Times New Roman"/>
          <w:sz w:val="28"/>
          <w:szCs w:val="28"/>
          <w:shd w:val="clear" w:color="auto" w:fill="F9F9F9"/>
          <w:lang w:val="uk-UA"/>
        </w:rPr>
        <w:t xml:space="preserve"> 40 с.</w:t>
      </w:r>
    </w:p>
    <w:p w:rsidR="0080024C" w:rsidRPr="00D65B3A" w:rsidRDefault="0080024C" w:rsidP="0080024C">
      <w:pPr>
        <w:pStyle w:val="a6"/>
        <w:numPr>
          <w:ilvl w:val="0"/>
          <w:numId w:val="2"/>
        </w:numPr>
        <w:spacing w:after="0" w:line="360" w:lineRule="auto"/>
        <w:ind w:left="284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D65B3A">
        <w:rPr>
          <w:rFonts w:ascii="Times New Roman" w:hAnsi="Times New Roman"/>
          <w:sz w:val="28"/>
          <w:lang w:val="uk-UA"/>
        </w:rPr>
        <w:lastRenderedPageBreak/>
        <w:t>Максимов Ю. М., Лановенко І. І. Доклінічне вивчення антианемічних засобів, антикоагулянтів та фібрінолітиків. /В кн.: Доклінічні дослідження лікарських засобів (методичні рекомендації ) /За ред. О. В. Стефанова. – 2001. – 528 с.</w:t>
      </w:r>
    </w:p>
    <w:p w:rsidR="0080024C" w:rsidRPr="00D65B3A" w:rsidRDefault="0080024C" w:rsidP="0080024C">
      <w:pPr>
        <w:pStyle w:val="a6"/>
        <w:numPr>
          <w:ilvl w:val="0"/>
          <w:numId w:val="2"/>
        </w:numPr>
        <w:spacing w:after="0" w:line="360" w:lineRule="auto"/>
        <w:ind w:left="284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D65B3A">
        <w:rPr>
          <w:rFonts w:ascii="Times New Roman" w:hAnsi="Times New Roman"/>
          <w:sz w:val="28"/>
          <w:szCs w:val="28"/>
          <w:lang w:val="uk-UA"/>
        </w:rPr>
        <w:t>Мандзій З. П. Корекція залізодефіцитних станів у клініці внутрішніх захворювань /  З. П. Мандзій, О. Г. Бойчук, В. В. Мигович // Медицина невідкладних станів. – 2021. –Том 17, № 3. – С. 64-70.</w:t>
      </w:r>
    </w:p>
    <w:p w:rsidR="0080024C" w:rsidRPr="00D65B3A" w:rsidRDefault="0080024C" w:rsidP="0080024C">
      <w:pPr>
        <w:numPr>
          <w:ilvl w:val="0"/>
          <w:numId w:val="2"/>
        </w:numPr>
        <w:shd w:val="clear" w:color="auto" w:fill="FFFFFF"/>
        <w:spacing w:line="360" w:lineRule="auto"/>
        <w:ind w:left="284" w:firstLine="0"/>
        <w:jc w:val="both"/>
        <w:rPr>
          <w:sz w:val="28"/>
          <w:szCs w:val="28"/>
        </w:rPr>
      </w:pPr>
      <w:r w:rsidRPr="00D65B3A">
        <w:rPr>
          <w:sz w:val="28"/>
          <w:szCs w:val="28"/>
        </w:rPr>
        <w:t xml:space="preserve">Манохіна О. Ю. Вплив фітосорбенту на імунологічні показники у хворих на вперше діагностований туберкульоз легень із незагоєними кавернами  / О. Ю. Манохіна // Укр. пульмонол. журн. </w:t>
      </w:r>
      <w:r w:rsidRPr="00D65B3A">
        <w:rPr>
          <w:sz w:val="28"/>
          <w:szCs w:val="28"/>
          <w:lang w:val="uk-UA"/>
        </w:rPr>
        <w:t>–</w:t>
      </w:r>
      <w:r w:rsidRPr="00D65B3A">
        <w:rPr>
          <w:sz w:val="28"/>
          <w:szCs w:val="28"/>
        </w:rPr>
        <w:t xml:space="preserve">2006. </w:t>
      </w:r>
      <w:r w:rsidRPr="00D65B3A">
        <w:rPr>
          <w:sz w:val="28"/>
          <w:szCs w:val="28"/>
          <w:lang w:val="uk-UA"/>
        </w:rPr>
        <w:t>–</w:t>
      </w:r>
      <w:r w:rsidRPr="00D65B3A">
        <w:rPr>
          <w:sz w:val="28"/>
          <w:szCs w:val="28"/>
        </w:rPr>
        <w:t xml:space="preserve"> № 4. </w:t>
      </w:r>
      <w:r w:rsidRPr="00D65B3A">
        <w:rPr>
          <w:sz w:val="28"/>
          <w:szCs w:val="28"/>
          <w:lang w:val="uk-UA"/>
        </w:rPr>
        <w:t>–</w:t>
      </w:r>
      <w:r w:rsidRPr="00D65B3A">
        <w:rPr>
          <w:sz w:val="28"/>
          <w:szCs w:val="28"/>
        </w:rPr>
        <w:t xml:space="preserve"> С. 59-60.</w:t>
      </w:r>
    </w:p>
    <w:p w:rsidR="0080024C" w:rsidRPr="00D65B3A" w:rsidRDefault="0080024C" w:rsidP="0080024C">
      <w:pPr>
        <w:pStyle w:val="a6"/>
        <w:numPr>
          <w:ilvl w:val="0"/>
          <w:numId w:val="2"/>
        </w:numPr>
        <w:spacing w:after="0" w:line="360" w:lineRule="auto"/>
        <w:ind w:left="284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D65B3A">
        <w:rPr>
          <w:rFonts w:ascii="Times New Roman" w:hAnsi="Times New Roman"/>
          <w:sz w:val="28"/>
          <w:szCs w:val="28"/>
          <w:lang w:val="uk-UA"/>
        </w:rPr>
        <w:t xml:space="preserve">Марієвський В. Ф. Зміна чутливості мікроорганізмів до дезінфектантів в залежності від стадії росту / В. Ф. Марієвський, І. І. Даниленко, Л. В. Пархоменко // Тези </w:t>
      </w:r>
      <w:r w:rsidRPr="00D65B3A">
        <w:rPr>
          <w:rFonts w:ascii="Times New Roman" w:hAnsi="Times New Roman"/>
          <w:sz w:val="28"/>
          <w:szCs w:val="28"/>
        </w:rPr>
        <w:t>XI</w:t>
      </w:r>
      <w:r w:rsidRPr="00D65B3A">
        <w:rPr>
          <w:rFonts w:ascii="Times New Roman" w:hAnsi="Times New Roman"/>
          <w:sz w:val="28"/>
          <w:szCs w:val="28"/>
          <w:lang w:val="uk-UA"/>
        </w:rPr>
        <w:t xml:space="preserve"> з'їзду мікробіологів, епідеміологів та паразитологів. – К., 2004. – С. 20-21</w:t>
      </w:r>
    </w:p>
    <w:p w:rsidR="0080024C" w:rsidRPr="00D65B3A" w:rsidRDefault="0080024C" w:rsidP="0080024C">
      <w:pPr>
        <w:numPr>
          <w:ilvl w:val="0"/>
          <w:numId w:val="2"/>
        </w:numPr>
        <w:shd w:val="clear" w:color="auto" w:fill="FFFFFF"/>
        <w:spacing w:line="360" w:lineRule="auto"/>
        <w:ind w:left="284" w:firstLine="0"/>
        <w:jc w:val="both"/>
        <w:rPr>
          <w:sz w:val="28"/>
          <w:szCs w:val="28"/>
          <w:lang w:val="uk-UA"/>
        </w:rPr>
      </w:pPr>
      <w:r w:rsidRPr="00D65B3A">
        <w:rPr>
          <w:sz w:val="28"/>
          <w:szCs w:val="28"/>
          <w:lang w:val="uk-UA"/>
        </w:rPr>
        <w:t>Марунчин Н. А.  Клініко-лабораторна оцінка ефективності аморфного нанокремнезему у хворих на цукровий діабет типу 2 з неалкогольною жировою хворобою печінки / Н. А. Марунчин // Український медичний часопис. – 2017. – Т.119, №3. – С. 157–159.</w:t>
      </w:r>
    </w:p>
    <w:p w:rsidR="0080024C" w:rsidRPr="00D65B3A" w:rsidRDefault="0080024C" w:rsidP="0080024C">
      <w:pPr>
        <w:numPr>
          <w:ilvl w:val="0"/>
          <w:numId w:val="2"/>
        </w:numPr>
        <w:shd w:val="clear" w:color="auto" w:fill="FFFFFF"/>
        <w:spacing w:line="360" w:lineRule="auto"/>
        <w:ind w:left="284" w:firstLine="0"/>
        <w:jc w:val="both"/>
        <w:rPr>
          <w:sz w:val="28"/>
          <w:szCs w:val="28"/>
          <w:lang w:val="uk-UA"/>
        </w:rPr>
      </w:pPr>
      <w:r w:rsidRPr="00D65B3A">
        <w:rPr>
          <w:sz w:val="28"/>
        </w:rPr>
        <w:t>Медведь В. І. Профілактика залізодефіциту та анемії у вагітних / В. І. Медведь, М. Є. Кирильчук //Жіночий лікар. – 2019. – №4 (84). – С. 26-30.</w:t>
      </w:r>
    </w:p>
    <w:p w:rsidR="0080024C" w:rsidRPr="00D65B3A" w:rsidRDefault="0080024C" w:rsidP="0080024C">
      <w:pPr>
        <w:numPr>
          <w:ilvl w:val="0"/>
          <w:numId w:val="2"/>
        </w:numPr>
        <w:shd w:val="clear" w:color="auto" w:fill="FFFFFF"/>
        <w:spacing w:line="360" w:lineRule="auto"/>
        <w:ind w:left="284" w:firstLine="0"/>
        <w:jc w:val="both"/>
        <w:rPr>
          <w:sz w:val="28"/>
          <w:szCs w:val="28"/>
          <w:lang w:val="uk-UA"/>
        </w:rPr>
      </w:pPr>
      <w:r w:rsidRPr="00D65B3A">
        <w:rPr>
          <w:sz w:val="28"/>
        </w:rPr>
        <w:t>Медведь В. І. Питания залізодефіциту та анемії в рекомендаціях ВООЗ 2017/ В.І.Медведь, Н. В. Степура //Здоров'я  жинки. – 2019. – №1. – С. 32-33.</w:t>
      </w:r>
    </w:p>
    <w:p w:rsidR="0080024C" w:rsidRPr="00D65B3A" w:rsidRDefault="0080024C" w:rsidP="0080024C">
      <w:pPr>
        <w:numPr>
          <w:ilvl w:val="0"/>
          <w:numId w:val="2"/>
        </w:numPr>
        <w:shd w:val="clear" w:color="auto" w:fill="FFFFFF"/>
        <w:spacing w:line="360" w:lineRule="auto"/>
        <w:ind w:left="284" w:firstLine="0"/>
        <w:jc w:val="both"/>
        <w:rPr>
          <w:sz w:val="28"/>
          <w:szCs w:val="28"/>
          <w:lang w:val="uk-UA"/>
        </w:rPr>
      </w:pPr>
      <w:r w:rsidRPr="00D65B3A">
        <w:rPr>
          <w:sz w:val="28"/>
          <w:szCs w:val="28"/>
        </w:rPr>
        <w:t>Методи дослідження в гематології : навчальний посібник. / І. О. Дудченко, Г. А. Фадєєва, В. В. Качковська, О. В. Орловський ; за заг. ред. проф. Л. Н. Приступи. – Суми : Сумський державний університет, 2019. – 55 с.</w:t>
      </w:r>
    </w:p>
    <w:p w:rsidR="0080024C" w:rsidRPr="00D65B3A" w:rsidRDefault="0080024C" w:rsidP="0080024C">
      <w:pPr>
        <w:pStyle w:val="21"/>
        <w:numPr>
          <w:ilvl w:val="0"/>
          <w:numId w:val="2"/>
        </w:numPr>
        <w:autoSpaceDE w:val="0"/>
        <w:autoSpaceDN w:val="0"/>
        <w:spacing w:after="0" w:line="360" w:lineRule="auto"/>
        <w:ind w:left="284" w:firstLine="0"/>
        <w:jc w:val="both"/>
        <w:rPr>
          <w:b/>
          <w:bCs/>
          <w:sz w:val="28"/>
          <w:szCs w:val="28"/>
          <w:lang w:val="uk-UA"/>
        </w:rPr>
      </w:pPr>
      <w:r w:rsidRPr="00D65B3A">
        <w:rPr>
          <w:sz w:val="28"/>
          <w:szCs w:val="28"/>
          <w:lang w:val="uk-UA"/>
        </w:rPr>
        <w:lastRenderedPageBreak/>
        <w:t>Нагорнюк В. Т. Медикаментозна алергія у новонароджених і вагітних з залізодефіцитною анемією / В. Т. Нагорнюк // Медичні перспективи. – 2002. –№ 3. – С.52-53.</w:t>
      </w:r>
    </w:p>
    <w:p w:rsidR="0080024C" w:rsidRPr="00D65B3A" w:rsidRDefault="0080024C" w:rsidP="0080024C">
      <w:pPr>
        <w:pStyle w:val="a6"/>
        <w:numPr>
          <w:ilvl w:val="0"/>
          <w:numId w:val="2"/>
        </w:numPr>
        <w:spacing w:after="0" w:line="360" w:lineRule="auto"/>
        <w:ind w:left="284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D65B3A">
        <w:rPr>
          <w:rFonts w:ascii="Times New Roman" w:hAnsi="Times New Roman"/>
          <w:sz w:val="28"/>
          <w:szCs w:val="28"/>
          <w:lang w:val="uk-UA"/>
        </w:rPr>
        <w:t xml:space="preserve">Нетюхайло Л. Г. Водно-сольовий обмін (огляд літератури). Ч.2. / Л. Г. Нетюхайло, В. Л.Філатова, О. В. Філатова //  Вісник проблем біології і медицини. – 2012– Вип.2, Т.1 (92). – С. 7-10. </w:t>
      </w:r>
    </w:p>
    <w:p w:rsidR="0080024C" w:rsidRPr="00D65B3A" w:rsidRDefault="0080024C" w:rsidP="0080024C">
      <w:pPr>
        <w:pStyle w:val="a6"/>
        <w:numPr>
          <w:ilvl w:val="0"/>
          <w:numId w:val="2"/>
        </w:numPr>
        <w:spacing w:after="0" w:line="360" w:lineRule="auto"/>
        <w:ind w:left="284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D65B3A">
        <w:rPr>
          <w:rFonts w:ascii="Times New Roman" w:hAnsi="Times New Roman"/>
          <w:sz w:val="28"/>
          <w:szCs w:val="28"/>
          <w:lang w:val="uk-UA"/>
        </w:rPr>
        <w:t>Нечитайло Ю.М., Безрук В.В. Фізичний розвиток дітей раннього віку з пренатальним дефіцитом заліза / Ю. М. Нечитайло, В. В. Безрук // Клінічна та експериментальна патологія. –2004. –Т.3, №3. – С.54-59.</w:t>
      </w:r>
    </w:p>
    <w:p w:rsidR="0080024C" w:rsidRPr="004B2DE5" w:rsidRDefault="0080024C" w:rsidP="0080024C">
      <w:pPr>
        <w:pStyle w:val="a6"/>
        <w:numPr>
          <w:ilvl w:val="0"/>
          <w:numId w:val="2"/>
        </w:numPr>
        <w:spacing w:after="0" w:line="360" w:lineRule="auto"/>
        <w:ind w:left="284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D65B3A">
        <w:rPr>
          <w:rFonts w:ascii="Times New Roman" w:hAnsi="Times New Roman"/>
          <w:sz w:val="28"/>
          <w:szCs w:val="28"/>
          <w:lang w:val="uk-UA"/>
        </w:rPr>
        <w:t xml:space="preserve">Носенко Н. Д. Особливості статевої поведінки самиць щурів при моделюванні гіперандрогенії в пубертатний та постпубертатний періоди / </w:t>
      </w:r>
      <w:r w:rsidRPr="004B2DE5">
        <w:rPr>
          <w:rFonts w:ascii="Times New Roman" w:hAnsi="Times New Roman"/>
          <w:sz w:val="28"/>
          <w:szCs w:val="28"/>
          <w:lang w:val="uk-UA"/>
        </w:rPr>
        <w:t>Н.Д. Носенко, А.А. Лимарєва  // Фізіологічний журнал, –2013. – Т. 59, № 5. – С. 20-24.</w:t>
      </w:r>
    </w:p>
    <w:p w:rsidR="0080024C" w:rsidRPr="00D65B3A" w:rsidRDefault="0080024C" w:rsidP="0080024C">
      <w:pPr>
        <w:pStyle w:val="a6"/>
        <w:numPr>
          <w:ilvl w:val="0"/>
          <w:numId w:val="2"/>
        </w:numPr>
        <w:spacing w:after="0" w:line="360" w:lineRule="auto"/>
        <w:ind w:left="284" w:firstLine="0"/>
        <w:jc w:val="both"/>
        <w:rPr>
          <w:rFonts w:ascii="Times New Roman" w:hAnsi="Times New Roman"/>
          <w:sz w:val="28"/>
          <w:szCs w:val="28"/>
          <w:shd w:val="clear" w:color="auto" w:fill="F9F9F9"/>
          <w:lang w:val="uk-UA"/>
        </w:rPr>
      </w:pPr>
      <w:r w:rsidRPr="004B2DE5">
        <w:rPr>
          <w:rFonts w:ascii="Times New Roman" w:hAnsi="Times New Roman"/>
          <w:sz w:val="28"/>
          <w:szCs w:val="28"/>
          <w:shd w:val="clear" w:color="auto" w:fill="F9F9F9"/>
          <w:lang w:val="uk-UA"/>
        </w:rPr>
        <w:t>Овчиннікова О. В.</w:t>
      </w:r>
      <w:r w:rsidRPr="004B2DE5">
        <w:rPr>
          <w:rFonts w:ascii="Times New Roman" w:hAnsi="Times New Roman"/>
          <w:sz w:val="28"/>
          <w:szCs w:val="28"/>
          <w:shd w:val="clear" w:color="auto" w:fill="F9F9F9"/>
        </w:rPr>
        <w:t> </w:t>
      </w:r>
      <w:hyperlink r:id="rId9" w:history="1">
        <w:r w:rsidRPr="004B2DE5">
          <w:rPr>
            <w:rStyle w:val="a4"/>
            <w:rFonts w:ascii="Times New Roman" w:hAnsi="Times New Roman"/>
            <w:bCs/>
            <w:sz w:val="28"/>
            <w:szCs w:val="28"/>
            <w:lang w:val="uk-UA"/>
          </w:rPr>
          <w:t>Клініко-патогенетичні аспекти залізодефіцитної анемії у вагітних і оптимізація її лікування</w:t>
        </w:r>
      </w:hyperlink>
      <w:r w:rsidRPr="004B2DE5">
        <w:rPr>
          <w:rFonts w:ascii="Times New Roman" w:hAnsi="Times New Roman"/>
          <w:sz w:val="28"/>
          <w:szCs w:val="28"/>
          <w:shd w:val="clear" w:color="auto" w:fill="F9F9F9"/>
        </w:rPr>
        <w:t> </w:t>
      </w:r>
      <w:r w:rsidRPr="004B2DE5">
        <w:rPr>
          <w:rFonts w:ascii="Times New Roman" w:hAnsi="Times New Roman"/>
          <w:sz w:val="28"/>
          <w:szCs w:val="28"/>
          <w:shd w:val="clear" w:color="auto" w:fill="F9F9F9"/>
          <w:lang w:val="uk-UA"/>
        </w:rPr>
        <w:t>: автореф. дис. ... канд. мед. наук :</w:t>
      </w:r>
      <w:r w:rsidRPr="004B2DE5">
        <w:rPr>
          <w:rFonts w:ascii="Times New Roman" w:hAnsi="Times New Roman"/>
          <w:sz w:val="28"/>
          <w:szCs w:val="28"/>
          <w:shd w:val="clear" w:color="auto" w:fill="F9F9F9"/>
        </w:rPr>
        <w:t> </w:t>
      </w:r>
      <w:r w:rsidRPr="004B2DE5">
        <w:rPr>
          <w:rStyle w:val="a5"/>
          <w:rFonts w:ascii="Times New Roman" w:hAnsi="Times New Roman"/>
          <w:b w:val="0"/>
          <w:sz w:val="28"/>
          <w:szCs w:val="28"/>
          <w:lang w:val="uk-UA"/>
        </w:rPr>
        <w:t>14.01.01</w:t>
      </w:r>
      <w:r w:rsidRPr="004B2DE5">
        <w:rPr>
          <w:rFonts w:ascii="Times New Roman" w:hAnsi="Times New Roman"/>
          <w:sz w:val="28"/>
          <w:szCs w:val="28"/>
          <w:shd w:val="clear" w:color="auto" w:fill="F9F9F9"/>
          <w:lang w:val="uk-UA"/>
        </w:rPr>
        <w:t xml:space="preserve"> «Акушерство та гінекологія» / О. В. Овчиннікова. </w:t>
      </w:r>
      <w:r w:rsidRPr="004B2DE5">
        <w:rPr>
          <w:rFonts w:ascii="Times New Roman" w:hAnsi="Times New Roman"/>
          <w:sz w:val="28"/>
          <w:szCs w:val="28"/>
          <w:lang w:val="uk-UA"/>
        </w:rPr>
        <w:t>–</w:t>
      </w:r>
      <w:r w:rsidRPr="004B2DE5">
        <w:rPr>
          <w:rFonts w:ascii="Times New Roman" w:hAnsi="Times New Roman"/>
          <w:sz w:val="28"/>
          <w:szCs w:val="28"/>
          <w:shd w:val="clear" w:color="auto" w:fill="F9F9F9"/>
          <w:lang w:val="uk-UA"/>
        </w:rPr>
        <w:t xml:space="preserve"> Харків, 2011. </w:t>
      </w:r>
      <w:r w:rsidRPr="004B2DE5">
        <w:rPr>
          <w:rFonts w:ascii="Times New Roman" w:hAnsi="Times New Roman"/>
          <w:sz w:val="28"/>
          <w:szCs w:val="28"/>
          <w:lang w:val="uk-UA"/>
        </w:rPr>
        <w:t>–</w:t>
      </w:r>
      <w:r w:rsidRPr="00D65B3A">
        <w:rPr>
          <w:rFonts w:ascii="Times New Roman" w:hAnsi="Times New Roman"/>
          <w:sz w:val="28"/>
          <w:szCs w:val="28"/>
          <w:shd w:val="clear" w:color="auto" w:fill="F9F9F9"/>
          <w:lang w:val="uk-UA"/>
        </w:rPr>
        <w:t xml:space="preserve"> 20 с. </w:t>
      </w:r>
    </w:p>
    <w:p w:rsidR="0080024C" w:rsidRPr="00D65B3A" w:rsidRDefault="0080024C" w:rsidP="0080024C">
      <w:pPr>
        <w:pStyle w:val="a6"/>
        <w:numPr>
          <w:ilvl w:val="0"/>
          <w:numId w:val="2"/>
        </w:numPr>
        <w:spacing w:after="0" w:line="360" w:lineRule="auto"/>
        <w:ind w:left="284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D65B3A">
        <w:rPr>
          <w:rFonts w:ascii="Times New Roman" w:hAnsi="Times New Roman"/>
          <w:sz w:val="28"/>
          <w:szCs w:val="28"/>
          <w:lang w:val="uk-UA"/>
        </w:rPr>
        <w:t>Погорєлов М. В. Макро- та мікроелементи (обмін, патологія та методи визначення): монографія / М. В. Погорєлов, В. І. Бумейстер, Г. Ф. Ткач, С. Д. Бончев, В. З. Сікора, Л. Ф. Суходуб, С. М. Данильченко.  – Суми:  СумДУ, 2010. – 147 с.</w:t>
      </w:r>
    </w:p>
    <w:p w:rsidR="0080024C" w:rsidRPr="00255336" w:rsidRDefault="0080024C" w:rsidP="0080024C">
      <w:pPr>
        <w:pStyle w:val="a6"/>
        <w:numPr>
          <w:ilvl w:val="0"/>
          <w:numId w:val="2"/>
        </w:numPr>
        <w:spacing w:after="0" w:line="360" w:lineRule="auto"/>
        <w:ind w:left="284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255336">
        <w:rPr>
          <w:rFonts w:ascii="Times New Roman" w:hAnsi="Times New Roman"/>
          <w:sz w:val="28"/>
          <w:szCs w:val="28"/>
          <w:shd w:val="clear" w:color="auto" w:fill="FFFFFF"/>
        </w:rPr>
        <w:t> </w:t>
      </w:r>
      <w:r w:rsidRPr="00255336">
        <w:rPr>
          <w:rFonts w:ascii="Times New Roman" w:hAnsi="Times New Roman"/>
          <w:sz w:val="28"/>
          <w:szCs w:val="28"/>
          <w:shd w:val="clear" w:color="auto" w:fill="F9F9F9"/>
          <w:lang w:val="uk-UA"/>
        </w:rPr>
        <w:t>Прядко О. В.</w:t>
      </w:r>
      <w:r w:rsidRPr="00255336">
        <w:rPr>
          <w:rFonts w:ascii="Times New Roman" w:hAnsi="Times New Roman"/>
          <w:sz w:val="28"/>
          <w:szCs w:val="28"/>
          <w:shd w:val="clear" w:color="auto" w:fill="F9F9F9"/>
        </w:rPr>
        <w:t> </w:t>
      </w:r>
      <w:hyperlink r:id="rId10" w:history="1">
        <w:r w:rsidRPr="00255336">
          <w:rPr>
            <w:rStyle w:val="a4"/>
            <w:rFonts w:ascii="Times New Roman" w:hAnsi="Times New Roman"/>
            <w:bCs/>
            <w:sz w:val="28"/>
            <w:szCs w:val="28"/>
            <w:lang w:val="uk-UA"/>
          </w:rPr>
          <w:t>Диференційований підхід до профілактики та лікування залізодефіцитної анемії вагітних</w:t>
        </w:r>
      </w:hyperlink>
      <w:r w:rsidRPr="00255336">
        <w:rPr>
          <w:rFonts w:ascii="Times New Roman" w:hAnsi="Times New Roman"/>
          <w:sz w:val="28"/>
          <w:szCs w:val="28"/>
          <w:shd w:val="clear" w:color="auto" w:fill="F9F9F9"/>
        </w:rPr>
        <w:t> </w:t>
      </w:r>
      <w:r w:rsidRPr="00255336">
        <w:rPr>
          <w:rFonts w:ascii="Times New Roman" w:hAnsi="Times New Roman"/>
          <w:sz w:val="28"/>
          <w:szCs w:val="28"/>
          <w:shd w:val="clear" w:color="auto" w:fill="F9F9F9"/>
          <w:lang w:val="uk-UA"/>
        </w:rPr>
        <w:t>: автореф. дис... канд. мед. наук:</w:t>
      </w:r>
      <w:r w:rsidRPr="00255336">
        <w:rPr>
          <w:rFonts w:ascii="Times New Roman" w:hAnsi="Times New Roman"/>
          <w:sz w:val="28"/>
          <w:szCs w:val="28"/>
          <w:shd w:val="clear" w:color="auto" w:fill="F9F9F9"/>
        </w:rPr>
        <w:t> </w:t>
      </w:r>
      <w:r w:rsidRPr="00255336">
        <w:rPr>
          <w:rStyle w:val="a5"/>
          <w:rFonts w:ascii="Times New Roman" w:hAnsi="Times New Roman"/>
          <w:b w:val="0"/>
          <w:sz w:val="28"/>
          <w:szCs w:val="28"/>
          <w:lang w:val="uk-UA"/>
        </w:rPr>
        <w:t>14.01.01 «Акушерство та гінекологія» / О. В. Прядко.</w:t>
      </w:r>
      <w:r w:rsidRPr="00255336">
        <w:rPr>
          <w:rFonts w:ascii="Times New Roman" w:hAnsi="Times New Roman"/>
          <w:sz w:val="28"/>
          <w:szCs w:val="28"/>
          <w:shd w:val="clear" w:color="auto" w:fill="F9F9F9"/>
          <w:lang w:val="uk-UA"/>
        </w:rPr>
        <w:t xml:space="preserve">  </w:t>
      </w:r>
      <w:r w:rsidRPr="00255336">
        <w:rPr>
          <w:rFonts w:ascii="Times New Roman" w:hAnsi="Times New Roman"/>
          <w:sz w:val="28"/>
          <w:szCs w:val="28"/>
          <w:lang w:val="uk-UA"/>
        </w:rPr>
        <w:t>–</w:t>
      </w:r>
      <w:r w:rsidRPr="00255336">
        <w:rPr>
          <w:rFonts w:ascii="Times New Roman" w:hAnsi="Times New Roman"/>
          <w:sz w:val="28"/>
          <w:szCs w:val="28"/>
          <w:shd w:val="clear" w:color="auto" w:fill="F9F9F9"/>
          <w:lang w:val="uk-UA"/>
        </w:rPr>
        <w:t xml:space="preserve">  К., 2005. </w:t>
      </w:r>
      <w:r w:rsidRPr="00255336">
        <w:rPr>
          <w:rFonts w:ascii="Times New Roman" w:hAnsi="Times New Roman"/>
          <w:sz w:val="28"/>
          <w:szCs w:val="28"/>
          <w:lang w:val="uk-UA"/>
        </w:rPr>
        <w:t>–</w:t>
      </w:r>
      <w:r w:rsidRPr="00255336">
        <w:rPr>
          <w:rFonts w:ascii="Times New Roman" w:hAnsi="Times New Roman"/>
          <w:sz w:val="28"/>
          <w:szCs w:val="28"/>
          <w:shd w:val="clear" w:color="auto" w:fill="F9F9F9"/>
          <w:lang w:val="uk-UA"/>
        </w:rPr>
        <w:t xml:space="preserve"> 21 с. </w:t>
      </w:r>
    </w:p>
    <w:p w:rsidR="0080024C" w:rsidRPr="004B2DE5" w:rsidRDefault="0080024C" w:rsidP="0080024C">
      <w:pPr>
        <w:pStyle w:val="a6"/>
        <w:numPr>
          <w:ilvl w:val="0"/>
          <w:numId w:val="2"/>
        </w:numPr>
        <w:spacing w:after="0" w:line="360" w:lineRule="auto"/>
        <w:ind w:left="284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255336">
        <w:rPr>
          <w:rFonts w:ascii="Times New Roman" w:hAnsi="Times New Roman"/>
          <w:sz w:val="28"/>
          <w:szCs w:val="28"/>
          <w:lang w:val="uk-UA"/>
        </w:rPr>
        <w:t xml:space="preserve">Родіонова І.О.  </w:t>
      </w:r>
      <w:r w:rsidRPr="00255336">
        <w:rPr>
          <w:rFonts w:ascii="Times New Roman" w:hAnsi="Times New Roman"/>
          <w:bCs/>
          <w:sz w:val="28"/>
          <w:szCs w:val="28"/>
          <w:lang w:val="uk-UA"/>
        </w:rPr>
        <w:t>Гематологічні захворювання в клінічній практиці / І..О.</w:t>
      </w:r>
      <w:r w:rsidRPr="004B2DE5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4B2DE5">
        <w:rPr>
          <w:rFonts w:ascii="Times New Roman" w:hAnsi="Times New Roman"/>
          <w:sz w:val="28"/>
          <w:szCs w:val="28"/>
          <w:lang w:val="uk-UA"/>
        </w:rPr>
        <w:t>Родіонова,  В. І. Бульда, Н. А. Дземан. –</w:t>
      </w:r>
      <w:r w:rsidRPr="004B2DE5">
        <w:rPr>
          <w:rFonts w:ascii="Times New Roman" w:hAnsi="Times New Roman"/>
          <w:bCs/>
          <w:sz w:val="28"/>
          <w:szCs w:val="28"/>
          <w:lang w:val="uk-UA"/>
        </w:rPr>
        <w:t xml:space="preserve"> Київ: Видавничий дом «Медкнига». </w:t>
      </w:r>
      <w:r w:rsidRPr="004B2DE5">
        <w:rPr>
          <w:rFonts w:ascii="Times New Roman" w:hAnsi="Times New Roman"/>
          <w:bCs/>
          <w:sz w:val="28"/>
          <w:szCs w:val="28"/>
        </w:rPr>
        <w:t xml:space="preserve">2023. –  196 </w:t>
      </w:r>
      <w:r w:rsidRPr="004B2DE5">
        <w:rPr>
          <w:rFonts w:ascii="Times New Roman" w:hAnsi="Times New Roman"/>
          <w:bCs/>
          <w:sz w:val="28"/>
          <w:szCs w:val="28"/>
          <w:lang w:val="ru-RU"/>
        </w:rPr>
        <w:t>с</w:t>
      </w:r>
      <w:r w:rsidRPr="004B2DE5">
        <w:rPr>
          <w:rFonts w:ascii="Times New Roman" w:hAnsi="Times New Roman"/>
          <w:bCs/>
          <w:sz w:val="28"/>
          <w:szCs w:val="28"/>
        </w:rPr>
        <w:t>.</w:t>
      </w:r>
    </w:p>
    <w:p w:rsidR="0080024C" w:rsidRPr="004B2DE5" w:rsidRDefault="0080024C" w:rsidP="0080024C">
      <w:pPr>
        <w:numPr>
          <w:ilvl w:val="0"/>
          <w:numId w:val="2"/>
        </w:numPr>
        <w:spacing w:line="360" w:lineRule="auto"/>
        <w:ind w:left="284" w:firstLine="0"/>
        <w:jc w:val="both"/>
        <w:rPr>
          <w:sz w:val="28"/>
          <w:szCs w:val="28"/>
          <w:shd w:val="clear" w:color="auto" w:fill="FFFFFF"/>
          <w:lang w:val="uk-UA"/>
        </w:rPr>
      </w:pPr>
      <w:r w:rsidRPr="004B2DE5">
        <w:rPr>
          <w:sz w:val="28"/>
          <w:szCs w:val="28"/>
          <w:shd w:val="clear" w:color="auto" w:fill="FFFFFF"/>
          <w:lang w:val="uk-UA"/>
        </w:rPr>
        <w:t xml:space="preserve"> Савченко Д. С. Експериментальне обгрунтування протимікробної та сорбційної активності ентеросорбенту з наносріблом  : автореферат дис. . </w:t>
      </w:r>
      <w:r w:rsidRPr="004B2DE5">
        <w:rPr>
          <w:sz w:val="28"/>
          <w:szCs w:val="28"/>
          <w:shd w:val="clear" w:color="auto" w:fill="FFFFFF"/>
          <w:lang w:val="uk-UA"/>
        </w:rPr>
        <w:lastRenderedPageBreak/>
        <w:t>канд. фармац. наук : 14.03.05  «Фармакологія» / Д. С.</w:t>
      </w:r>
      <w:r w:rsidRPr="004B2DE5">
        <w:rPr>
          <w:sz w:val="28"/>
          <w:szCs w:val="28"/>
          <w:shd w:val="clear" w:color="auto" w:fill="FFFFFF"/>
        </w:rPr>
        <w:t> </w:t>
      </w:r>
      <w:r w:rsidRPr="004B2DE5">
        <w:rPr>
          <w:bCs/>
          <w:sz w:val="28"/>
          <w:szCs w:val="28"/>
          <w:shd w:val="clear" w:color="auto" w:fill="FFFFFF"/>
          <w:lang w:val="uk-UA"/>
        </w:rPr>
        <w:t>Савченко</w:t>
      </w:r>
      <w:r w:rsidRPr="004B2DE5">
        <w:rPr>
          <w:sz w:val="28"/>
          <w:szCs w:val="28"/>
          <w:shd w:val="clear" w:color="auto" w:fill="FFFFFF"/>
          <w:lang w:val="uk-UA"/>
        </w:rPr>
        <w:t>. - Харків, 2014. - 20 с.</w:t>
      </w:r>
    </w:p>
    <w:p w:rsidR="0080024C" w:rsidRPr="00255336" w:rsidRDefault="0080024C" w:rsidP="0080024C">
      <w:pPr>
        <w:numPr>
          <w:ilvl w:val="0"/>
          <w:numId w:val="2"/>
        </w:numPr>
        <w:spacing w:line="360" w:lineRule="auto"/>
        <w:ind w:left="284" w:firstLine="0"/>
        <w:jc w:val="both"/>
        <w:rPr>
          <w:sz w:val="28"/>
          <w:szCs w:val="28"/>
          <w:shd w:val="clear" w:color="auto" w:fill="FFFFFF"/>
          <w:lang w:val="uk-UA"/>
        </w:rPr>
      </w:pPr>
      <w:r w:rsidRPr="00255336">
        <w:rPr>
          <w:sz w:val="28"/>
          <w:szCs w:val="28"/>
          <w:shd w:val="clear" w:color="auto" w:fill="FFFFFF"/>
          <w:lang w:val="uk-UA"/>
        </w:rPr>
        <w:t xml:space="preserve">Сахно Л. О. </w:t>
      </w:r>
      <w:r w:rsidRPr="00255336">
        <w:rPr>
          <w:sz w:val="28"/>
          <w:szCs w:val="28"/>
          <w:lang w:val="uk-UA"/>
        </w:rPr>
        <w:t xml:space="preserve">Експериментальне вивчення деяких лікувальних ефектів ентеросорбції / </w:t>
      </w:r>
      <w:r w:rsidRPr="00255336">
        <w:rPr>
          <w:sz w:val="28"/>
          <w:szCs w:val="28"/>
          <w:shd w:val="clear" w:color="auto" w:fill="FFFFFF"/>
          <w:lang w:val="uk-UA"/>
        </w:rPr>
        <w:t xml:space="preserve">Л. О. Сахно, К. І. Бардахівська, В. М. Масленний, Є. О. Снєжкова, О. С. Сидоренко, О. М. Щербатюк </w:t>
      </w:r>
      <w:r w:rsidRPr="00255336">
        <w:rPr>
          <w:sz w:val="28"/>
          <w:szCs w:val="28"/>
          <w:lang w:val="uk-UA"/>
        </w:rPr>
        <w:t xml:space="preserve"> //Український журнал сучасних проблем токсикології. – </w:t>
      </w:r>
      <w:hyperlink r:id="rId11" w:history="1">
        <w:r w:rsidRPr="00255336">
          <w:rPr>
            <w:rStyle w:val="a4"/>
            <w:sz w:val="28"/>
            <w:szCs w:val="28"/>
            <w:bdr w:val="none" w:sz="0" w:space="0" w:color="auto" w:frame="1"/>
            <w:shd w:val="clear" w:color="auto" w:fill="FFFFFF"/>
            <w:lang w:val="uk-UA"/>
          </w:rPr>
          <w:t xml:space="preserve">2014. </w:t>
        </w:r>
        <w:r w:rsidRPr="00255336">
          <w:rPr>
            <w:sz w:val="28"/>
            <w:szCs w:val="28"/>
            <w:lang w:val="uk-UA"/>
          </w:rPr>
          <w:t>–</w:t>
        </w:r>
        <w:r w:rsidRPr="00255336">
          <w:rPr>
            <w:rStyle w:val="a4"/>
            <w:sz w:val="28"/>
            <w:szCs w:val="28"/>
            <w:bdr w:val="none" w:sz="0" w:space="0" w:color="auto" w:frame="1"/>
            <w:shd w:val="clear" w:color="auto" w:fill="FFFFFF"/>
            <w:lang w:val="uk-UA"/>
          </w:rPr>
          <w:t xml:space="preserve"> №1-2 (64-65)</w:t>
        </w:r>
      </w:hyperlink>
      <w:r w:rsidRPr="00255336">
        <w:rPr>
          <w:sz w:val="28"/>
          <w:szCs w:val="28"/>
          <w:lang w:val="uk-UA"/>
        </w:rPr>
        <w:t>. – С. 44-47.</w:t>
      </w:r>
    </w:p>
    <w:p w:rsidR="0080024C" w:rsidRPr="00D65B3A" w:rsidRDefault="0080024C" w:rsidP="0080024C">
      <w:pPr>
        <w:numPr>
          <w:ilvl w:val="0"/>
          <w:numId w:val="2"/>
        </w:numPr>
        <w:spacing w:line="360" w:lineRule="auto"/>
        <w:ind w:left="284" w:firstLine="0"/>
        <w:jc w:val="both"/>
        <w:rPr>
          <w:sz w:val="28"/>
          <w:szCs w:val="28"/>
          <w:lang w:val="uk-UA"/>
        </w:rPr>
      </w:pPr>
      <w:r w:rsidRPr="00255336">
        <w:rPr>
          <w:sz w:val="28"/>
          <w:szCs w:val="28"/>
          <w:lang w:val="uk-UA"/>
        </w:rPr>
        <w:t>Струс О. Є.  Теоретичне та експериментальне обґрунтування комплексного використання сапропелів для створення лікарських,</w:t>
      </w:r>
      <w:r w:rsidRPr="00D65B3A">
        <w:rPr>
          <w:sz w:val="28"/>
          <w:szCs w:val="28"/>
          <w:lang w:val="uk-UA"/>
        </w:rPr>
        <w:t xml:space="preserve"> ветеринарних та косметичних засобів : автореф.дис. … канд.вет.н.: 15.00.01  «Технологія ліків, організація фармацевтичної справи». – Львів,  2021. – 23 с.</w:t>
      </w:r>
    </w:p>
    <w:p w:rsidR="0080024C" w:rsidRPr="00D65B3A" w:rsidRDefault="0080024C" w:rsidP="0080024C">
      <w:pPr>
        <w:numPr>
          <w:ilvl w:val="0"/>
          <w:numId w:val="2"/>
        </w:numPr>
        <w:autoSpaceDE w:val="0"/>
        <w:autoSpaceDN w:val="0"/>
        <w:adjustRightInd w:val="0"/>
        <w:spacing w:line="360" w:lineRule="auto"/>
        <w:ind w:left="284" w:firstLine="0"/>
        <w:jc w:val="both"/>
        <w:rPr>
          <w:bCs/>
          <w:sz w:val="28"/>
          <w:szCs w:val="28"/>
          <w:lang w:val="uk-UA"/>
        </w:rPr>
      </w:pPr>
      <w:r w:rsidRPr="00D65B3A">
        <w:rPr>
          <w:bCs/>
          <w:sz w:val="28"/>
          <w:szCs w:val="28"/>
        </w:rPr>
        <w:t xml:space="preserve">Тарасенко Ю. О. </w:t>
      </w:r>
      <w:r w:rsidRPr="00D65B3A">
        <w:rPr>
          <w:bCs/>
          <w:sz w:val="28"/>
          <w:szCs w:val="28"/>
          <w:lang w:val="uk-UA"/>
        </w:rPr>
        <w:t xml:space="preserve"> Ентеросорбція як метод виведення з організму важких</w:t>
      </w:r>
    </w:p>
    <w:p w:rsidR="0080024C" w:rsidRPr="00D65B3A" w:rsidRDefault="0080024C" w:rsidP="0080024C">
      <w:pPr>
        <w:autoSpaceDE w:val="0"/>
        <w:autoSpaceDN w:val="0"/>
        <w:adjustRightInd w:val="0"/>
        <w:spacing w:line="360" w:lineRule="auto"/>
        <w:ind w:left="284"/>
        <w:jc w:val="both"/>
        <w:rPr>
          <w:bCs/>
          <w:sz w:val="28"/>
          <w:szCs w:val="28"/>
        </w:rPr>
      </w:pPr>
      <w:r w:rsidRPr="00D65B3A">
        <w:rPr>
          <w:bCs/>
          <w:sz w:val="28"/>
          <w:szCs w:val="28"/>
          <w:lang w:val="uk-UA"/>
        </w:rPr>
        <w:t xml:space="preserve">металів і радіонуклідів / </w:t>
      </w:r>
      <w:r w:rsidRPr="00D65B3A">
        <w:rPr>
          <w:bCs/>
          <w:sz w:val="28"/>
          <w:szCs w:val="28"/>
        </w:rPr>
        <w:t xml:space="preserve">Ю. О. Тарасенко, І. І. Геращенко, М. Т. Картель </w:t>
      </w:r>
      <w:r w:rsidRPr="00D65B3A">
        <w:rPr>
          <w:b/>
          <w:bCs/>
          <w:sz w:val="28"/>
          <w:szCs w:val="28"/>
        </w:rPr>
        <w:t>//</w:t>
      </w:r>
      <w:r w:rsidRPr="00D65B3A">
        <w:rPr>
          <w:i/>
          <w:iCs/>
          <w:sz w:val="28"/>
          <w:szCs w:val="28"/>
        </w:rPr>
        <w:t xml:space="preserve"> </w:t>
      </w:r>
      <w:r w:rsidRPr="00D65B3A">
        <w:rPr>
          <w:iCs/>
          <w:sz w:val="28"/>
          <w:szCs w:val="28"/>
        </w:rPr>
        <w:t>Поверхность.</w:t>
      </w:r>
      <w:r w:rsidRPr="00D65B3A">
        <w:rPr>
          <w:sz w:val="28"/>
          <w:szCs w:val="28"/>
          <w:lang w:val="uk-UA"/>
        </w:rPr>
        <w:t xml:space="preserve"> – </w:t>
      </w:r>
      <w:r w:rsidRPr="00D65B3A">
        <w:rPr>
          <w:iCs/>
          <w:sz w:val="28"/>
          <w:szCs w:val="28"/>
        </w:rPr>
        <w:t>2014.</w:t>
      </w:r>
      <w:r w:rsidRPr="00D65B3A">
        <w:rPr>
          <w:sz w:val="28"/>
          <w:szCs w:val="28"/>
          <w:lang w:val="uk-UA"/>
        </w:rPr>
        <w:t xml:space="preserve"> – </w:t>
      </w:r>
      <w:r w:rsidRPr="00D65B3A">
        <w:rPr>
          <w:iCs/>
          <w:sz w:val="28"/>
          <w:szCs w:val="28"/>
        </w:rPr>
        <w:t>Вып. 6(21).</w:t>
      </w:r>
      <w:r w:rsidRPr="00D65B3A">
        <w:rPr>
          <w:sz w:val="28"/>
          <w:szCs w:val="28"/>
          <w:lang w:val="uk-UA"/>
        </w:rPr>
        <w:t xml:space="preserve"> –</w:t>
      </w:r>
      <w:r w:rsidRPr="00D65B3A">
        <w:rPr>
          <w:iCs/>
          <w:sz w:val="28"/>
          <w:szCs w:val="28"/>
        </w:rPr>
        <w:t>С. 110-121.</w:t>
      </w:r>
      <w:r w:rsidRPr="00D65B3A">
        <w:rPr>
          <w:i/>
          <w:iCs/>
          <w:sz w:val="28"/>
          <w:szCs w:val="28"/>
        </w:rPr>
        <w:t xml:space="preserve"> </w:t>
      </w:r>
    </w:p>
    <w:p w:rsidR="0080024C" w:rsidRPr="00D65B3A" w:rsidRDefault="0080024C" w:rsidP="0080024C">
      <w:pPr>
        <w:pStyle w:val="a3"/>
        <w:numPr>
          <w:ilvl w:val="0"/>
          <w:numId w:val="2"/>
        </w:numPr>
        <w:shd w:val="clear" w:color="auto" w:fill="FFFFFF"/>
        <w:spacing w:before="0" w:beforeAutospacing="0" w:after="0" w:afterAutospacing="0" w:line="360" w:lineRule="auto"/>
        <w:ind w:left="284" w:firstLine="0"/>
        <w:rPr>
          <w:color w:val="292B2C"/>
          <w:sz w:val="28"/>
          <w:szCs w:val="28"/>
          <w:lang w:val="uk-UA" w:eastAsia="en-US"/>
        </w:rPr>
      </w:pPr>
      <w:r w:rsidRPr="00D65B3A">
        <w:rPr>
          <w:sz w:val="28"/>
          <w:szCs w:val="28"/>
          <w:lang w:val="uk-UA"/>
        </w:rPr>
        <w:t>Терещенко В. П.  Ентеросорбенти у медичній практиці: посібник для лікарів / В. П. Терещенко, В. А. Піщиков, Л. В. Дегтярьова та ін. / За ред. В.П. Терещенко, В.А. Піщикова. – К.: Міжрегіон. видав. центр «Медінформ», 2008. – 80 с.</w:t>
      </w:r>
    </w:p>
    <w:p w:rsidR="0080024C" w:rsidRPr="00D65B3A" w:rsidRDefault="0080024C" w:rsidP="0080024C">
      <w:pPr>
        <w:numPr>
          <w:ilvl w:val="0"/>
          <w:numId w:val="2"/>
        </w:numPr>
        <w:shd w:val="clear" w:color="auto" w:fill="FFFFFF"/>
        <w:spacing w:line="360" w:lineRule="auto"/>
        <w:ind w:left="284" w:firstLine="0"/>
        <w:jc w:val="both"/>
        <w:rPr>
          <w:sz w:val="28"/>
          <w:szCs w:val="28"/>
        </w:rPr>
      </w:pPr>
      <w:r w:rsidRPr="00D65B3A">
        <w:rPr>
          <w:sz w:val="28"/>
          <w:szCs w:val="28"/>
        </w:rPr>
        <w:t>Томчук  В. А. Ентеросорбенти, їх властивості та застосування  / В. А. Томчук // Біологія тварин. – 2014. – Т. 16, № 1. – С. 148-159.</w:t>
      </w:r>
    </w:p>
    <w:p w:rsidR="0080024C" w:rsidRPr="00D65B3A" w:rsidRDefault="0080024C" w:rsidP="0080024C">
      <w:pPr>
        <w:numPr>
          <w:ilvl w:val="0"/>
          <w:numId w:val="2"/>
        </w:numPr>
        <w:shd w:val="clear" w:color="auto" w:fill="FFFFFF"/>
        <w:spacing w:line="360" w:lineRule="auto"/>
        <w:ind w:left="284" w:firstLine="0"/>
        <w:jc w:val="both"/>
        <w:rPr>
          <w:sz w:val="28"/>
          <w:szCs w:val="28"/>
        </w:rPr>
      </w:pPr>
      <w:r w:rsidRPr="00D65B3A">
        <w:rPr>
          <w:sz w:val="28"/>
          <w:szCs w:val="28"/>
          <w:shd w:val="clear" w:color="auto" w:fill="F9F9F9"/>
          <w:lang w:val="uk-UA"/>
        </w:rPr>
        <w:t xml:space="preserve">Українець А. І. </w:t>
      </w:r>
      <w:r w:rsidRPr="00D65B3A">
        <w:rPr>
          <w:bCs/>
          <w:sz w:val="28"/>
          <w:szCs w:val="28"/>
          <w:shd w:val="clear" w:color="auto" w:fill="F9F9F9"/>
          <w:lang w:val="uk-UA"/>
        </w:rPr>
        <w:t>Інновації в харчовій</w:t>
      </w:r>
      <w:r w:rsidRPr="00D65B3A">
        <w:rPr>
          <w:sz w:val="28"/>
          <w:szCs w:val="28"/>
          <w:shd w:val="clear" w:color="auto" w:fill="F9F9F9"/>
        </w:rPr>
        <w:t> </w:t>
      </w:r>
      <w:r w:rsidRPr="00D65B3A">
        <w:rPr>
          <w:sz w:val="28"/>
          <w:szCs w:val="28"/>
          <w:shd w:val="clear" w:color="auto" w:fill="F9F9F9"/>
          <w:lang w:val="uk-UA"/>
        </w:rPr>
        <w:t xml:space="preserve">промисловості: від наукової ідеї до впровадження [Текст] : монографія / А. І. Українець [та ін.] ; Нац. ун-т харч. технологій, Київ. нац. торг.-екон. ун-т. </w:t>
      </w:r>
      <w:r w:rsidRPr="00D65B3A">
        <w:rPr>
          <w:sz w:val="28"/>
          <w:szCs w:val="28"/>
          <w:lang w:val="uk-UA"/>
        </w:rPr>
        <w:t>–</w:t>
      </w:r>
      <w:r w:rsidRPr="00D65B3A">
        <w:rPr>
          <w:sz w:val="28"/>
          <w:szCs w:val="28"/>
          <w:shd w:val="clear" w:color="auto" w:fill="F9F9F9"/>
          <w:lang w:val="uk-UA"/>
        </w:rPr>
        <w:t xml:space="preserve"> Київ : Нац. ун-т харч. технологій : КНТЕУ, 2013. </w:t>
      </w:r>
      <w:r w:rsidRPr="00D65B3A">
        <w:rPr>
          <w:b/>
          <w:sz w:val="28"/>
          <w:szCs w:val="28"/>
          <w:bdr w:val="none" w:sz="0" w:space="0" w:color="auto" w:frame="1"/>
          <w:lang w:val="uk-UA"/>
        </w:rPr>
        <w:t xml:space="preserve">– </w:t>
      </w:r>
      <w:r w:rsidRPr="00D65B3A">
        <w:rPr>
          <w:sz w:val="28"/>
          <w:szCs w:val="28"/>
          <w:shd w:val="clear" w:color="auto" w:fill="F9F9F9"/>
          <w:lang w:val="uk-UA"/>
        </w:rPr>
        <w:t>359 с.</w:t>
      </w:r>
    </w:p>
    <w:p w:rsidR="0080024C" w:rsidRPr="00D65B3A" w:rsidRDefault="0080024C" w:rsidP="0080024C">
      <w:pPr>
        <w:numPr>
          <w:ilvl w:val="0"/>
          <w:numId w:val="2"/>
        </w:numPr>
        <w:shd w:val="clear" w:color="auto" w:fill="FFFFFF"/>
        <w:spacing w:line="360" w:lineRule="auto"/>
        <w:ind w:left="284" w:firstLine="0"/>
        <w:jc w:val="both"/>
        <w:rPr>
          <w:sz w:val="28"/>
          <w:szCs w:val="28"/>
          <w:lang w:val="uk-UA"/>
        </w:rPr>
      </w:pPr>
      <w:r w:rsidRPr="00D65B3A">
        <w:rPr>
          <w:sz w:val="28"/>
          <w:szCs w:val="28"/>
          <w:lang w:val="uk-UA"/>
        </w:rPr>
        <w:t>Шадрін О. Г. Застосування методів сорбції при захворюваннях печинки, асоційованих з дисбактеріозом кишечнику  у дітей ранього віку / О. Г. Шадрін, Н. Ф. Чернега  // Современная педиатрия. – 2012. – №3 (43). – С. 1-4.</w:t>
      </w:r>
    </w:p>
    <w:p w:rsidR="0080024C" w:rsidRPr="00D65B3A" w:rsidRDefault="0080024C" w:rsidP="0080024C">
      <w:pPr>
        <w:pStyle w:val="a6"/>
        <w:numPr>
          <w:ilvl w:val="0"/>
          <w:numId w:val="2"/>
        </w:numPr>
        <w:spacing w:after="0" w:line="360" w:lineRule="auto"/>
        <w:ind w:left="284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D65B3A">
        <w:rPr>
          <w:rFonts w:ascii="Times New Roman" w:hAnsi="Times New Roman"/>
          <w:sz w:val="28"/>
          <w:szCs w:val="28"/>
          <w:lang w:val="uk-UA"/>
        </w:rPr>
        <w:lastRenderedPageBreak/>
        <w:t>Шкромада О. І. Токсичний вплив оксидів металів на організм тварин / О. І. Шкромада // Вісник Полтавської державної аграрної академії. – 2012.– № 1. – С.119-121</w:t>
      </w:r>
    </w:p>
    <w:p w:rsidR="0080024C" w:rsidRPr="00D65B3A" w:rsidRDefault="0080024C" w:rsidP="0080024C">
      <w:pPr>
        <w:pStyle w:val="a6"/>
        <w:numPr>
          <w:ilvl w:val="0"/>
          <w:numId w:val="2"/>
        </w:numPr>
        <w:spacing w:after="0" w:line="360" w:lineRule="auto"/>
        <w:ind w:left="284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D65B3A">
        <w:rPr>
          <w:rFonts w:ascii="Times New Roman" w:hAnsi="Times New Roman"/>
          <w:sz w:val="28"/>
          <w:szCs w:val="28"/>
        </w:rPr>
        <w:t>Derkach</w:t>
      </w:r>
      <w:r w:rsidRPr="00D65B3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65B3A">
        <w:rPr>
          <w:rFonts w:ascii="Times New Roman" w:hAnsi="Times New Roman"/>
          <w:sz w:val="28"/>
          <w:szCs w:val="28"/>
        </w:rPr>
        <w:t xml:space="preserve">I. M. </w:t>
      </w:r>
      <w:r w:rsidRPr="00D65B3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65B3A">
        <w:rPr>
          <w:rFonts w:ascii="Times New Roman" w:hAnsi="Times New Roman"/>
          <w:sz w:val="28"/>
          <w:szCs w:val="28"/>
        </w:rPr>
        <w:t>Pharmaco-toxicological characteristic of Iron(IV) clathrochelate complex. An analysis / I. M. Derkach, V. B. Dukhnitskyі, S. S. Derkach, I. O. Fritsky, M. O. Plutenko, V.M. Lozovyi.</w:t>
      </w:r>
      <w:r w:rsidRPr="00D65B3A">
        <w:rPr>
          <w:rFonts w:ascii="Times New Roman" w:hAnsi="Times New Roman"/>
          <w:sz w:val="28"/>
          <w:szCs w:val="28"/>
          <w:lang w:val="uk-UA"/>
        </w:rPr>
        <w:t xml:space="preserve">- </w:t>
      </w:r>
      <w:r w:rsidRPr="00D65B3A">
        <w:rPr>
          <w:rFonts w:ascii="Times New Roman" w:hAnsi="Times New Roman"/>
          <w:sz w:val="28"/>
          <w:szCs w:val="28"/>
        </w:rPr>
        <w:t xml:space="preserve"> Munich</w:t>
      </w:r>
      <w:r w:rsidRPr="00D65B3A">
        <w:rPr>
          <w:rFonts w:ascii="Times New Roman" w:hAnsi="Times New Roman"/>
          <w:sz w:val="28"/>
          <w:szCs w:val="28"/>
          <w:lang w:val="ru-RU"/>
        </w:rPr>
        <w:t>, 2021.</w:t>
      </w:r>
      <w:r w:rsidRPr="00D65B3A">
        <w:rPr>
          <w:rFonts w:ascii="Times New Roman" w:hAnsi="Times New Roman"/>
          <w:sz w:val="28"/>
          <w:szCs w:val="28"/>
          <w:lang w:val="uk-UA"/>
        </w:rPr>
        <w:t xml:space="preserve"> –</w:t>
      </w:r>
      <w:r w:rsidRPr="00D65B3A">
        <w:rPr>
          <w:rFonts w:ascii="Times New Roman" w:hAnsi="Times New Roman"/>
          <w:sz w:val="28"/>
          <w:szCs w:val="28"/>
          <w:lang w:val="ru-RU"/>
        </w:rPr>
        <w:t xml:space="preserve"> 60 </w:t>
      </w:r>
      <w:r w:rsidRPr="00D65B3A">
        <w:rPr>
          <w:rFonts w:ascii="Times New Roman" w:hAnsi="Times New Roman"/>
          <w:sz w:val="28"/>
          <w:szCs w:val="28"/>
        </w:rPr>
        <w:t>p</w:t>
      </w:r>
      <w:r w:rsidRPr="00D65B3A">
        <w:rPr>
          <w:rFonts w:ascii="Times New Roman" w:hAnsi="Times New Roman"/>
          <w:sz w:val="28"/>
          <w:szCs w:val="28"/>
          <w:lang w:val="ru-RU"/>
        </w:rPr>
        <w:t>.</w:t>
      </w:r>
    </w:p>
    <w:p w:rsidR="0080024C" w:rsidRPr="00D65B3A" w:rsidRDefault="0080024C" w:rsidP="0080024C">
      <w:pPr>
        <w:pStyle w:val="a6"/>
        <w:numPr>
          <w:ilvl w:val="0"/>
          <w:numId w:val="2"/>
        </w:numPr>
        <w:spacing w:after="0" w:line="360" w:lineRule="auto"/>
        <w:ind w:left="284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D65B3A">
        <w:rPr>
          <w:rFonts w:ascii="Times New Roman" w:hAnsi="Times New Roman"/>
          <w:sz w:val="28"/>
          <w:szCs w:val="28"/>
        </w:rPr>
        <w:t>Vinogradova</w:t>
      </w:r>
      <w:r w:rsidRPr="00D65B3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65B3A">
        <w:rPr>
          <w:rFonts w:ascii="Times New Roman" w:hAnsi="Times New Roman"/>
          <w:sz w:val="28"/>
          <w:szCs w:val="28"/>
        </w:rPr>
        <w:t>O</w:t>
      </w:r>
      <w:r w:rsidRPr="00D65B3A">
        <w:rPr>
          <w:rFonts w:ascii="Times New Roman" w:hAnsi="Times New Roman"/>
          <w:sz w:val="28"/>
          <w:szCs w:val="28"/>
          <w:lang w:val="uk-UA"/>
        </w:rPr>
        <w:t>.</w:t>
      </w:r>
      <w:r w:rsidRPr="00D65B3A">
        <w:rPr>
          <w:rFonts w:ascii="Times New Roman" w:hAnsi="Times New Roman"/>
          <w:sz w:val="28"/>
          <w:szCs w:val="28"/>
        </w:rPr>
        <w:t>P</w:t>
      </w:r>
      <w:r w:rsidRPr="00D65B3A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D65B3A">
        <w:rPr>
          <w:rFonts w:ascii="Times New Roman" w:hAnsi="Times New Roman"/>
          <w:sz w:val="28"/>
          <w:szCs w:val="28"/>
        </w:rPr>
        <w:t>Antianemic</w:t>
      </w:r>
      <w:r w:rsidRPr="00D65B3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65B3A">
        <w:rPr>
          <w:rFonts w:ascii="Times New Roman" w:hAnsi="Times New Roman"/>
          <w:sz w:val="28"/>
          <w:szCs w:val="28"/>
        </w:rPr>
        <w:t>preparations</w:t>
      </w:r>
      <w:r w:rsidRPr="00D65B3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65B3A">
        <w:rPr>
          <w:rFonts w:ascii="Times New Roman" w:hAnsi="Times New Roman"/>
          <w:sz w:val="28"/>
          <w:szCs w:val="28"/>
        </w:rPr>
        <w:t>in</w:t>
      </w:r>
      <w:r w:rsidRPr="00D65B3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65B3A">
        <w:rPr>
          <w:rFonts w:ascii="Times New Roman" w:hAnsi="Times New Roman"/>
          <w:sz w:val="28"/>
          <w:szCs w:val="28"/>
        </w:rPr>
        <w:t>complex</w:t>
      </w:r>
      <w:r w:rsidRPr="00D65B3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65B3A">
        <w:rPr>
          <w:rFonts w:ascii="Times New Roman" w:hAnsi="Times New Roman"/>
          <w:sz w:val="28"/>
          <w:szCs w:val="28"/>
        </w:rPr>
        <w:t>treatment</w:t>
      </w:r>
      <w:r w:rsidRPr="00D65B3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65B3A">
        <w:rPr>
          <w:rFonts w:ascii="Times New Roman" w:hAnsi="Times New Roman"/>
          <w:sz w:val="28"/>
          <w:szCs w:val="28"/>
        </w:rPr>
        <w:t>of</w:t>
      </w:r>
      <w:r w:rsidRPr="00D65B3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65B3A">
        <w:rPr>
          <w:rFonts w:ascii="Times New Roman" w:hAnsi="Times New Roman"/>
          <w:sz w:val="28"/>
          <w:szCs w:val="28"/>
        </w:rPr>
        <w:t>inflammatory</w:t>
      </w:r>
      <w:r w:rsidRPr="00D65B3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65B3A">
        <w:rPr>
          <w:rFonts w:ascii="Times New Roman" w:hAnsi="Times New Roman"/>
          <w:sz w:val="28"/>
          <w:szCs w:val="28"/>
        </w:rPr>
        <w:t>diseases</w:t>
      </w:r>
      <w:r w:rsidRPr="00D65B3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65B3A">
        <w:rPr>
          <w:rFonts w:ascii="Times New Roman" w:hAnsi="Times New Roman"/>
          <w:sz w:val="28"/>
          <w:szCs w:val="28"/>
        </w:rPr>
        <w:t>of</w:t>
      </w:r>
      <w:r w:rsidRPr="00D65B3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65B3A">
        <w:rPr>
          <w:rFonts w:ascii="Times New Roman" w:hAnsi="Times New Roman"/>
          <w:sz w:val="28"/>
          <w:szCs w:val="28"/>
        </w:rPr>
        <w:t>small organs</w:t>
      </w:r>
      <w:r w:rsidRPr="00D65B3A">
        <w:rPr>
          <w:rFonts w:ascii="Times New Roman" w:hAnsi="Times New Roman"/>
          <w:sz w:val="28"/>
          <w:szCs w:val="28"/>
          <w:lang w:val="uk-UA"/>
        </w:rPr>
        <w:t xml:space="preserve"> / </w:t>
      </w:r>
      <w:r w:rsidRPr="00D65B3A">
        <w:rPr>
          <w:rFonts w:ascii="Times New Roman" w:hAnsi="Times New Roman"/>
          <w:sz w:val="28"/>
          <w:szCs w:val="28"/>
        </w:rPr>
        <w:t>O</w:t>
      </w:r>
      <w:r w:rsidRPr="00D65B3A">
        <w:rPr>
          <w:rFonts w:ascii="Times New Roman" w:hAnsi="Times New Roman"/>
          <w:sz w:val="28"/>
          <w:szCs w:val="28"/>
          <w:lang w:val="uk-UA"/>
        </w:rPr>
        <w:t>.</w:t>
      </w:r>
      <w:r w:rsidRPr="00D65B3A">
        <w:rPr>
          <w:rFonts w:ascii="Times New Roman" w:hAnsi="Times New Roman"/>
          <w:sz w:val="28"/>
          <w:szCs w:val="28"/>
        </w:rPr>
        <w:t>P</w:t>
      </w:r>
      <w:r w:rsidRPr="00D65B3A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D65B3A">
        <w:rPr>
          <w:rFonts w:ascii="Times New Roman" w:hAnsi="Times New Roman"/>
          <w:sz w:val="28"/>
          <w:szCs w:val="28"/>
        </w:rPr>
        <w:t>Vinogradova</w:t>
      </w:r>
      <w:r w:rsidRPr="00D65B3A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D65B3A">
        <w:rPr>
          <w:rFonts w:ascii="Times New Roman" w:hAnsi="Times New Roman"/>
          <w:sz w:val="28"/>
          <w:szCs w:val="28"/>
        </w:rPr>
        <w:t>M</w:t>
      </w:r>
      <w:r w:rsidRPr="00D65B3A">
        <w:rPr>
          <w:rFonts w:ascii="Times New Roman" w:hAnsi="Times New Roman"/>
          <w:sz w:val="28"/>
          <w:szCs w:val="28"/>
          <w:lang w:val="uk-UA"/>
        </w:rPr>
        <w:t>.</w:t>
      </w:r>
      <w:r w:rsidRPr="00D65B3A">
        <w:rPr>
          <w:rFonts w:ascii="Times New Roman" w:hAnsi="Times New Roman"/>
          <w:sz w:val="28"/>
          <w:szCs w:val="28"/>
        </w:rPr>
        <w:t>N</w:t>
      </w:r>
      <w:r w:rsidRPr="00D65B3A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D65B3A">
        <w:rPr>
          <w:rFonts w:ascii="Times New Roman" w:hAnsi="Times New Roman"/>
          <w:sz w:val="28"/>
          <w:szCs w:val="28"/>
        </w:rPr>
        <w:t>Kuznetsova</w:t>
      </w:r>
      <w:r w:rsidRPr="00D65B3A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D65B3A">
        <w:rPr>
          <w:rFonts w:ascii="Times New Roman" w:hAnsi="Times New Roman"/>
          <w:sz w:val="28"/>
          <w:szCs w:val="28"/>
        </w:rPr>
        <w:t>O</w:t>
      </w:r>
      <w:r w:rsidRPr="00D65B3A">
        <w:rPr>
          <w:rFonts w:ascii="Times New Roman" w:hAnsi="Times New Roman"/>
          <w:sz w:val="28"/>
          <w:szCs w:val="28"/>
          <w:lang w:val="uk-UA"/>
        </w:rPr>
        <w:t>.</w:t>
      </w:r>
      <w:r w:rsidRPr="00D65B3A">
        <w:rPr>
          <w:rFonts w:ascii="Times New Roman" w:hAnsi="Times New Roman"/>
          <w:sz w:val="28"/>
          <w:szCs w:val="28"/>
        </w:rPr>
        <w:t>A</w:t>
      </w:r>
      <w:r w:rsidRPr="00D65B3A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D65B3A">
        <w:rPr>
          <w:rFonts w:ascii="Times New Roman" w:hAnsi="Times New Roman"/>
          <w:sz w:val="28"/>
          <w:szCs w:val="28"/>
        </w:rPr>
        <w:t>Biryuchkova</w:t>
      </w:r>
      <w:r w:rsidRPr="00D65B3A">
        <w:rPr>
          <w:rFonts w:ascii="Times New Roman" w:hAnsi="Times New Roman"/>
          <w:sz w:val="28"/>
          <w:szCs w:val="28"/>
          <w:lang w:val="uk-UA"/>
        </w:rPr>
        <w:t xml:space="preserve"> //</w:t>
      </w:r>
      <w:r w:rsidRPr="00D65B3A">
        <w:rPr>
          <w:rFonts w:ascii="Times New Roman" w:hAnsi="Times New Roman"/>
          <w:sz w:val="28"/>
          <w:szCs w:val="28"/>
        </w:rPr>
        <w:t xml:space="preserve"> Obstetrics Gynecol.</w:t>
      </w:r>
      <w:r w:rsidRPr="00D65B3A">
        <w:rPr>
          <w:rFonts w:ascii="Times New Roman" w:hAnsi="Times New Roman"/>
          <w:sz w:val="28"/>
          <w:szCs w:val="28"/>
          <w:lang w:val="uk-UA"/>
        </w:rPr>
        <w:t xml:space="preserve"> –</w:t>
      </w:r>
      <w:r w:rsidRPr="00D65B3A">
        <w:rPr>
          <w:rFonts w:ascii="Times New Roman" w:hAnsi="Times New Roman"/>
          <w:sz w:val="28"/>
          <w:szCs w:val="28"/>
        </w:rPr>
        <w:t xml:space="preserve"> 2015</w:t>
      </w:r>
      <w:r w:rsidRPr="00D65B3A">
        <w:rPr>
          <w:rFonts w:ascii="Times New Roman" w:hAnsi="Times New Roman"/>
          <w:sz w:val="28"/>
          <w:szCs w:val="28"/>
          <w:lang w:val="uk-UA"/>
        </w:rPr>
        <w:t>. –№2. – С.</w:t>
      </w:r>
      <w:r w:rsidRPr="00D65B3A">
        <w:rPr>
          <w:rFonts w:ascii="Times New Roman" w:hAnsi="Times New Roman"/>
          <w:sz w:val="28"/>
          <w:szCs w:val="28"/>
        </w:rPr>
        <w:t>49-52.</w:t>
      </w:r>
    </w:p>
    <w:p w:rsidR="0080024C" w:rsidRPr="00D65B3A" w:rsidRDefault="0080024C" w:rsidP="0080024C">
      <w:pPr>
        <w:pStyle w:val="a6"/>
        <w:numPr>
          <w:ilvl w:val="0"/>
          <w:numId w:val="2"/>
        </w:numPr>
        <w:spacing w:after="0" w:line="360" w:lineRule="auto"/>
        <w:ind w:left="284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D65B3A">
        <w:rPr>
          <w:rFonts w:ascii="Times New Roman" w:hAnsi="Times New Roman"/>
          <w:sz w:val="28"/>
          <w:szCs w:val="28"/>
        </w:rPr>
        <w:t>Patel R. R</w:t>
      </w:r>
      <w:r w:rsidRPr="00D65B3A">
        <w:rPr>
          <w:rFonts w:ascii="Times New Roman" w:hAnsi="Times New Roman"/>
          <w:sz w:val="28"/>
          <w:szCs w:val="28"/>
          <w:lang w:val="uk-UA"/>
        </w:rPr>
        <w:t xml:space="preserve">.  </w:t>
      </w:r>
      <w:r w:rsidRPr="00D65B3A">
        <w:rPr>
          <w:rFonts w:ascii="Times New Roman" w:hAnsi="Times New Roman"/>
          <w:sz w:val="28"/>
          <w:szCs w:val="28"/>
        </w:rPr>
        <w:t>Systemic iron overload associated with welder's siderosis</w:t>
      </w:r>
      <w:r w:rsidRPr="00D65B3A">
        <w:rPr>
          <w:rFonts w:ascii="Times New Roman" w:hAnsi="Times New Roman"/>
          <w:sz w:val="28"/>
          <w:szCs w:val="28"/>
          <w:lang w:val="uk-UA"/>
        </w:rPr>
        <w:t xml:space="preserve"> / </w:t>
      </w:r>
      <w:r w:rsidRPr="00D65B3A">
        <w:rPr>
          <w:rFonts w:ascii="Times New Roman" w:hAnsi="Times New Roman"/>
          <w:sz w:val="28"/>
          <w:szCs w:val="28"/>
        </w:rPr>
        <w:t>R. R</w:t>
      </w:r>
      <w:r w:rsidRPr="00D65B3A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D65B3A">
        <w:rPr>
          <w:rFonts w:ascii="Times New Roman" w:hAnsi="Times New Roman"/>
          <w:sz w:val="28"/>
          <w:szCs w:val="28"/>
        </w:rPr>
        <w:t>Patel, E. S. Yi</w:t>
      </w:r>
      <w:r w:rsidRPr="00D65B3A">
        <w:rPr>
          <w:rFonts w:ascii="Times New Roman" w:hAnsi="Times New Roman"/>
          <w:sz w:val="28"/>
          <w:szCs w:val="28"/>
          <w:lang w:val="uk-UA"/>
        </w:rPr>
        <w:t xml:space="preserve">,  </w:t>
      </w:r>
      <w:r w:rsidRPr="00D65B3A">
        <w:rPr>
          <w:rFonts w:ascii="Times New Roman" w:hAnsi="Times New Roman"/>
          <w:sz w:val="28"/>
          <w:szCs w:val="28"/>
        </w:rPr>
        <w:t>J. H., Ryu</w:t>
      </w:r>
      <w:r w:rsidRPr="00D65B3A">
        <w:rPr>
          <w:rFonts w:ascii="Times New Roman" w:hAnsi="Times New Roman"/>
          <w:sz w:val="28"/>
          <w:szCs w:val="28"/>
          <w:lang w:val="uk-UA"/>
        </w:rPr>
        <w:t xml:space="preserve"> //  </w:t>
      </w:r>
      <w:r w:rsidRPr="00D65B3A">
        <w:rPr>
          <w:rFonts w:ascii="Times New Roman" w:hAnsi="Times New Roman"/>
          <w:sz w:val="28"/>
          <w:szCs w:val="28"/>
        </w:rPr>
        <w:t>The American Journal of the Medical Sciences.</w:t>
      </w:r>
      <w:r w:rsidRPr="00D65B3A">
        <w:rPr>
          <w:rFonts w:ascii="Times New Roman" w:hAnsi="Times New Roman"/>
          <w:sz w:val="28"/>
          <w:szCs w:val="28"/>
          <w:lang w:val="uk-UA"/>
        </w:rPr>
        <w:t xml:space="preserve"> – 2009. –</w:t>
      </w:r>
      <w:r w:rsidRPr="00D65B3A">
        <w:rPr>
          <w:rFonts w:ascii="Times New Roman" w:hAnsi="Times New Roman"/>
          <w:sz w:val="28"/>
          <w:szCs w:val="28"/>
        </w:rPr>
        <w:t>337 (1)</w:t>
      </w:r>
      <w:r w:rsidRPr="00D65B3A">
        <w:rPr>
          <w:rFonts w:ascii="Times New Roman" w:hAnsi="Times New Roman"/>
          <w:sz w:val="28"/>
          <w:szCs w:val="28"/>
          <w:lang w:val="uk-UA"/>
        </w:rPr>
        <w:t>. – Р.</w:t>
      </w:r>
      <w:r w:rsidRPr="00D65B3A">
        <w:rPr>
          <w:rFonts w:ascii="Times New Roman" w:hAnsi="Times New Roman"/>
          <w:sz w:val="28"/>
          <w:szCs w:val="28"/>
        </w:rPr>
        <w:t xml:space="preserve"> 57</w:t>
      </w:r>
      <w:r w:rsidRPr="00D65B3A">
        <w:rPr>
          <w:rFonts w:ascii="Times New Roman" w:hAnsi="Times New Roman"/>
          <w:sz w:val="28"/>
          <w:szCs w:val="28"/>
          <w:lang w:val="uk-UA"/>
        </w:rPr>
        <w:t>-</w:t>
      </w:r>
      <w:r w:rsidRPr="00D65B3A">
        <w:rPr>
          <w:rFonts w:ascii="Times New Roman" w:hAnsi="Times New Roman"/>
          <w:sz w:val="28"/>
          <w:szCs w:val="28"/>
        </w:rPr>
        <w:t xml:space="preserve">59. </w:t>
      </w:r>
      <w:hyperlink r:id="rId12" w:history="1">
        <w:r w:rsidRPr="00D65B3A">
          <w:rPr>
            <w:rStyle w:val="a4"/>
            <w:rFonts w:ascii="Times New Roman" w:hAnsi="Times New Roman"/>
            <w:sz w:val="28"/>
            <w:szCs w:val="28"/>
          </w:rPr>
          <w:t>https://doi.org/10.1097/01.MAJ.0000308933. 80112.49</w:t>
        </w:r>
      </w:hyperlink>
      <w:r w:rsidRPr="00D65B3A">
        <w:rPr>
          <w:rFonts w:ascii="Times New Roman" w:hAnsi="Times New Roman"/>
          <w:sz w:val="28"/>
          <w:szCs w:val="28"/>
        </w:rPr>
        <w:t>.</w:t>
      </w:r>
    </w:p>
    <w:p w:rsidR="0080024C" w:rsidRPr="003D1892" w:rsidRDefault="0080024C" w:rsidP="00EA1EFC">
      <w:pPr>
        <w:spacing w:line="360" w:lineRule="auto"/>
        <w:ind w:firstLine="720"/>
        <w:jc w:val="both"/>
        <w:rPr>
          <w:sz w:val="28"/>
        </w:rPr>
      </w:pPr>
      <w:bookmarkStart w:id="1" w:name="_GoBack"/>
      <w:bookmarkEnd w:id="1"/>
    </w:p>
    <w:p w:rsidR="008234CC" w:rsidRDefault="008234CC"/>
    <w:sectPr w:rsidR="008234C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0F5A5E"/>
    <w:multiLevelType w:val="hybridMultilevel"/>
    <w:tmpl w:val="786E7908"/>
    <w:lvl w:ilvl="0" w:tplc="EB34D88E">
      <w:start w:val="1"/>
      <w:numFmt w:val="decimal"/>
      <w:lvlText w:val="%1."/>
      <w:lvlJc w:val="left"/>
      <w:pPr>
        <w:tabs>
          <w:tab w:val="num" w:pos="765"/>
        </w:tabs>
        <w:ind w:left="765" w:hanging="4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5E3560F0"/>
    <w:multiLevelType w:val="hybridMultilevel"/>
    <w:tmpl w:val="FC96C5D2"/>
    <w:lvl w:ilvl="0" w:tplc="B9C08D1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1EFC"/>
    <w:rsid w:val="00380FD3"/>
    <w:rsid w:val="0080024C"/>
    <w:rsid w:val="008234CC"/>
    <w:rsid w:val="00B44EA2"/>
    <w:rsid w:val="00EA1E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14B22EC-1DC5-4E17-BE91-E00FAA5E6C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A1EF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link w:val="20"/>
    <w:qFormat/>
    <w:rsid w:val="00EA1EFC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EA1EFC"/>
    <w:pPr>
      <w:spacing w:before="240" w:after="60"/>
      <w:outlineLvl w:val="7"/>
    </w:pPr>
    <w:rPr>
      <w:rFonts w:ascii="Calibri" w:hAnsi="Calibri"/>
      <w:i/>
      <w:i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rsid w:val="00EA1EFC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80">
    <w:name w:val="Заголовок 8 Знак"/>
    <w:basedOn w:val="a0"/>
    <w:link w:val="8"/>
    <w:uiPriority w:val="9"/>
    <w:semiHidden/>
    <w:rsid w:val="00EA1EFC"/>
    <w:rPr>
      <w:rFonts w:ascii="Calibri" w:eastAsia="Times New Roman" w:hAnsi="Calibri" w:cs="Times New Roman"/>
      <w:i/>
      <w:iCs/>
      <w:sz w:val="24"/>
      <w:szCs w:val="24"/>
      <w:lang w:eastAsia="ru-RU"/>
    </w:rPr>
  </w:style>
  <w:style w:type="paragraph" w:customStyle="1" w:styleId="1">
    <w:name w:val="Текст1"/>
    <w:basedOn w:val="a"/>
    <w:rsid w:val="00EA1EFC"/>
    <w:pPr>
      <w:suppressAutoHyphens/>
    </w:pPr>
    <w:rPr>
      <w:rFonts w:ascii="Courier New" w:hAnsi="Courier New" w:cs="Courier New"/>
      <w:sz w:val="20"/>
      <w:szCs w:val="20"/>
      <w:lang w:eastAsia="ar-SA"/>
    </w:rPr>
  </w:style>
  <w:style w:type="paragraph" w:styleId="a3">
    <w:name w:val="Normal (Web)"/>
    <w:basedOn w:val="a"/>
    <w:rsid w:val="0080024C"/>
    <w:pPr>
      <w:spacing w:before="100" w:beforeAutospacing="1" w:after="100" w:afterAutospacing="1"/>
      <w:jc w:val="both"/>
    </w:pPr>
  </w:style>
  <w:style w:type="character" w:styleId="a4">
    <w:name w:val="Hyperlink"/>
    <w:basedOn w:val="a0"/>
    <w:semiHidden/>
    <w:rsid w:val="0080024C"/>
    <w:rPr>
      <w:color w:val="0000FF"/>
      <w:u w:val="single"/>
    </w:rPr>
  </w:style>
  <w:style w:type="character" w:styleId="a5">
    <w:name w:val="Strong"/>
    <w:basedOn w:val="a0"/>
    <w:uiPriority w:val="22"/>
    <w:qFormat/>
    <w:rsid w:val="0080024C"/>
    <w:rPr>
      <w:b/>
      <w:bCs/>
    </w:rPr>
  </w:style>
  <w:style w:type="paragraph" w:styleId="a6">
    <w:name w:val="List Paragraph"/>
    <w:basedOn w:val="a"/>
    <w:uiPriority w:val="34"/>
    <w:qFormat/>
    <w:rsid w:val="0080024C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en-US" w:eastAsia="en-US"/>
    </w:rPr>
  </w:style>
  <w:style w:type="paragraph" w:styleId="21">
    <w:name w:val="Body Text Indent 2"/>
    <w:basedOn w:val="a"/>
    <w:link w:val="22"/>
    <w:uiPriority w:val="99"/>
    <w:semiHidden/>
    <w:unhideWhenUsed/>
    <w:rsid w:val="0080024C"/>
    <w:pPr>
      <w:spacing w:after="120" w:line="480" w:lineRule="auto"/>
      <w:ind w:left="283"/>
    </w:pPr>
  </w:style>
  <w:style w:type="character" w:customStyle="1" w:styleId="22">
    <w:name w:val="Основной текст с отступом 2 Знак"/>
    <w:basedOn w:val="a0"/>
    <w:link w:val="21"/>
    <w:uiPriority w:val="99"/>
    <w:semiHidden/>
    <w:rsid w:val="0080024C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irbis-nbuv.gov.ua/aref/20081124001485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nas.gov.ua/UA/Org/Pages/default.aspx?OrgID=0000335" TargetMode="External"/><Relationship Id="rId12" Type="http://schemas.openxmlformats.org/officeDocument/2006/relationships/hyperlink" Target="https://doi.org/10.1097/01.MAJ.0000308933.%2080112.49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umj.com.ua/article/42042/anemiya-xronichnix-xvorob-patogenezdiagnostika-likuvannya-lekciya" TargetMode="External"/><Relationship Id="rId11" Type="http://schemas.openxmlformats.org/officeDocument/2006/relationships/hyperlink" Target="http://protox.medved.kiev.ua/index.php/ua/issues/2014/1-2" TargetMode="External"/><Relationship Id="rId5" Type="http://schemas.openxmlformats.org/officeDocument/2006/relationships/hyperlink" Target="http://irbis-nbuv.gov.ua/aref/20081124007064" TargetMode="External"/><Relationship Id="rId10" Type="http://schemas.openxmlformats.org/officeDocument/2006/relationships/hyperlink" Target="http://irbis-nbuv.gov.ua/aref/20081124008894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irbis-nbuv.gov.ua/aref/20111025000551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18</Pages>
  <Words>4146</Words>
  <Characters>23633</Characters>
  <Application>Microsoft Office Word</Application>
  <DocSecurity>0</DocSecurity>
  <Lines>196</Lines>
  <Paragraphs>55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6</cp:revision>
  <dcterms:created xsi:type="dcterms:W3CDTF">2024-04-01T08:45:00Z</dcterms:created>
  <dcterms:modified xsi:type="dcterms:W3CDTF">2024-04-01T08:46:00Z</dcterms:modified>
</cp:coreProperties>
</file>