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94FE9" w:rsidRPr="00EE6F29" w:rsidRDefault="00394FE9" w:rsidP="0057142A">
      <w:pPr>
        <w:spacing w:after="0" w:line="360" w:lineRule="auto"/>
        <w:jc w:val="both"/>
        <w:rPr>
          <w:rFonts w:ascii="Times New Roman" w:hAnsi="Times New Roman" w:cs="Times New Roman"/>
          <w:color w:val="0D0D0D"/>
          <w:sz w:val="28"/>
          <w:szCs w:val="28"/>
        </w:rPr>
      </w:pPr>
      <w:r w:rsidRPr="00EE6F29">
        <w:rPr>
          <w:rFonts w:ascii="Times New Roman" w:hAnsi="Times New Roman" w:cs="Times New Roman"/>
          <w:color w:val="0D0D0D"/>
          <w:sz w:val="28"/>
          <w:szCs w:val="28"/>
        </w:rPr>
        <w:t>ОДЕСЬКИЙ НАЦІОНАЛЬНИЙ УНІВЕРСИТЕТ ІМЕНІ І. І. МЕЧНИКОВА</w:t>
      </w:r>
    </w:p>
    <w:p w:rsidR="00394FE9" w:rsidRPr="00EE6F29" w:rsidRDefault="00394FE9" w:rsidP="0057142A">
      <w:pPr>
        <w:spacing w:after="0" w:line="360" w:lineRule="auto"/>
        <w:jc w:val="center"/>
        <w:rPr>
          <w:rFonts w:ascii="Times New Roman" w:hAnsi="Times New Roman" w:cs="Times New Roman"/>
          <w:color w:val="0D0D0D"/>
          <w:sz w:val="28"/>
          <w:szCs w:val="28"/>
        </w:rPr>
      </w:pPr>
      <w:r w:rsidRPr="00EE6F29">
        <w:rPr>
          <w:rFonts w:ascii="Times New Roman" w:hAnsi="Times New Roman" w:cs="Times New Roman"/>
          <w:color w:val="0D0D0D"/>
          <w:sz w:val="28"/>
          <w:szCs w:val="28"/>
        </w:rPr>
        <w:t>Економіко-правовий факультет</w:t>
      </w:r>
    </w:p>
    <w:p w:rsidR="00394FE9" w:rsidRPr="00EE6F29" w:rsidRDefault="00394FE9" w:rsidP="0057142A">
      <w:pPr>
        <w:spacing w:after="0" w:line="360" w:lineRule="auto"/>
        <w:jc w:val="center"/>
        <w:rPr>
          <w:rFonts w:ascii="Times New Roman" w:hAnsi="Times New Roman" w:cs="Times New Roman"/>
          <w:color w:val="0D0D0D"/>
          <w:sz w:val="28"/>
          <w:szCs w:val="28"/>
        </w:rPr>
      </w:pPr>
      <w:r w:rsidRPr="00EE6F29">
        <w:rPr>
          <w:rFonts w:ascii="Times New Roman" w:hAnsi="Times New Roman" w:cs="Times New Roman"/>
          <w:color w:val="0D0D0D"/>
          <w:sz w:val="28"/>
          <w:szCs w:val="28"/>
        </w:rPr>
        <w:t>Кафедра адміністративного та господарського права</w:t>
      </w:r>
    </w:p>
    <w:p w:rsidR="00394FE9" w:rsidRPr="00EE6F29" w:rsidRDefault="00394FE9" w:rsidP="0057142A">
      <w:pPr>
        <w:spacing w:after="0" w:line="360" w:lineRule="auto"/>
        <w:jc w:val="center"/>
        <w:rPr>
          <w:rFonts w:ascii="Times New Roman" w:hAnsi="Times New Roman" w:cs="Times New Roman"/>
          <w:b/>
          <w:bCs/>
          <w:color w:val="0D0D0D"/>
          <w:sz w:val="32"/>
          <w:szCs w:val="32"/>
        </w:rPr>
      </w:pPr>
    </w:p>
    <w:p w:rsidR="00394FE9" w:rsidRPr="00EE6F29" w:rsidRDefault="00394FE9" w:rsidP="0057142A">
      <w:pPr>
        <w:spacing w:after="0" w:line="360" w:lineRule="auto"/>
        <w:jc w:val="center"/>
        <w:rPr>
          <w:rFonts w:ascii="Times New Roman" w:hAnsi="Times New Roman" w:cs="Times New Roman"/>
          <w:b/>
          <w:bCs/>
          <w:color w:val="0D0D0D"/>
          <w:sz w:val="32"/>
          <w:szCs w:val="32"/>
        </w:rPr>
      </w:pPr>
    </w:p>
    <w:p w:rsidR="00394FE9" w:rsidRPr="00EE6F29" w:rsidRDefault="00394FE9" w:rsidP="0057142A">
      <w:pPr>
        <w:spacing w:after="0" w:line="360" w:lineRule="auto"/>
        <w:jc w:val="center"/>
        <w:rPr>
          <w:rFonts w:ascii="Times New Roman" w:hAnsi="Times New Roman" w:cs="Times New Roman"/>
          <w:b/>
          <w:bCs/>
          <w:color w:val="0D0D0D"/>
          <w:sz w:val="32"/>
          <w:szCs w:val="32"/>
        </w:rPr>
      </w:pPr>
      <w:r w:rsidRPr="00EE6F29">
        <w:rPr>
          <w:rFonts w:ascii="Times New Roman" w:hAnsi="Times New Roman" w:cs="Times New Roman"/>
          <w:b/>
          <w:bCs/>
          <w:color w:val="0D0D0D"/>
          <w:sz w:val="32"/>
          <w:szCs w:val="32"/>
        </w:rPr>
        <w:t>Кваліфікаційна робота</w:t>
      </w:r>
    </w:p>
    <w:p w:rsidR="00394FE9" w:rsidRPr="00EE6F29" w:rsidRDefault="00394FE9" w:rsidP="0057142A">
      <w:pPr>
        <w:tabs>
          <w:tab w:val="center" w:pos="4819"/>
          <w:tab w:val="right" w:pos="8505"/>
        </w:tabs>
        <w:spacing w:after="0" w:line="360" w:lineRule="auto"/>
        <w:jc w:val="center"/>
        <w:rPr>
          <w:rFonts w:ascii="Times New Roman" w:hAnsi="Times New Roman" w:cs="Times New Roman"/>
          <w:color w:val="0D0D0D"/>
          <w:sz w:val="28"/>
          <w:szCs w:val="28"/>
        </w:rPr>
      </w:pPr>
      <w:r w:rsidRPr="00EE6F29">
        <w:rPr>
          <w:rFonts w:ascii="Times New Roman" w:hAnsi="Times New Roman" w:cs="Times New Roman"/>
          <w:color w:val="0D0D0D"/>
          <w:sz w:val="28"/>
          <w:szCs w:val="28"/>
        </w:rPr>
        <w:t>на здобуття ступеня вищої освіти «магістр»</w:t>
      </w:r>
    </w:p>
    <w:p w:rsidR="00394FE9" w:rsidRPr="00EE6F29" w:rsidRDefault="00394FE9" w:rsidP="0057142A">
      <w:pPr>
        <w:tabs>
          <w:tab w:val="left" w:pos="709"/>
        </w:tabs>
        <w:spacing w:after="0" w:line="360" w:lineRule="auto"/>
        <w:jc w:val="center"/>
        <w:rPr>
          <w:rFonts w:ascii="Times New Roman" w:hAnsi="Times New Roman" w:cs="Times New Roman"/>
          <w:b/>
          <w:color w:val="0D0D0D"/>
          <w:sz w:val="28"/>
          <w:szCs w:val="28"/>
        </w:rPr>
      </w:pPr>
      <w:r w:rsidRPr="00EE6F29">
        <w:rPr>
          <w:rFonts w:ascii="Times New Roman" w:hAnsi="Times New Roman" w:cs="Times New Roman"/>
          <w:b/>
          <w:bCs/>
          <w:color w:val="0D0D0D"/>
          <w:sz w:val="28"/>
          <w:szCs w:val="28"/>
        </w:rPr>
        <w:t>«</w:t>
      </w:r>
      <w:r w:rsidRPr="00EE6F29">
        <w:rPr>
          <w:rFonts w:ascii="Times New Roman" w:hAnsi="Times New Roman" w:cs="Times New Roman"/>
          <w:b/>
          <w:color w:val="0D0D0D"/>
          <w:sz w:val="28"/>
          <w:szCs w:val="28"/>
        </w:rPr>
        <w:t>Адміністративне процесуально-правове забезпечення судового провадження у спорах щодо оскарження рішень суб’єктів владних повноважень у сфері адміністративно-деліктних правовідносин»</w:t>
      </w:r>
    </w:p>
    <w:p w:rsidR="00394FE9" w:rsidRPr="00EE6F29" w:rsidRDefault="00394FE9" w:rsidP="0057142A">
      <w:pPr>
        <w:spacing w:after="0" w:line="360" w:lineRule="auto"/>
        <w:ind w:firstLine="567"/>
        <w:jc w:val="center"/>
        <w:rPr>
          <w:rFonts w:ascii="Times New Roman" w:hAnsi="Times New Roman" w:cs="Times New Roman"/>
          <w:b/>
          <w:color w:val="0D0D0D"/>
          <w:sz w:val="28"/>
          <w:szCs w:val="28"/>
        </w:rPr>
      </w:pPr>
      <w:r w:rsidRPr="00EE6F29">
        <w:rPr>
          <w:rFonts w:ascii="Times New Roman" w:hAnsi="Times New Roman" w:cs="Times New Roman"/>
          <w:b/>
          <w:color w:val="0D0D0D"/>
          <w:sz w:val="28"/>
          <w:szCs w:val="28"/>
        </w:rPr>
        <w:t>«Administrative procedural and legal provision of court proceedings in disputes regarding the appeal of decisions of subjects of authority in the field of administrative and tortious legal relations».</w:t>
      </w:r>
    </w:p>
    <w:p w:rsidR="00394FE9" w:rsidRPr="00EE6F29" w:rsidRDefault="00394FE9" w:rsidP="0057142A">
      <w:pPr>
        <w:tabs>
          <w:tab w:val="right" w:pos="9355"/>
        </w:tabs>
        <w:spacing w:after="0" w:line="240" w:lineRule="auto"/>
        <w:jc w:val="center"/>
        <w:rPr>
          <w:rFonts w:ascii="Times New Roman" w:hAnsi="Times New Roman" w:cs="Times New Roman"/>
          <w:color w:val="0D0D0D"/>
          <w:sz w:val="24"/>
          <w:szCs w:val="24"/>
        </w:rPr>
      </w:pPr>
    </w:p>
    <w:p w:rsidR="00394FE9" w:rsidRPr="00EE6F29" w:rsidRDefault="00394FE9" w:rsidP="0057142A">
      <w:pPr>
        <w:tabs>
          <w:tab w:val="right" w:pos="9355"/>
        </w:tabs>
        <w:spacing w:after="0" w:line="240" w:lineRule="auto"/>
        <w:jc w:val="center"/>
        <w:rPr>
          <w:rFonts w:ascii="Times New Roman" w:hAnsi="Times New Roman" w:cs="Times New Roman"/>
          <w:color w:val="0D0D0D"/>
          <w:sz w:val="24"/>
          <w:szCs w:val="24"/>
        </w:rPr>
      </w:pPr>
    </w:p>
    <w:p w:rsidR="00394FE9" w:rsidRPr="00EE6F29" w:rsidRDefault="00394FE9" w:rsidP="0057142A">
      <w:pPr>
        <w:spacing w:after="0" w:line="360" w:lineRule="auto"/>
        <w:jc w:val="both"/>
        <w:rPr>
          <w:rFonts w:ascii="Times New Roman" w:hAnsi="Times New Roman" w:cs="Times New Roman"/>
          <w:color w:val="0D0D0D"/>
          <w:sz w:val="28"/>
          <w:szCs w:val="28"/>
        </w:rPr>
      </w:pPr>
      <w:r w:rsidRPr="00EE6F29">
        <w:rPr>
          <w:rFonts w:ascii="Times New Roman" w:hAnsi="Times New Roman" w:cs="Times New Roman"/>
          <w:color w:val="0D0D0D"/>
          <w:sz w:val="28"/>
          <w:szCs w:val="28"/>
        </w:rPr>
        <w:t xml:space="preserve">                                                      Виконав: здобувач денної форми навчання</w:t>
      </w:r>
    </w:p>
    <w:p w:rsidR="00394FE9" w:rsidRPr="00EE6F29" w:rsidRDefault="00394FE9" w:rsidP="0057142A">
      <w:pPr>
        <w:spacing w:after="0" w:line="360" w:lineRule="auto"/>
        <w:jc w:val="both"/>
        <w:rPr>
          <w:rFonts w:ascii="Times New Roman" w:hAnsi="Times New Roman" w:cs="Times New Roman"/>
          <w:color w:val="0D0D0D"/>
          <w:sz w:val="28"/>
          <w:szCs w:val="28"/>
        </w:rPr>
      </w:pPr>
      <w:r w:rsidRPr="00EE6F29">
        <w:rPr>
          <w:rFonts w:ascii="Times New Roman" w:hAnsi="Times New Roman" w:cs="Times New Roman"/>
          <w:color w:val="0D0D0D"/>
          <w:sz w:val="28"/>
          <w:szCs w:val="28"/>
        </w:rPr>
        <w:t xml:space="preserve">                                                      спеціальності 081 Право</w:t>
      </w:r>
    </w:p>
    <w:p w:rsidR="00394FE9" w:rsidRPr="00EE6F29" w:rsidRDefault="00394FE9" w:rsidP="0057142A">
      <w:pPr>
        <w:spacing w:after="0" w:line="360" w:lineRule="auto"/>
        <w:jc w:val="both"/>
        <w:rPr>
          <w:rFonts w:ascii="Times New Roman" w:hAnsi="Times New Roman" w:cs="Times New Roman"/>
          <w:color w:val="0D0D0D"/>
          <w:sz w:val="28"/>
          <w:szCs w:val="28"/>
        </w:rPr>
      </w:pPr>
      <w:r w:rsidRPr="00EE6F29">
        <w:rPr>
          <w:rFonts w:ascii="Times New Roman" w:hAnsi="Times New Roman" w:cs="Times New Roman"/>
          <w:color w:val="0D0D0D"/>
          <w:sz w:val="28"/>
          <w:szCs w:val="28"/>
        </w:rPr>
        <w:t xml:space="preserve">                                                      Освітня програма Право                                                      </w:t>
      </w:r>
    </w:p>
    <w:p w:rsidR="00394FE9" w:rsidRPr="00EE6F29" w:rsidRDefault="00394FE9" w:rsidP="0057142A">
      <w:pPr>
        <w:spacing w:after="0" w:line="360" w:lineRule="auto"/>
        <w:ind w:left="3119"/>
        <w:rPr>
          <w:rFonts w:ascii="Times New Roman" w:hAnsi="Times New Roman" w:cs="Times New Roman"/>
          <w:color w:val="0D0D0D"/>
          <w:sz w:val="28"/>
          <w:szCs w:val="28"/>
        </w:rPr>
      </w:pPr>
      <w:r w:rsidRPr="00EE6F29">
        <w:rPr>
          <w:rFonts w:ascii="Times New Roman" w:hAnsi="Times New Roman" w:cs="Times New Roman"/>
          <w:color w:val="0D0D0D"/>
          <w:sz w:val="28"/>
          <w:szCs w:val="28"/>
        </w:rPr>
        <w:t>Голоцван Віталій Олегович</w:t>
      </w:r>
    </w:p>
    <w:p w:rsidR="00394FE9" w:rsidRPr="00EE6F29" w:rsidRDefault="00394FE9" w:rsidP="0057142A">
      <w:pPr>
        <w:spacing w:after="0" w:line="360" w:lineRule="auto"/>
        <w:jc w:val="both"/>
        <w:rPr>
          <w:rFonts w:ascii="Times New Roman" w:hAnsi="Times New Roman" w:cs="Times New Roman"/>
          <w:color w:val="0D0D0D"/>
          <w:sz w:val="28"/>
          <w:szCs w:val="28"/>
        </w:rPr>
      </w:pPr>
    </w:p>
    <w:p w:rsidR="00394FE9" w:rsidRPr="00EE6F29" w:rsidRDefault="00394FE9" w:rsidP="0057142A">
      <w:pPr>
        <w:spacing w:after="0" w:line="360" w:lineRule="auto"/>
        <w:jc w:val="both"/>
        <w:rPr>
          <w:rFonts w:ascii="Times New Roman" w:hAnsi="Times New Roman" w:cs="Times New Roman"/>
          <w:color w:val="0D0D0D"/>
          <w:sz w:val="20"/>
          <w:szCs w:val="20"/>
        </w:rPr>
      </w:pPr>
      <w:r w:rsidRPr="00EE6F29">
        <w:rPr>
          <w:rFonts w:ascii="Times New Roman" w:hAnsi="Times New Roman" w:cs="Times New Roman"/>
          <w:color w:val="0D0D0D"/>
          <w:sz w:val="28"/>
          <w:szCs w:val="28"/>
        </w:rPr>
        <w:t xml:space="preserve">                                                      Керівник: д.ю.н., проф. Миколенко О.І.  _____       </w:t>
      </w:r>
    </w:p>
    <w:p w:rsidR="00394FE9" w:rsidRPr="00EE6F29" w:rsidRDefault="00394FE9" w:rsidP="0057142A">
      <w:pPr>
        <w:tabs>
          <w:tab w:val="left" w:pos="6816"/>
        </w:tabs>
        <w:spacing w:after="0" w:line="360" w:lineRule="auto"/>
        <w:jc w:val="both"/>
        <w:rPr>
          <w:rFonts w:ascii="Times New Roman" w:hAnsi="Times New Roman" w:cs="Times New Roman"/>
          <w:color w:val="0D0D0D"/>
          <w:sz w:val="20"/>
          <w:szCs w:val="20"/>
        </w:rPr>
      </w:pPr>
      <w:r w:rsidRPr="00EE6F29">
        <w:rPr>
          <w:rFonts w:ascii="Times New Roman" w:hAnsi="Times New Roman" w:cs="Times New Roman"/>
          <w:color w:val="0D0D0D"/>
          <w:sz w:val="28"/>
          <w:szCs w:val="28"/>
        </w:rPr>
        <w:t xml:space="preserve">                                                      Рец</w:t>
      </w:r>
      <w:r>
        <w:rPr>
          <w:rFonts w:ascii="Times New Roman" w:hAnsi="Times New Roman" w:cs="Times New Roman"/>
          <w:color w:val="0D0D0D"/>
          <w:sz w:val="28"/>
          <w:szCs w:val="28"/>
        </w:rPr>
        <w:t xml:space="preserve">ензент: д.ю.н., проф. Гаран О.В. </w:t>
      </w:r>
    </w:p>
    <w:p w:rsidR="00394FE9" w:rsidRPr="00EE6F29" w:rsidRDefault="00394FE9" w:rsidP="0057142A">
      <w:pPr>
        <w:tabs>
          <w:tab w:val="left" w:pos="5245"/>
          <w:tab w:val="right" w:pos="9355"/>
        </w:tabs>
        <w:spacing w:after="0" w:line="360" w:lineRule="auto"/>
        <w:jc w:val="both"/>
        <w:rPr>
          <w:rFonts w:ascii="Times New Roman" w:hAnsi="Times New Roman" w:cs="Times New Roman"/>
          <w:color w:val="0D0D0D"/>
          <w:sz w:val="28"/>
          <w:szCs w:val="28"/>
        </w:rPr>
      </w:pPr>
    </w:p>
    <w:p w:rsidR="00394FE9" w:rsidRPr="00EE6F29" w:rsidRDefault="00394FE9" w:rsidP="0057142A">
      <w:pPr>
        <w:tabs>
          <w:tab w:val="left" w:pos="5245"/>
          <w:tab w:val="right" w:pos="9355"/>
        </w:tabs>
        <w:spacing w:before="120" w:after="0" w:line="240" w:lineRule="auto"/>
        <w:jc w:val="both"/>
        <w:rPr>
          <w:rFonts w:ascii="Times New Roman" w:hAnsi="Times New Roman" w:cs="Times New Roman"/>
          <w:color w:val="0D0D0D"/>
          <w:sz w:val="20"/>
          <w:szCs w:val="20"/>
        </w:rPr>
      </w:pPr>
    </w:p>
    <w:tbl>
      <w:tblPr>
        <w:tblW w:w="10039" w:type="dxa"/>
        <w:tblLayout w:type="fixed"/>
        <w:tblLook w:val="0000"/>
      </w:tblPr>
      <w:tblGrid>
        <w:gridCol w:w="5170"/>
        <w:gridCol w:w="4869"/>
      </w:tblGrid>
      <w:tr w:rsidR="00394FE9" w:rsidRPr="00EE6F29" w:rsidTr="002A66A8">
        <w:trPr>
          <w:trHeight w:val="2283"/>
        </w:trPr>
        <w:tc>
          <w:tcPr>
            <w:tcW w:w="5170" w:type="dxa"/>
          </w:tcPr>
          <w:p w:rsidR="00394FE9" w:rsidRPr="00EE6F29" w:rsidRDefault="00394FE9" w:rsidP="002A66A8">
            <w:pPr>
              <w:spacing w:after="0"/>
              <w:jc w:val="both"/>
              <w:rPr>
                <w:rFonts w:ascii="Times New Roman" w:hAnsi="Times New Roman" w:cs="Times New Roman"/>
                <w:color w:val="0D0D0D"/>
                <w:sz w:val="28"/>
                <w:szCs w:val="28"/>
              </w:rPr>
            </w:pPr>
            <w:r w:rsidRPr="00EE6F29">
              <w:rPr>
                <w:rFonts w:ascii="Times New Roman" w:hAnsi="Times New Roman" w:cs="Times New Roman"/>
                <w:color w:val="0D0D0D"/>
                <w:sz w:val="28"/>
                <w:szCs w:val="28"/>
              </w:rPr>
              <w:t>Рекомендовано до захисту:</w:t>
            </w:r>
          </w:p>
          <w:p w:rsidR="00394FE9" w:rsidRPr="00EE6F29" w:rsidRDefault="00394FE9" w:rsidP="002A66A8">
            <w:pPr>
              <w:spacing w:after="0"/>
              <w:jc w:val="both"/>
              <w:rPr>
                <w:rFonts w:ascii="Times New Roman" w:hAnsi="Times New Roman" w:cs="Times New Roman"/>
                <w:color w:val="0D0D0D"/>
                <w:sz w:val="28"/>
                <w:szCs w:val="28"/>
              </w:rPr>
            </w:pPr>
            <w:r w:rsidRPr="00EE6F29">
              <w:rPr>
                <w:rFonts w:ascii="Times New Roman" w:hAnsi="Times New Roman" w:cs="Times New Roman"/>
                <w:color w:val="0D0D0D"/>
                <w:sz w:val="28"/>
                <w:szCs w:val="28"/>
              </w:rPr>
              <w:t>протокол засідання кафедри</w:t>
            </w:r>
          </w:p>
          <w:p w:rsidR="00394FE9" w:rsidRPr="00EE6F29" w:rsidRDefault="00394FE9" w:rsidP="002A66A8">
            <w:pPr>
              <w:spacing w:after="0"/>
              <w:jc w:val="both"/>
              <w:rPr>
                <w:rFonts w:ascii="Times New Roman" w:hAnsi="Times New Roman" w:cs="Times New Roman"/>
                <w:color w:val="0D0D0D"/>
                <w:sz w:val="28"/>
                <w:szCs w:val="28"/>
              </w:rPr>
            </w:pPr>
            <w:r w:rsidRPr="00EE6F29">
              <w:rPr>
                <w:rFonts w:ascii="Times New Roman" w:hAnsi="Times New Roman" w:cs="Times New Roman"/>
                <w:color w:val="0D0D0D"/>
                <w:sz w:val="28"/>
                <w:szCs w:val="28"/>
              </w:rPr>
              <w:t>№ ___   від ____.____. 20___ р.</w:t>
            </w:r>
          </w:p>
          <w:p w:rsidR="00394FE9" w:rsidRPr="00EE6F29" w:rsidRDefault="00394FE9" w:rsidP="002A66A8">
            <w:pPr>
              <w:spacing w:after="0"/>
              <w:jc w:val="both"/>
              <w:rPr>
                <w:rFonts w:ascii="Times New Roman" w:hAnsi="Times New Roman" w:cs="Times New Roman"/>
                <w:color w:val="0D0D0D"/>
                <w:sz w:val="20"/>
                <w:szCs w:val="20"/>
              </w:rPr>
            </w:pPr>
          </w:p>
          <w:p w:rsidR="00394FE9" w:rsidRPr="00EE6F29" w:rsidRDefault="00394FE9" w:rsidP="002A66A8">
            <w:pPr>
              <w:spacing w:after="0"/>
              <w:jc w:val="both"/>
              <w:rPr>
                <w:rFonts w:ascii="Times New Roman" w:hAnsi="Times New Roman" w:cs="Times New Roman"/>
                <w:color w:val="0D0D0D"/>
                <w:sz w:val="28"/>
                <w:szCs w:val="28"/>
              </w:rPr>
            </w:pPr>
            <w:r w:rsidRPr="00EE6F29">
              <w:rPr>
                <w:rFonts w:ascii="Times New Roman" w:hAnsi="Times New Roman" w:cs="Times New Roman"/>
                <w:color w:val="0D0D0D"/>
                <w:sz w:val="28"/>
                <w:szCs w:val="28"/>
              </w:rPr>
              <w:t>Завідувач кафедри</w:t>
            </w:r>
          </w:p>
          <w:p w:rsidR="00394FE9" w:rsidRPr="00EE6F29" w:rsidRDefault="00394FE9" w:rsidP="002A66A8">
            <w:pPr>
              <w:tabs>
                <w:tab w:val="left" w:pos="284"/>
                <w:tab w:val="left" w:pos="1767"/>
              </w:tabs>
              <w:spacing w:after="0" w:line="240" w:lineRule="auto"/>
              <w:jc w:val="both"/>
              <w:rPr>
                <w:rFonts w:ascii="Times New Roman" w:hAnsi="Times New Roman" w:cs="Times New Roman"/>
                <w:color w:val="0D0D0D"/>
                <w:sz w:val="28"/>
                <w:szCs w:val="28"/>
              </w:rPr>
            </w:pPr>
            <w:r w:rsidRPr="00EE6F29">
              <w:rPr>
                <w:rFonts w:ascii="Times New Roman" w:hAnsi="Times New Roman" w:cs="Times New Roman"/>
                <w:color w:val="0D0D0D"/>
                <w:sz w:val="28"/>
                <w:szCs w:val="28"/>
              </w:rPr>
              <w:t xml:space="preserve">_______ </w:t>
            </w:r>
            <w:r w:rsidRPr="00EE6F29">
              <w:rPr>
                <w:rFonts w:ascii="Times New Roman" w:hAnsi="Times New Roman" w:cs="Times New Roman"/>
                <w:color w:val="0D0D0D"/>
                <w:sz w:val="28"/>
                <w:szCs w:val="28"/>
                <w:u w:val="single"/>
              </w:rPr>
              <w:t>Олександр МИКОЛЕНКО</w:t>
            </w:r>
          </w:p>
          <w:p w:rsidR="00394FE9" w:rsidRPr="00EE6F29" w:rsidRDefault="00394FE9" w:rsidP="002A66A8">
            <w:pPr>
              <w:tabs>
                <w:tab w:val="left" w:pos="284"/>
                <w:tab w:val="left" w:pos="1767"/>
              </w:tabs>
              <w:spacing w:after="0" w:line="240" w:lineRule="auto"/>
              <w:jc w:val="both"/>
              <w:rPr>
                <w:rFonts w:ascii="Times New Roman" w:hAnsi="Times New Roman" w:cs="Times New Roman"/>
                <w:color w:val="0D0D0D"/>
                <w:sz w:val="20"/>
                <w:szCs w:val="20"/>
              </w:rPr>
            </w:pPr>
            <w:r w:rsidRPr="00EE6F29">
              <w:rPr>
                <w:rFonts w:ascii="Times New Roman" w:hAnsi="Times New Roman" w:cs="Times New Roman"/>
                <w:color w:val="0D0D0D"/>
                <w:sz w:val="20"/>
                <w:szCs w:val="20"/>
              </w:rPr>
              <w:t xml:space="preserve">    (підпис)</w:t>
            </w:r>
            <w:r w:rsidRPr="00EE6F29">
              <w:rPr>
                <w:rFonts w:ascii="Times New Roman" w:hAnsi="Times New Roman" w:cs="Times New Roman"/>
                <w:color w:val="0D0D0D"/>
                <w:sz w:val="20"/>
                <w:szCs w:val="20"/>
              </w:rPr>
              <w:tab/>
              <w:t xml:space="preserve">       (прізвище, ім’я)</w:t>
            </w:r>
          </w:p>
        </w:tc>
        <w:tc>
          <w:tcPr>
            <w:tcW w:w="4869" w:type="dxa"/>
          </w:tcPr>
          <w:p w:rsidR="00394FE9" w:rsidRPr="00EE6F29" w:rsidRDefault="00394FE9" w:rsidP="002A66A8">
            <w:pPr>
              <w:tabs>
                <w:tab w:val="right" w:pos="4462"/>
              </w:tabs>
              <w:spacing w:after="0"/>
              <w:jc w:val="both"/>
              <w:rPr>
                <w:rFonts w:ascii="Times New Roman" w:hAnsi="Times New Roman" w:cs="Times New Roman"/>
                <w:color w:val="0D0D0D"/>
                <w:sz w:val="28"/>
                <w:szCs w:val="28"/>
              </w:rPr>
            </w:pPr>
            <w:r w:rsidRPr="00EE6F29">
              <w:rPr>
                <w:rFonts w:ascii="Times New Roman" w:hAnsi="Times New Roman" w:cs="Times New Roman"/>
                <w:color w:val="0D0D0D"/>
                <w:sz w:val="28"/>
                <w:szCs w:val="28"/>
              </w:rPr>
              <w:t>Захищено на засіданні ЕК № ____ :</w:t>
            </w:r>
          </w:p>
          <w:p w:rsidR="00394FE9" w:rsidRPr="00EE6F29" w:rsidRDefault="00394FE9" w:rsidP="002A66A8">
            <w:pPr>
              <w:spacing w:after="0"/>
              <w:jc w:val="both"/>
              <w:rPr>
                <w:rFonts w:ascii="Times New Roman" w:hAnsi="Times New Roman" w:cs="Times New Roman"/>
                <w:color w:val="0D0D0D"/>
                <w:sz w:val="28"/>
                <w:szCs w:val="28"/>
              </w:rPr>
            </w:pPr>
            <w:r w:rsidRPr="00EE6F29">
              <w:rPr>
                <w:rFonts w:ascii="Times New Roman" w:hAnsi="Times New Roman" w:cs="Times New Roman"/>
                <w:color w:val="0D0D0D"/>
                <w:sz w:val="28"/>
                <w:szCs w:val="28"/>
              </w:rPr>
              <w:t>протокол № ___від ____.___.20___ р.</w:t>
            </w:r>
          </w:p>
          <w:p w:rsidR="00394FE9" w:rsidRPr="00EE6F29" w:rsidRDefault="00394FE9" w:rsidP="002A66A8">
            <w:pPr>
              <w:tabs>
                <w:tab w:val="right" w:pos="4462"/>
              </w:tabs>
              <w:spacing w:after="0"/>
              <w:jc w:val="both"/>
              <w:rPr>
                <w:rFonts w:ascii="Times New Roman" w:hAnsi="Times New Roman" w:cs="Times New Roman"/>
                <w:color w:val="0D0D0D"/>
                <w:sz w:val="28"/>
                <w:szCs w:val="28"/>
              </w:rPr>
            </w:pPr>
            <w:r w:rsidRPr="00EE6F29">
              <w:rPr>
                <w:rFonts w:ascii="Times New Roman" w:hAnsi="Times New Roman" w:cs="Times New Roman"/>
                <w:color w:val="0D0D0D"/>
                <w:sz w:val="28"/>
                <w:szCs w:val="28"/>
              </w:rPr>
              <w:t>Оцінка______________/___</w:t>
            </w:r>
            <w:r w:rsidRPr="00EE6F29">
              <w:rPr>
                <w:rFonts w:ascii="Times New Roman" w:hAnsi="Times New Roman" w:cs="Times New Roman"/>
                <w:color w:val="0D0D0D"/>
                <w:sz w:val="20"/>
                <w:szCs w:val="20"/>
              </w:rPr>
              <w:tab/>
            </w:r>
            <w:r w:rsidRPr="00EE6F29">
              <w:rPr>
                <w:rFonts w:ascii="Times New Roman" w:hAnsi="Times New Roman" w:cs="Times New Roman"/>
                <w:color w:val="0D0D0D"/>
                <w:sz w:val="28"/>
                <w:szCs w:val="28"/>
              </w:rPr>
              <w:t>___/_____</w:t>
            </w:r>
          </w:p>
          <w:p w:rsidR="00394FE9" w:rsidRPr="00EE6F29" w:rsidRDefault="00394FE9" w:rsidP="002A66A8">
            <w:pPr>
              <w:spacing w:after="0" w:line="240" w:lineRule="auto"/>
              <w:jc w:val="center"/>
              <w:rPr>
                <w:rFonts w:ascii="Times New Roman" w:hAnsi="Times New Roman" w:cs="Times New Roman"/>
                <w:color w:val="0D0D0D"/>
                <w:sz w:val="20"/>
                <w:szCs w:val="20"/>
              </w:rPr>
            </w:pPr>
            <w:r w:rsidRPr="00EE6F29">
              <w:rPr>
                <w:rFonts w:ascii="Times New Roman" w:hAnsi="Times New Roman" w:cs="Times New Roman"/>
                <w:color w:val="0D0D0D"/>
                <w:sz w:val="20"/>
                <w:szCs w:val="20"/>
              </w:rPr>
              <w:t xml:space="preserve">         (за національною шкалою/шкалою ЕСТS/ бали)</w:t>
            </w:r>
          </w:p>
          <w:p w:rsidR="00394FE9" w:rsidRPr="00EE6F29" w:rsidRDefault="00394FE9" w:rsidP="002A66A8">
            <w:pPr>
              <w:spacing w:after="0" w:line="240" w:lineRule="auto"/>
              <w:jc w:val="both"/>
              <w:rPr>
                <w:rFonts w:ascii="Times New Roman" w:hAnsi="Times New Roman" w:cs="Times New Roman"/>
                <w:color w:val="0D0D0D"/>
                <w:sz w:val="28"/>
                <w:szCs w:val="28"/>
              </w:rPr>
            </w:pPr>
            <w:r w:rsidRPr="00EE6F29">
              <w:rPr>
                <w:rFonts w:ascii="Times New Roman" w:hAnsi="Times New Roman" w:cs="Times New Roman"/>
                <w:color w:val="0D0D0D"/>
                <w:sz w:val="28"/>
                <w:szCs w:val="28"/>
              </w:rPr>
              <w:t>Голова ЕК</w:t>
            </w:r>
          </w:p>
          <w:p w:rsidR="00394FE9" w:rsidRPr="00EE6F29" w:rsidRDefault="00394FE9" w:rsidP="002A66A8">
            <w:pPr>
              <w:tabs>
                <w:tab w:val="left" w:pos="454"/>
                <w:tab w:val="left" w:pos="2155"/>
              </w:tabs>
              <w:spacing w:after="0" w:line="240" w:lineRule="auto"/>
              <w:jc w:val="both"/>
              <w:rPr>
                <w:rFonts w:ascii="Times New Roman" w:hAnsi="Times New Roman" w:cs="Times New Roman"/>
                <w:color w:val="0D0D0D"/>
                <w:sz w:val="20"/>
                <w:szCs w:val="20"/>
              </w:rPr>
            </w:pPr>
            <w:r w:rsidRPr="00EE6F29">
              <w:rPr>
                <w:rFonts w:ascii="Times New Roman" w:hAnsi="Times New Roman" w:cs="Times New Roman"/>
                <w:color w:val="0D0D0D"/>
                <w:sz w:val="28"/>
                <w:szCs w:val="28"/>
              </w:rPr>
              <w:t xml:space="preserve">___________ </w:t>
            </w:r>
            <w:r w:rsidRPr="00EE6F29">
              <w:rPr>
                <w:rFonts w:ascii="Times New Roman" w:hAnsi="Times New Roman" w:cs="Times New Roman"/>
                <w:color w:val="0D0D0D"/>
                <w:sz w:val="28"/>
                <w:szCs w:val="28"/>
                <w:u w:val="single"/>
              </w:rPr>
              <w:t>____________________</w:t>
            </w:r>
          </w:p>
          <w:p w:rsidR="00394FE9" w:rsidRPr="00EE6F29" w:rsidRDefault="00394FE9" w:rsidP="002A66A8">
            <w:pPr>
              <w:tabs>
                <w:tab w:val="left" w:pos="454"/>
                <w:tab w:val="left" w:pos="2155"/>
              </w:tabs>
              <w:spacing w:after="0" w:line="240" w:lineRule="auto"/>
              <w:jc w:val="both"/>
              <w:rPr>
                <w:rFonts w:ascii="Times New Roman" w:hAnsi="Times New Roman" w:cs="Times New Roman"/>
                <w:color w:val="0D0D0D"/>
                <w:sz w:val="20"/>
                <w:szCs w:val="20"/>
              </w:rPr>
            </w:pPr>
            <w:r w:rsidRPr="00EE6F29">
              <w:rPr>
                <w:rFonts w:ascii="Times New Roman" w:hAnsi="Times New Roman" w:cs="Times New Roman"/>
                <w:color w:val="0D0D0D"/>
                <w:sz w:val="20"/>
                <w:szCs w:val="20"/>
              </w:rPr>
              <w:t xml:space="preserve">         (підпис)                       (прізвище, ім’я)</w:t>
            </w:r>
          </w:p>
        </w:tc>
      </w:tr>
      <w:tr w:rsidR="00394FE9" w:rsidRPr="00EE6F29" w:rsidTr="002A66A8">
        <w:trPr>
          <w:trHeight w:val="642"/>
        </w:trPr>
        <w:tc>
          <w:tcPr>
            <w:tcW w:w="5170" w:type="dxa"/>
          </w:tcPr>
          <w:p w:rsidR="00394FE9" w:rsidRPr="00EE6F29" w:rsidRDefault="00394FE9" w:rsidP="002A66A8">
            <w:pPr>
              <w:spacing w:after="0" w:line="240" w:lineRule="auto"/>
              <w:jc w:val="both"/>
              <w:rPr>
                <w:rFonts w:ascii="Times New Roman" w:hAnsi="Times New Roman" w:cs="Times New Roman"/>
                <w:color w:val="0D0D0D"/>
                <w:sz w:val="28"/>
                <w:szCs w:val="28"/>
              </w:rPr>
            </w:pPr>
          </w:p>
          <w:p w:rsidR="00394FE9" w:rsidRPr="00EE6F29" w:rsidRDefault="00394FE9" w:rsidP="002A66A8">
            <w:pPr>
              <w:spacing w:after="0" w:line="240" w:lineRule="auto"/>
              <w:jc w:val="both"/>
              <w:rPr>
                <w:rFonts w:ascii="Times New Roman" w:hAnsi="Times New Roman" w:cs="Times New Roman"/>
                <w:color w:val="0D0D0D"/>
                <w:sz w:val="28"/>
                <w:szCs w:val="28"/>
              </w:rPr>
            </w:pPr>
          </w:p>
        </w:tc>
        <w:tc>
          <w:tcPr>
            <w:tcW w:w="4869" w:type="dxa"/>
          </w:tcPr>
          <w:p w:rsidR="00394FE9" w:rsidRPr="00EE6F29" w:rsidRDefault="00394FE9" w:rsidP="002A66A8">
            <w:pPr>
              <w:spacing w:after="0" w:line="240" w:lineRule="auto"/>
              <w:jc w:val="both"/>
              <w:rPr>
                <w:rFonts w:ascii="Times New Roman" w:hAnsi="Times New Roman" w:cs="Times New Roman"/>
                <w:color w:val="0D0D0D"/>
                <w:sz w:val="28"/>
                <w:szCs w:val="28"/>
              </w:rPr>
            </w:pPr>
          </w:p>
        </w:tc>
      </w:tr>
    </w:tbl>
    <w:p w:rsidR="00394FE9" w:rsidRPr="00EE6F29" w:rsidRDefault="00394FE9" w:rsidP="0057142A">
      <w:pPr>
        <w:spacing w:after="0" w:line="240" w:lineRule="auto"/>
        <w:jc w:val="center"/>
        <w:rPr>
          <w:rFonts w:ascii="Times New Roman" w:hAnsi="Times New Roman" w:cs="Times New Roman"/>
          <w:b/>
          <w:bCs/>
          <w:sz w:val="28"/>
          <w:szCs w:val="28"/>
        </w:rPr>
      </w:pPr>
      <w:r w:rsidRPr="00EE6F29">
        <w:rPr>
          <w:rFonts w:ascii="Times New Roman" w:hAnsi="Times New Roman" w:cs="Times New Roman"/>
          <w:b/>
          <w:bCs/>
          <w:color w:val="0D0D0D"/>
          <w:sz w:val="28"/>
          <w:szCs w:val="28"/>
        </w:rPr>
        <w:t>Одеса 2024</w:t>
      </w:r>
    </w:p>
    <w:p w:rsidR="00394FE9" w:rsidRPr="00EE6F29" w:rsidRDefault="00394FE9" w:rsidP="0015725A">
      <w:pPr>
        <w:spacing w:after="0" w:line="360" w:lineRule="auto"/>
        <w:ind w:firstLine="567"/>
        <w:jc w:val="center"/>
        <w:rPr>
          <w:rFonts w:ascii="Times New Roman" w:hAnsi="Times New Roman" w:cs="Times New Roman"/>
          <w:b/>
          <w:sz w:val="28"/>
          <w:szCs w:val="28"/>
        </w:rPr>
      </w:pPr>
      <w:r w:rsidRPr="00EE6F29">
        <w:rPr>
          <w:rFonts w:ascii="Times New Roman" w:hAnsi="Times New Roman" w:cs="Times New Roman"/>
          <w:b/>
          <w:bCs/>
          <w:sz w:val="28"/>
          <w:szCs w:val="28"/>
        </w:rPr>
        <w:br w:type="page"/>
      </w:r>
      <w:r w:rsidRPr="00EE6F29">
        <w:rPr>
          <w:rFonts w:ascii="Times New Roman" w:hAnsi="Times New Roman" w:cs="Times New Roman"/>
          <w:b/>
          <w:sz w:val="28"/>
          <w:szCs w:val="28"/>
        </w:rPr>
        <w:t>СПИСОК ПУБЛІКАЦІЙ ЗДОБУВАЧА ЗА ТЕМОЮ КВАЛІФІКАЦІЙНОЇ РОБОТИ:</w:t>
      </w:r>
    </w:p>
    <w:p w:rsidR="00394FE9" w:rsidRPr="00EE6F29" w:rsidRDefault="00394FE9" w:rsidP="0015725A">
      <w:pPr>
        <w:spacing w:after="0" w:line="360" w:lineRule="auto"/>
        <w:ind w:firstLine="567"/>
        <w:jc w:val="center"/>
        <w:rPr>
          <w:rFonts w:ascii="Times New Roman" w:hAnsi="Times New Roman" w:cs="Times New Roman"/>
          <w:b/>
          <w:sz w:val="28"/>
          <w:szCs w:val="28"/>
        </w:rPr>
      </w:pPr>
    </w:p>
    <w:p w:rsidR="00394FE9" w:rsidRPr="00EE6F29" w:rsidRDefault="00394FE9" w:rsidP="0015725A">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1.  Голоцван В. О. Проблемні аспекти притягнення керівника юридичної особи до адміністративної відповідальності за перевищення габаритновагових норм під час руху великоваговими транспортними засобами. </w:t>
      </w:r>
      <w:r w:rsidRPr="00EE6F29">
        <w:rPr>
          <w:rFonts w:ascii="Times New Roman" w:hAnsi="Times New Roman" w:cs="Times New Roman"/>
          <w:i/>
          <w:sz w:val="28"/>
          <w:szCs w:val="28"/>
        </w:rPr>
        <w:t>Розвиток суспільства та науки в умовах цифрової трансформації</w:t>
      </w:r>
      <w:r w:rsidRPr="00EE6F29">
        <w:rPr>
          <w:rFonts w:ascii="Times New Roman" w:hAnsi="Times New Roman" w:cs="Times New Roman"/>
          <w:sz w:val="28"/>
          <w:szCs w:val="28"/>
        </w:rPr>
        <w:t xml:space="preserve"> : матеріали VI Міжнар. студент. наук. конф., м. Івано-Франківськ, 31 трав. 2024 р. Вінниця, 2024. С. 510. </w:t>
      </w:r>
    </w:p>
    <w:p w:rsidR="00394FE9" w:rsidRPr="00EE6F29" w:rsidRDefault="00394FE9" w:rsidP="0015725A">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2. Голоцван В. О. Проблемні аспекти правового регулювання процедури судового оскарження рішень суб’єктів владних повноважень щодо притягнення осіб до адміністративної відповідальності. </w:t>
      </w:r>
      <w:r w:rsidRPr="00EE6F29">
        <w:rPr>
          <w:rFonts w:ascii="Times New Roman" w:hAnsi="Times New Roman" w:cs="Times New Roman"/>
          <w:i/>
          <w:sz w:val="28"/>
          <w:szCs w:val="28"/>
        </w:rPr>
        <w:t>Інтелектуальний ресурс сьогодення: наукові задачі, розвиток та запитання</w:t>
      </w:r>
      <w:r w:rsidRPr="00EE6F29">
        <w:rPr>
          <w:rFonts w:ascii="Times New Roman" w:hAnsi="Times New Roman" w:cs="Times New Roman"/>
          <w:sz w:val="28"/>
          <w:szCs w:val="28"/>
        </w:rPr>
        <w:t xml:space="preserve"> : збірник наукових праць з матеріалами III Міжнар. наук. конф., м. Одеса, 20 вер. 2024 р. м. Вінниця, 2024, С. 322.</w:t>
      </w:r>
    </w:p>
    <w:p w:rsidR="00394FE9" w:rsidRPr="00EE6F29" w:rsidRDefault="00394FE9">
      <w:pPr>
        <w:spacing w:after="160" w:line="259" w:lineRule="auto"/>
        <w:rPr>
          <w:rFonts w:ascii="Times New Roman" w:hAnsi="Times New Roman" w:cs="Times New Roman"/>
          <w:b/>
          <w:bCs/>
          <w:sz w:val="28"/>
          <w:szCs w:val="28"/>
        </w:rPr>
      </w:pPr>
    </w:p>
    <w:p w:rsidR="00394FE9" w:rsidRPr="00EE6F29" w:rsidRDefault="00394FE9" w:rsidP="0057142A">
      <w:pPr>
        <w:spacing w:after="0" w:line="240" w:lineRule="auto"/>
        <w:jc w:val="center"/>
        <w:rPr>
          <w:rFonts w:ascii="Times New Roman" w:hAnsi="Times New Roman" w:cs="Times New Roman"/>
          <w:b/>
          <w:bCs/>
          <w:color w:val="0D0D0D"/>
          <w:sz w:val="28"/>
          <w:szCs w:val="28"/>
        </w:rPr>
      </w:pPr>
    </w:p>
    <w:p w:rsidR="00394FE9" w:rsidRPr="00EE6F29" w:rsidRDefault="00394FE9" w:rsidP="003972B3">
      <w:pPr>
        <w:pageBreakBefore/>
        <w:spacing w:after="0" w:line="360" w:lineRule="auto"/>
        <w:jc w:val="center"/>
        <w:rPr>
          <w:rFonts w:ascii="Times New Roman" w:hAnsi="Times New Roman" w:cs="Times New Roman"/>
          <w:b/>
          <w:bCs/>
          <w:sz w:val="28"/>
          <w:szCs w:val="28"/>
        </w:rPr>
      </w:pPr>
      <w:r w:rsidRPr="00EE6F29">
        <w:rPr>
          <w:rFonts w:ascii="Times New Roman" w:hAnsi="Times New Roman" w:cs="Times New Roman"/>
          <w:b/>
          <w:bCs/>
          <w:sz w:val="28"/>
          <w:szCs w:val="28"/>
        </w:rPr>
        <w:t>ЗМІСТ</w:t>
      </w:r>
    </w:p>
    <w:p w:rsidR="00394FE9" w:rsidRPr="00EE6F29" w:rsidRDefault="00394FE9" w:rsidP="0019316D">
      <w:pPr>
        <w:pStyle w:val="TOC1"/>
        <w:tabs>
          <w:tab w:val="right" w:leader="dot" w:pos="9345"/>
        </w:tabs>
        <w:spacing w:line="360" w:lineRule="auto"/>
        <w:jc w:val="both"/>
        <w:rPr>
          <w:rFonts w:ascii="Times New Roman" w:hAnsi="Times New Roman" w:cs="Times New Roman"/>
          <w:noProof/>
          <w:sz w:val="28"/>
          <w:szCs w:val="28"/>
          <w:lang w:val="ru-RU" w:eastAsia="ru-RU"/>
        </w:rPr>
      </w:pPr>
      <w:r w:rsidRPr="00EE6F29">
        <w:rPr>
          <w:rFonts w:ascii="Times New Roman" w:hAnsi="Times New Roman" w:cs="Times New Roman"/>
          <w:b/>
          <w:bCs/>
          <w:sz w:val="28"/>
          <w:szCs w:val="28"/>
          <w:lang w:val="en-US"/>
        </w:rPr>
        <w:fldChar w:fldCharType="begin"/>
      </w:r>
      <w:r w:rsidRPr="00EE6F29">
        <w:rPr>
          <w:rFonts w:ascii="Times New Roman" w:hAnsi="Times New Roman" w:cs="Times New Roman"/>
          <w:b/>
          <w:bCs/>
          <w:sz w:val="28"/>
          <w:szCs w:val="28"/>
          <w:lang w:val="en-US"/>
        </w:rPr>
        <w:instrText xml:space="preserve"> TOC \o "1-3" \h \z \u </w:instrText>
      </w:r>
      <w:r w:rsidRPr="00EE6F29">
        <w:rPr>
          <w:rFonts w:ascii="Times New Roman" w:hAnsi="Times New Roman" w:cs="Times New Roman"/>
          <w:b/>
          <w:bCs/>
          <w:sz w:val="28"/>
          <w:szCs w:val="28"/>
          <w:lang w:val="en-US"/>
        </w:rPr>
        <w:fldChar w:fldCharType="separate"/>
      </w:r>
      <w:hyperlink w:anchor="_Toc179215260" w:history="1">
        <w:r w:rsidRPr="00EE6F29">
          <w:rPr>
            <w:rStyle w:val="Hyperlink"/>
            <w:rFonts w:ascii="Times New Roman" w:hAnsi="Times New Roman"/>
            <w:b/>
            <w:bCs/>
            <w:noProof/>
            <w:sz w:val="28"/>
            <w:szCs w:val="28"/>
          </w:rPr>
          <w:t>ВСТУП</w:t>
        </w:r>
        <w:r w:rsidRPr="00EE6F29">
          <w:rPr>
            <w:rFonts w:ascii="Times New Roman" w:hAnsi="Times New Roman" w:cs="Times New Roman"/>
            <w:noProof/>
            <w:webHidden/>
            <w:sz w:val="28"/>
            <w:szCs w:val="28"/>
          </w:rPr>
          <w:tab/>
        </w:r>
        <w:r w:rsidRPr="00EE6F29">
          <w:rPr>
            <w:rFonts w:ascii="Times New Roman" w:hAnsi="Times New Roman" w:cs="Times New Roman"/>
            <w:noProof/>
            <w:webHidden/>
            <w:sz w:val="28"/>
            <w:szCs w:val="28"/>
          </w:rPr>
          <w:fldChar w:fldCharType="begin"/>
        </w:r>
        <w:r w:rsidRPr="00EE6F29">
          <w:rPr>
            <w:rFonts w:ascii="Times New Roman" w:hAnsi="Times New Roman" w:cs="Times New Roman"/>
            <w:noProof/>
            <w:webHidden/>
            <w:sz w:val="28"/>
            <w:szCs w:val="28"/>
          </w:rPr>
          <w:instrText xml:space="preserve"> PAGEREF _Toc179215260 \h </w:instrText>
        </w:r>
        <w:r w:rsidRPr="005E3186">
          <w:rPr>
            <w:rFonts w:ascii="Times New Roman" w:hAnsi="Times New Roman" w:cs="Times New Roman"/>
            <w:noProof/>
            <w:sz w:val="28"/>
            <w:szCs w:val="28"/>
          </w:rPr>
        </w:r>
        <w:r w:rsidRPr="00EE6F29">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5</w:t>
        </w:r>
        <w:r w:rsidRPr="00EE6F29">
          <w:rPr>
            <w:rFonts w:ascii="Times New Roman" w:hAnsi="Times New Roman" w:cs="Times New Roman"/>
            <w:noProof/>
            <w:webHidden/>
            <w:sz w:val="28"/>
            <w:szCs w:val="28"/>
          </w:rPr>
          <w:fldChar w:fldCharType="end"/>
        </w:r>
      </w:hyperlink>
    </w:p>
    <w:p w:rsidR="00394FE9" w:rsidRPr="00EE6F29" w:rsidRDefault="00394FE9" w:rsidP="0019316D">
      <w:pPr>
        <w:pStyle w:val="TOC1"/>
        <w:tabs>
          <w:tab w:val="right" w:leader="dot" w:pos="9345"/>
        </w:tabs>
        <w:spacing w:line="360" w:lineRule="auto"/>
        <w:jc w:val="both"/>
        <w:rPr>
          <w:rFonts w:ascii="Times New Roman" w:hAnsi="Times New Roman" w:cs="Times New Roman"/>
          <w:noProof/>
          <w:sz w:val="28"/>
          <w:szCs w:val="28"/>
          <w:lang w:val="ru-RU" w:eastAsia="ru-RU"/>
        </w:rPr>
      </w:pPr>
      <w:hyperlink w:anchor="_Toc179215261" w:history="1">
        <w:r w:rsidRPr="00EE6F29">
          <w:rPr>
            <w:rStyle w:val="Hyperlink"/>
            <w:rFonts w:ascii="Times New Roman" w:hAnsi="Times New Roman"/>
            <w:b/>
            <w:bCs/>
            <w:noProof/>
            <w:sz w:val="28"/>
            <w:szCs w:val="28"/>
          </w:rPr>
          <w:t>РОЗДІЛ 1. ЗАГАЛЬНОТЕОРЕТИЧНА ХАРАКТЕРИСТИКА ПУБЛІЧНО-ПРАВОВОГО СПОРУ</w:t>
        </w:r>
        <w:r w:rsidRPr="00EE6F29">
          <w:rPr>
            <w:rFonts w:ascii="Times New Roman" w:hAnsi="Times New Roman" w:cs="Times New Roman"/>
            <w:noProof/>
            <w:webHidden/>
            <w:sz w:val="28"/>
            <w:szCs w:val="28"/>
          </w:rPr>
          <w:tab/>
        </w:r>
        <w:r w:rsidRPr="00EE6F29">
          <w:rPr>
            <w:rFonts w:ascii="Times New Roman" w:hAnsi="Times New Roman" w:cs="Times New Roman"/>
            <w:noProof/>
            <w:webHidden/>
            <w:sz w:val="28"/>
            <w:szCs w:val="28"/>
          </w:rPr>
          <w:fldChar w:fldCharType="begin"/>
        </w:r>
        <w:r w:rsidRPr="00EE6F29">
          <w:rPr>
            <w:rFonts w:ascii="Times New Roman" w:hAnsi="Times New Roman" w:cs="Times New Roman"/>
            <w:noProof/>
            <w:webHidden/>
            <w:sz w:val="28"/>
            <w:szCs w:val="28"/>
          </w:rPr>
          <w:instrText xml:space="preserve"> PAGEREF _Toc179215261 \h </w:instrText>
        </w:r>
        <w:r w:rsidRPr="005E3186">
          <w:rPr>
            <w:rFonts w:ascii="Times New Roman" w:hAnsi="Times New Roman" w:cs="Times New Roman"/>
            <w:noProof/>
            <w:sz w:val="28"/>
            <w:szCs w:val="28"/>
          </w:rPr>
        </w:r>
        <w:r w:rsidRPr="00EE6F29">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11</w:t>
        </w:r>
        <w:r w:rsidRPr="00EE6F29">
          <w:rPr>
            <w:rFonts w:ascii="Times New Roman" w:hAnsi="Times New Roman" w:cs="Times New Roman"/>
            <w:noProof/>
            <w:webHidden/>
            <w:sz w:val="28"/>
            <w:szCs w:val="28"/>
          </w:rPr>
          <w:fldChar w:fldCharType="end"/>
        </w:r>
      </w:hyperlink>
    </w:p>
    <w:p w:rsidR="00394FE9" w:rsidRPr="00EE6F29" w:rsidRDefault="00394FE9" w:rsidP="0019316D">
      <w:pPr>
        <w:pStyle w:val="TOC2"/>
        <w:tabs>
          <w:tab w:val="right" w:leader="dot" w:pos="9345"/>
        </w:tabs>
        <w:spacing w:line="360" w:lineRule="auto"/>
        <w:jc w:val="both"/>
        <w:rPr>
          <w:rFonts w:ascii="Times New Roman" w:hAnsi="Times New Roman" w:cs="Times New Roman"/>
          <w:noProof/>
          <w:sz w:val="28"/>
          <w:szCs w:val="28"/>
          <w:lang w:val="ru-RU" w:eastAsia="ru-RU"/>
        </w:rPr>
      </w:pPr>
      <w:hyperlink w:anchor="_Toc179215262" w:history="1">
        <w:r w:rsidRPr="00EE6F29">
          <w:rPr>
            <w:rStyle w:val="Hyperlink"/>
            <w:rFonts w:ascii="Times New Roman" w:hAnsi="Times New Roman"/>
            <w:bCs/>
            <w:noProof/>
            <w:sz w:val="28"/>
            <w:szCs w:val="28"/>
          </w:rPr>
          <w:t>1.1. Становлення «публічно-правового спору» у юридичній науці та законодавстві</w:t>
        </w:r>
        <w:r w:rsidRPr="00EE6F29">
          <w:rPr>
            <w:rFonts w:ascii="Times New Roman" w:hAnsi="Times New Roman" w:cs="Times New Roman"/>
            <w:noProof/>
            <w:webHidden/>
            <w:sz w:val="28"/>
            <w:szCs w:val="28"/>
          </w:rPr>
          <w:tab/>
        </w:r>
        <w:r w:rsidRPr="00EE6F29">
          <w:rPr>
            <w:rFonts w:ascii="Times New Roman" w:hAnsi="Times New Roman" w:cs="Times New Roman"/>
            <w:noProof/>
            <w:webHidden/>
            <w:sz w:val="28"/>
            <w:szCs w:val="28"/>
          </w:rPr>
          <w:fldChar w:fldCharType="begin"/>
        </w:r>
        <w:r w:rsidRPr="00EE6F29">
          <w:rPr>
            <w:rFonts w:ascii="Times New Roman" w:hAnsi="Times New Roman" w:cs="Times New Roman"/>
            <w:noProof/>
            <w:webHidden/>
            <w:sz w:val="28"/>
            <w:szCs w:val="28"/>
          </w:rPr>
          <w:instrText xml:space="preserve"> PAGEREF _Toc179215262 \h </w:instrText>
        </w:r>
        <w:r w:rsidRPr="005E3186">
          <w:rPr>
            <w:rFonts w:ascii="Times New Roman" w:hAnsi="Times New Roman" w:cs="Times New Roman"/>
            <w:noProof/>
            <w:sz w:val="28"/>
            <w:szCs w:val="28"/>
          </w:rPr>
        </w:r>
        <w:r w:rsidRPr="00EE6F29">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11</w:t>
        </w:r>
        <w:r w:rsidRPr="00EE6F29">
          <w:rPr>
            <w:rFonts w:ascii="Times New Roman" w:hAnsi="Times New Roman" w:cs="Times New Roman"/>
            <w:noProof/>
            <w:webHidden/>
            <w:sz w:val="28"/>
            <w:szCs w:val="28"/>
          </w:rPr>
          <w:fldChar w:fldCharType="end"/>
        </w:r>
      </w:hyperlink>
    </w:p>
    <w:p w:rsidR="00394FE9" w:rsidRPr="00EE6F29" w:rsidRDefault="00394FE9" w:rsidP="0019316D">
      <w:pPr>
        <w:pStyle w:val="TOC2"/>
        <w:tabs>
          <w:tab w:val="right" w:leader="dot" w:pos="9345"/>
        </w:tabs>
        <w:spacing w:line="360" w:lineRule="auto"/>
        <w:jc w:val="both"/>
        <w:rPr>
          <w:rFonts w:ascii="Times New Roman" w:hAnsi="Times New Roman" w:cs="Times New Roman"/>
          <w:noProof/>
          <w:sz w:val="28"/>
          <w:szCs w:val="28"/>
          <w:lang w:val="ru-RU" w:eastAsia="ru-RU"/>
        </w:rPr>
      </w:pPr>
      <w:hyperlink w:anchor="_Toc179215263" w:history="1">
        <w:r w:rsidRPr="00EE6F29">
          <w:rPr>
            <w:rStyle w:val="Hyperlink"/>
            <w:rFonts w:ascii="Times New Roman" w:hAnsi="Times New Roman"/>
            <w:noProof/>
            <w:sz w:val="28"/>
            <w:szCs w:val="28"/>
          </w:rPr>
          <w:t>1.2. Публічно-правовий спір: його предмет та значення.</w:t>
        </w:r>
        <w:r w:rsidRPr="00EE6F29">
          <w:rPr>
            <w:rFonts w:ascii="Times New Roman" w:hAnsi="Times New Roman" w:cs="Times New Roman"/>
            <w:noProof/>
            <w:webHidden/>
            <w:sz w:val="28"/>
            <w:szCs w:val="28"/>
          </w:rPr>
          <w:tab/>
        </w:r>
        <w:r w:rsidRPr="00EE6F29">
          <w:rPr>
            <w:rFonts w:ascii="Times New Roman" w:hAnsi="Times New Roman" w:cs="Times New Roman"/>
            <w:noProof/>
            <w:webHidden/>
            <w:sz w:val="28"/>
            <w:szCs w:val="28"/>
          </w:rPr>
          <w:fldChar w:fldCharType="begin"/>
        </w:r>
        <w:r w:rsidRPr="00EE6F29">
          <w:rPr>
            <w:rFonts w:ascii="Times New Roman" w:hAnsi="Times New Roman" w:cs="Times New Roman"/>
            <w:noProof/>
            <w:webHidden/>
            <w:sz w:val="28"/>
            <w:szCs w:val="28"/>
          </w:rPr>
          <w:instrText xml:space="preserve"> PAGEREF _Toc179215263 \h </w:instrText>
        </w:r>
        <w:r w:rsidRPr="005E3186">
          <w:rPr>
            <w:rFonts w:ascii="Times New Roman" w:hAnsi="Times New Roman" w:cs="Times New Roman"/>
            <w:noProof/>
            <w:sz w:val="28"/>
            <w:szCs w:val="28"/>
          </w:rPr>
        </w:r>
        <w:r w:rsidRPr="00EE6F29">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22</w:t>
        </w:r>
        <w:r w:rsidRPr="00EE6F29">
          <w:rPr>
            <w:rFonts w:ascii="Times New Roman" w:hAnsi="Times New Roman" w:cs="Times New Roman"/>
            <w:noProof/>
            <w:webHidden/>
            <w:sz w:val="28"/>
            <w:szCs w:val="28"/>
          </w:rPr>
          <w:fldChar w:fldCharType="end"/>
        </w:r>
      </w:hyperlink>
    </w:p>
    <w:p w:rsidR="00394FE9" w:rsidRPr="00EE6F29" w:rsidRDefault="00394FE9" w:rsidP="0019316D">
      <w:pPr>
        <w:pStyle w:val="TOC2"/>
        <w:tabs>
          <w:tab w:val="right" w:leader="dot" w:pos="9345"/>
        </w:tabs>
        <w:spacing w:line="360" w:lineRule="auto"/>
        <w:jc w:val="both"/>
        <w:rPr>
          <w:rFonts w:ascii="Times New Roman" w:hAnsi="Times New Roman" w:cs="Times New Roman"/>
          <w:noProof/>
          <w:sz w:val="28"/>
          <w:szCs w:val="28"/>
          <w:lang w:val="ru-RU" w:eastAsia="ru-RU"/>
        </w:rPr>
      </w:pPr>
      <w:hyperlink w:anchor="_Toc179215264" w:history="1">
        <w:r w:rsidRPr="00EE6F29">
          <w:rPr>
            <w:rStyle w:val="Hyperlink"/>
            <w:rFonts w:ascii="Times New Roman" w:hAnsi="Times New Roman"/>
            <w:noProof/>
            <w:sz w:val="28"/>
            <w:szCs w:val="28"/>
          </w:rPr>
          <w:t>1.3. Суб’єкт владних повноважень як сторона публічно-правового спору.</w:t>
        </w:r>
        <w:r w:rsidRPr="00EE6F29">
          <w:rPr>
            <w:rFonts w:ascii="Times New Roman" w:hAnsi="Times New Roman" w:cs="Times New Roman"/>
            <w:noProof/>
            <w:webHidden/>
            <w:sz w:val="28"/>
            <w:szCs w:val="28"/>
          </w:rPr>
          <w:tab/>
        </w:r>
        <w:r w:rsidRPr="00EE6F29">
          <w:rPr>
            <w:rFonts w:ascii="Times New Roman" w:hAnsi="Times New Roman" w:cs="Times New Roman"/>
            <w:noProof/>
            <w:webHidden/>
            <w:sz w:val="28"/>
            <w:szCs w:val="28"/>
          </w:rPr>
          <w:fldChar w:fldCharType="begin"/>
        </w:r>
        <w:r w:rsidRPr="00EE6F29">
          <w:rPr>
            <w:rFonts w:ascii="Times New Roman" w:hAnsi="Times New Roman" w:cs="Times New Roman"/>
            <w:noProof/>
            <w:webHidden/>
            <w:sz w:val="28"/>
            <w:szCs w:val="28"/>
          </w:rPr>
          <w:instrText xml:space="preserve"> PAGEREF _Toc179215264 \h </w:instrText>
        </w:r>
        <w:r w:rsidRPr="005E3186">
          <w:rPr>
            <w:rFonts w:ascii="Times New Roman" w:hAnsi="Times New Roman" w:cs="Times New Roman"/>
            <w:noProof/>
            <w:sz w:val="28"/>
            <w:szCs w:val="28"/>
          </w:rPr>
        </w:r>
        <w:r w:rsidRPr="00EE6F29">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30</w:t>
        </w:r>
        <w:r w:rsidRPr="00EE6F29">
          <w:rPr>
            <w:rFonts w:ascii="Times New Roman" w:hAnsi="Times New Roman" w:cs="Times New Roman"/>
            <w:noProof/>
            <w:webHidden/>
            <w:sz w:val="28"/>
            <w:szCs w:val="28"/>
          </w:rPr>
          <w:fldChar w:fldCharType="end"/>
        </w:r>
      </w:hyperlink>
    </w:p>
    <w:p w:rsidR="00394FE9" w:rsidRPr="00EE6F29" w:rsidRDefault="00394FE9" w:rsidP="0019316D">
      <w:pPr>
        <w:pStyle w:val="TOC2"/>
        <w:tabs>
          <w:tab w:val="right" w:leader="dot" w:pos="9345"/>
        </w:tabs>
        <w:spacing w:line="360" w:lineRule="auto"/>
        <w:jc w:val="both"/>
        <w:rPr>
          <w:rFonts w:ascii="Times New Roman" w:hAnsi="Times New Roman" w:cs="Times New Roman"/>
          <w:noProof/>
          <w:sz w:val="28"/>
          <w:szCs w:val="28"/>
          <w:lang w:val="ru-RU" w:eastAsia="ru-RU"/>
        </w:rPr>
      </w:pPr>
      <w:hyperlink w:anchor="_Toc179215265" w:history="1">
        <w:r w:rsidRPr="00EE6F29">
          <w:rPr>
            <w:rStyle w:val="Hyperlink"/>
            <w:rFonts w:ascii="Times New Roman" w:hAnsi="Times New Roman"/>
            <w:b/>
            <w:bCs/>
            <w:noProof/>
            <w:sz w:val="28"/>
            <w:szCs w:val="28"/>
          </w:rPr>
          <w:t>Висновки до розділу 1</w:t>
        </w:r>
        <w:r w:rsidRPr="00EE6F29">
          <w:rPr>
            <w:rFonts w:ascii="Times New Roman" w:hAnsi="Times New Roman" w:cs="Times New Roman"/>
            <w:noProof/>
            <w:webHidden/>
            <w:sz w:val="28"/>
            <w:szCs w:val="28"/>
          </w:rPr>
          <w:tab/>
        </w:r>
        <w:r w:rsidRPr="00EE6F29">
          <w:rPr>
            <w:rFonts w:ascii="Times New Roman" w:hAnsi="Times New Roman" w:cs="Times New Roman"/>
            <w:noProof/>
            <w:webHidden/>
            <w:sz w:val="28"/>
            <w:szCs w:val="28"/>
          </w:rPr>
          <w:fldChar w:fldCharType="begin"/>
        </w:r>
        <w:r w:rsidRPr="00EE6F29">
          <w:rPr>
            <w:rFonts w:ascii="Times New Roman" w:hAnsi="Times New Roman" w:cs="Times New Roman"/>
            <w:noProof/>
            <w:webHidden/>
            <w:sz w:val="28"/>
            <w:szCs w:val="28"/>
          </w:rPr>
          <w:instrText xml:space="preserve"> PAGEREF _Toc179215265 \h </w:instrText>
        </w:r>
        <w:r w:rsidRPr="005E3186">
          <w:rPr>
            <w:rFonts w:ascii="Times New Roman" w:hAnsi="Times New Roman" w:cs="Times New Roman"/>
            <w:noProof/>
            <w:sz w:val="28"/>
            <w:szCs w:val="28"/>
          </w:rPr>
        </w:r>
        <w:r w:rsidRPr="00EE6F29">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38</w:t>
        </w:r>
        <w:r w:rsidRPr="00EE6F29">
          <w:rPr>
            <w:rFonts w:ascii="Times New Roman" w:hAnsi="Times New Roman" w:cs="Times New Roman"/>
            <w:noProof/>
            <w:webHidden/>
            <w:sz w:val="28"/>
            <w:szCs w:val="28"/>
          </w:rPr>
          <w:fldChar w:fldCharType="end"/>
        </w:r>
      </w:hyperlink>
    </w:p>
    <w:p w:rsidR="00394FE9" w:rsidRPr="00EE6F29" w:rsidRDefault="00394FE9" w:rsidP="0019316D">
      <w:pPr>
        <w:pStyle w:val="TOC1"/>
        <w:tabs>
          <w:tab w:val="right" w:leader="dot" w:pos="9345"/>
        </w:tabs>
        <w:spacing w:line="360" w:lineRule="auto"/>
        <w:jc w:val="both"/>
        <w:rPr>
          <w:rFonts w:ascii="Times New Roman" w:hAnsi="Times New Roman" w:cs="Times New Roman"/>
          <w:noProof/>
          <w:sz w:val="28"/>
          <w:szCs w:val="28"/>
          <w:lang w:val="ru-RU" w:eastAsia="ru-RU"/>
        </w:rPr>
      </w:pPr>
      <w:hyperlink w:anchor="_Toc179215266" w:history="1">
        <w:r w:rsidRPr="00EE6F29">
          <w:rPr>
            <w:rStyle w:val="Hyperlink"/>
            <w:rFonts w:ascii="Times New Roman" w:hAnsi="Times New Roman"/>
            <w:b/>
            <w:bCs/>
            <w:noProof/>
            <w:sz w:val="28"/>
            <w:szCs w:val="28"/>
          </w:rPr>
          <w:t>РОЗДІЛ 2. РОЗГЛЯД ПУБЛІЧНО-ПРАВОВИХ СПОРІВ ЩОДО ОСКАРЖЕННЯ РІШЕНЬ СУБ'ЄКТІВ ВЛАДНИХ ПОВНОВАЖЕНЬ У СФЕРІ АДМІНІСТРАТИВНО-ДЕЛІКТНИХ ПРАВОВІДНОСИН</w:t>
        </w:r>
        <w:r w:rsidRPr="00EE6F29">
          <w:rPr>
            <w:rFonts w:ascii="Times New Roman" w:hAnsi="Times New Roman" w:cs="Times New Roman"/>
            <w:noProof/>
            <w:webHidden/>
            <w:sz w:val="28"/>
            <w:szCs w:val="28"/>
          </w:rPr>
          <w:tab/>
        </w:r>
        <w:r w:rsidRPr="00EE6F29">
          <w:rPr>
            <w:rFonts w:ascii="Times New Roman" w:hAnsi="Times New Roman" w:cs="Times New Roman"/>
            <w:noProof/>
            <w:webHidden/>
            <w:sz w:val="28"/>
            <w:szCs w:val="28"/>
          </w:rPr>
          <w:fldChar w:fldCharType="begin"/>
        </w:r>
        <w:r w:rsidRPr="00EE6F29">
          <w:rPr>
            <w:rFonts w:ascii="Times New Roman" w:hAnsi="Times New Roman" w:cs="Times New Roman"/>
            <w:noProof/>
            <w:webHidden/>
            <w:sz w:val="28"/>
            <w:szCs w:val="28"/>
          </w:rPr>
          <w:instrText xml:space="preserve"> PAGEREF _Toc179215266 \h </w:instrText>
        </w:r>
        <w:r w:rsidRPr="005E3186">
          <w:rPr>
            <w:rFonts w:ascii="Times New Roman" w:hAnsi="Times New Roman" w:cs="Times New Roman"/>
            <w:noProof/>
            <w:sz w:val="28"/>
            <w:szCs w:val="28"/>
          </w:rPr>
        </w:r>
        <w:r w:rsidRPr="00EE6F29">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40</w:t>
        </w:r>
        <w:r w:rsidRPr="00EE6F29">
          <w:rPr>
            <w:rFonts w:ascii="Times New Roman" w:hAnsi="Times New Roman" w:cs="Times New Roman"/>
            <w:noProof/>
            <w:webHidden/>
            <w:sz w:val="28"/>
            <w:szCs w:val="28"/>
          </w:rPr>
          <w:fldChar w:fldCharType="end"/>
        </w:r>
      </w:hyperlink>
    </w:p>
    <w:p w:rsidR="00394FE9" w:rsidRPr="00EE6F29" w:rsidRDefault="00394FE9" w:rsidP="0019316D">
      <w:pPr>
        <w:pStyle w:val="TOC2"/>
        <w:tabs>
          <w:tab w:val="right" w:leader="dot" w:pos="9345"/>
        </w:tabs>
        <w:spacing w:line="360" w:lineRule="auto"/>
        <w:jc w:val="both"/>
        <w:rPr>
          <w:rFonts w:ascii="Times New Roman" w:hAnsi="Times New Roman" w:cs="Times New Roman"/>
          <w:noProof/>
          <w:sz w:val="28"/>
          <w:szCs w:val="28"/>
          <w:lang w:val="ru-RU" w:eastAsia="ru-RU"/>
        </w:rPr>
      </w:pPr>
      <w:hyperlink w:anchor="_Toc179215267" w:history="1">
        <w:r w:rsidRPr="00EE6F29">
          <w:rPr>
            <w:rStyle w:val="Hyperlink"/>
            <w:rFonts w:ascii="Times New Roman" w:hAnsi="Times New Roman"/>
            <w:bCs/>
            <w:noProof/>
            <w:sz w:val="28"/>
            <w:szCs w:val="28"/>
          </w:rPr>
          <w:t>2.1.  Нормативно-правові та індивідуальні акти суб’єктів владних повноважень як предмет публічно-правового спору, пов’язаний з притягненням осіб до адміністративної відповідальності.</w:t>
        </w:r>
        <w:r w:rsidRPr="00EE6F29">
          <w:rPr>
            <w:rFonts w:ascii="Times New Roman" w:hAnsi="Times New Roman" w:cs="Times New Roman"/>
            <w:noProof/>
            <w:webHidden/>
            <w:sz w:val="28"/>
            <w:szCs w:val="28"/>
          </w:rPr>
          <w:tab/>
        </w:r>
        <w:r w:rsidRPr="00EE6F29">
          <w:rPr>
            <w:rFonts w:ascii="Times New Roman" w:hAnsi="Times New Roman" w:cs="Times New Roman"/>
            <w:noProof/>
            <w:webHidden/>
            <w:sz w:val="28"/>
            <w:szCs w:val="28"/>
          </w:rPr>
          <w:fldChar w:fldCharType="begin"/>
        </w:r>
        <w:r w:rsidRPr="00EE6F29">
          <w:rPr>
            <w:rFonts w:ascii="Times New Roman" w:hAnsi="Times New Roman" w:cs="Times New Roman"/>
            <w:noProof/>
            <w:webHidden/>
            <w:sz w:val="28"/>
            <w:szCs w:val="28"/>
          </w:rPr>
          <w:instrText xml:space="preserve"> PAGEREF _Toc179215267 \h </w:instrText>
        </w:r>
        <w:r w:rsidRPr="005E3186">
          <w:rPr>
            <w:rFonts w:ascii="Times New Roman" w:hAnsi="Times New Roman" w:cs="Times New Roman"/>
            <w:noProof/>
            <w:sz w:val="28"/>
            <w:szCs w:val="28"/>
          </w:rPr>
        </w:r>
        <w:r w:rsidRPr="00EE6F29">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40</w:t>
        </w:r>
        <w:r w:rsidRPr="00EE6F29">
          <w:rPr>
            <w:rFonts w:ascii="Times New Roman" w:hAnsi="Times New Roman" w:cs="Times New Roman"/>
            <w:noProof/>
            <w:webHidden/>
            <w:sz w:val="28"/>
            <w:szCs w:val="28"/>
          </w:rPr>
          <w:fldChar w:fldCharType="end"/>
        </w:r>
      </w:hyperlink>
    </w:p>
    <w:p w:rsidR="00394FE9" w:rsidRPr="00EE6F29" w:rsidRDefault="00394FE9" w:rsidP="0019316D">
      <w:pPr>
        <w:pStyle w:val="TOC2"/>
        <w:tabs>
          <w:tab w:val="right" w:leader="dot" w:pos="9345"/>
        </w:tabs>
        <w:spacing w:line="360" w:lineRule="auto"/>
        <w:jc w:val="both"/>
        <w:rPr>
          <w:rFonts w:ascii="Times New Roman" w:hAnsi="Times New Roman" w:cs="Times New Roman"/>
          <w:noProof/>
          <w:sz w:val="28"/>
          <w:szCs w:val="28"/>
          <w:lang w:val="ru-RU" w:eastAsia="ru-RU"/>
        </w:rPr>
      </w:pPr>
      <w:hyperlink w:anchor="_Toc179215268" w:history="1">
        <w:r w:rsidRPr="00EE6F29">
          <w:rPr>
            <w:rStyle w:val="Hyperlink"/>
            <w:rFonts w:ascii="Times New Roman" w:hAnsi="Times New Roman"/>
            <w:noProof/>
            <w:sz w:val="28"/>
            <w:szCs w:val="28"/>
          </w:rPr>
          <w:t>2.2. Підсудність та особливості розгляду справ, які пов’язані із оскарженням рішень суб’єктів владних повноважень у сфері адміністративно-деліктних правовідносин.</w:t>
        </w:r>
        <w:r w:rsidRPr="00EE6F29">
          <w:rPr>
            <w:rFonts w:ascii="Times New Roman" w:hAnsi="Times New Roman" w:cs="Times New Roman"/>
            <w:noProof/>
            <w:webHidden/>
            <w:sz w:val="28"/>
            <w:szCs w:val="28"/>
          </w:rPr>
          <w:tab/>
        </w:r>
        <w:r w:rsidRPr="00EE6F29">
          <w:rPr>
            <w:rFonts w:ascii="Times New Roman" w:hAnsi="Times New Roman" w:cs="Times New Roman"/>
            <w:noProof/>
            <w:webHidden/>
            <w:sz w:val="28"/>
            <w:szCs w:val="28"/>
          </w:rPr>
          <w:fldChar w:fldCharType="begin"/>
        </w:r>
        <w:r w:rsidRPr="00EE6F29">
          <w:rPr>
            <w:rFonts w:ascii="Times New Roman" w:hAnsi="Times New Roman" w:cs="Times New Roman"/>
            <w:noProof/>
            <w:webHidden/>
            <w:sz w:val="28"/>
            <w:szCs w:val="28"/>
          </w:rPr>
          <w:instrText xml:space="preserve"> PAGEREF _Toc179215268 \h </w:instrText>
        </w:r>
        <w:r w:rsidRPr="005E3186">
          <w:rPr>
            <w:rFonts w:ascii="Times New Roman" w:hAnsi="Times New Roman" w:cs="Times New Roman"/>
            <w:noProof/>
            <w:sz w:val="28"/>
            <w:szCs w:val="28"/>
          </w:rPr>
        </w:r>
        <w:r w:rsidRPr="00EE6F29">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50</w:t>
        </w:r>
        <w:r w:rsidRPr="00EE6F29">
          <w:rPr>
            <w:rFonts w:ascii="Times New Roman" w:hAnsi="Times New Roman" w:cs="Times New Roman"/>
            <w:noProof/>
            <w:webHidden/>
            <w:sz w:val="28"/>
            <w:szCs w:val="28"/>
          </w:rPr>
          <w:fldChar w:fldCharType="end"/>
        </w:r>
      </w:hyperlink>
    </w:p>
    <w:p w:rsidR="00394FE9" w:rsidRPr="00EE6F29" w:rsidRDefault="00394FE9" w:rsidP="0019316D">
      <w:pPr>
        <w:pStyle w:val="TOC2"/>
        <w:tabs>
          <w:tab w:val="right" w:leader="dot" w:pos="9345"/>
        </w:tabs>
        <w:spacing w:line="360" w:lineRule="auto"/>
        <w:jc w:val="both"/>
        <w:rPr>
          <w:rFonts w:ascii="Times New Roman" w:hAnsi="Times New Roman" w:cs="Times New Roman"/>
          <w:noProof/>
          <w:sz w:val="28"/>
          <w:szCs w:val="28"/>
          <w:lang w:val="ru-RU" w:eastAsia="ru-RU"/>
        </w:rPr>
      </w:pPr>
      <w:hyperlink w:anchor="_Toc179215269" w:history="1">
        <w:r w:rsidRPr="00EE6F29">
          <w:rPr>
            <w:rStyle w:val="Hyperlink"/>
            <w:rFonts w:ascii="Times New Roman" w:hAnsi="Times New Roman"/>
            <w:b/>
            <w:bCs/>
            <w:noProof/>
            <w:sz w:val="28"/>
            <w:szCs w:val="28"/>
          </w:rPr>
          <w:t>Висновки до розділу 2</w:t>
        </w:r>
        <w:r w:rsidRPr="00EE6F29">
          <w:rPr>
            <w:rFonts w:ascii="Times New Roman" w:hAnsi="Times New Roman" w:cs="Times New Roman"/>
            <w:noProof/>
            <w:webHidden/>
            <w:sz w:val="28"/>
            <w:szCs w:val="28"/>
          </w:rPr>
          <w:tab/>
        </w:r>
        <w:r w:rsidRPr="00EE6F29">
          <w:rPr>
            <w:rFonts w:ascii="Times New Roman" w:hAnsi="Times New Roman" w:cs="Times New Roman"/>
            <w:noProof/>
            <w:webHidden/>
            <w:sz w:val="28"/>
            <w:szCs w:val="28"/>
          </w:rPr>
          <w:fldChar w:fldCharType="begin"/>
        </w:r>
        <w:r w:rsidRPr="00EE6F29">
          <w:rPr>
            <w:rFonts w:ascii="Times New Roman" w:hAnsi="Times New Roman" w:cs="Times New Roman"/>
            <w:noProof/>
            <w:webHidden/>
            <w:sz w:val="28"/>
            <w:szCs w:val="28"/>
          </w:rPr>
          <w:instrText xml:space="preserve"> PAGEREF _Toc179215269 \h </w:instrText>
        </w:r>
        <w:r w:rsidRPr="005E3186">
          <w:rPr>
            <w:rFonts w:ascii="Times New Roman" w:hAnsi="Times New Roman" w:cs="Times New Roman"/>
            <w:noProof/>
            <w:sz w:val="28"/>
            <w:szCs w:val="28"/>
          </w:rPr>
        </w:r>
        <w:r w:rsidRPr="00EE6F29">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61</w:t>
        </w:r>
        <w:r w:rsidRPr="00EE6F29">
          <w:rPr>
            <w:rFonts w:ascii="Times New Roman" w:hAnsi="Times New Roman" w:cs="Times New Roman"/>
            <w:noProof/>
            <w:webHidden/>
            <w:sz w:val="28"/>
            <w:szCs w:val="28"/>
          </w:rPr>
          <w:fldChar w:fldCharType="end"/>
        </w:r>
      </w:hyperlink>
    </w:p>
    <w:p w:rsidR="00394FE9" w:rsidRPr="00EE6F29" w:rsidRDefault="00394FE9" w:rsidP="0019316D">
      <w:pPr>
        <w:pStyle w:val="TOC1"/>
        <w:tabs>
          <w:tab w:val="right" w:leader="dot" w:pos="9345"/>
        </w:tabs>
        <w:spacing w:line="360" w:lineRule="auto"/>
        <w:jc w:val="both"/>
        <w:rPr>
          <w:rFonts w:ascii="Times New Roman" w:hAnsi="Times New Roman" w:cs="Times New Roman"/>
          <w:noProof/>
          <w:sz w:val="28"/>
          <w:szCs w:val="28"/>
          <w:lang w:val="ru-RU" w:eastAsia="ru-RU"/>
        </w:rPr>
      </w:pPr>
      <w:hyperlink w:anchor="_Toc179215270" w:history="1">
        <w:r w:rsidRPr="00EE6F29">
          <w:rPr>
            <w:rStyle w:val="Hyperlink"/>
            <w:rFonts w:ascii="Times New Roman" w:hAnsi="Times New Roman"/>
            <w:b/>
            <w:bCs/>
            <w:noProof/>
            <w:sz w:val="28"/>
            <w:szCs w:val="28"/>
          </w:rPr>
          <w:t>РОЗДІЛ 3. НАПРЯМИ УДОСКОНАЛЕННЯ ЗАКОНОДАВСТВА УКРАЇНИ В ЧАСТИНІ ОСКАРЖЕННЯ РІШЕНЬ СУБ’ЄКТІВ ВЛАДНИХ ПОВНОВАЖЕНЬ У СФЕРІ АДМІНІСТРАТИВНО-ДЕЛІКТНИХ ПРАВОВІДНОСИН</w:t>
        </w:r>
        <w:r w:rsidRPr="00EE6F29">
          <w:rPr>
            <w:rFonts w:ascii="Times New Roman" w:hAnsi="Times New Roman" w:cs="Times New Roman"/>
            <w:noProof/>
            <w:webHidden/>
            <w:sz w:val="28"/>
            <w:szCs w:val="28"/>
          </w:rPr>
          <w:tab/>
        </w:r>
        <w:r w:rsidRPr="00EE6F29">
          <w:rPr>
            <w:rFonts w:ascii="Times New Roman" w:hAnsi="Times New Roman" w:cs="Times New Roman"/>
            <w:noProof/>
            <w:webHidden/>
            <w:sz w:val="28"/>
            <w:szCs w:val="28"/>
          </w:rPr>
          <w:fldChar w:fldCharType="begin"/>
        </w:r>
        <w:r w:rsidRPr="00EE6F29">
          <w:rPr>
            <w:rFonts w:ascii="Times New Roman" w:hAnsi="Times New Roman" w:cs="Times New Roman"/>
            <w:noProof/>
            <w:webHidden/>
            <w:sz w:val="28"/>
            <w:szCs w:val="28"/>
          </w:rPr>
          <w:instrText xml:space="preserve"> PAGEREF _Toc179215270 \h </w:instrText>
        </w:r>
        <w:r w:rsidRPr="005E3186">
          <w:rPr>
            <w:rFonts w:ascii="Times New Roman" w:hAnsi="Times New Roman" w:cs="Times New Roman"/>
            <w:noProof/>
            <w:sz w:val="28"/>
            <w:szCs w:val="28"/>
          </w:rPr>
        </w:r>
        <w:r w:rsidRPr="00EE6F29">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65</w:t>
        </w:r>
        <w:r w:rsidRPr="00EE6F29">
          <w:rPr>
            <w:rFonts w:ascii="Times New Roman" w:hAnsi="Times New Roman" w:cs="Times New Roman"/>
            <w:noProof/>
            <w:webHidden/>
            <w:sz w:val="28"/>
            <w:szCs w:val="28"/>
          </w:rPr>
          <w:fldChar w:fldCharType="end"/>
        </w:r>
      </w:hyperlink>
    </w:p>
    <w:p w:rsidR="00394FE9" w:rsidRPr="00EE6F29" w:rsidRDefault="00394FE9" w:rsidP="0019316D">
      <w:pPr>
        <w:pStyle w:val="TOC2"/>
        <w:tabs>
          <w:tab w:val="right" w:leader="dot" w:pos="9345"/>
        </w:tabs>
        <w:spacing w:line="360" w:lineRule="auto"/>
        <w:jc w:val="both"/>
        <w:rPr>
          <w:rFonts w:ascii="Times New Roman" w:hAnsi="Times New Roman" w:cs="Times New Roman"/>
          <w:noProof/>
          <w:sz w:val="28"/>
          <w:szCs w:val="28"/>
          <w:lang w:val="ru-RU" w:eastAsia="ru-RU"/>
        </w:rPr>
      </w:pPr>
      <w:hyperlink w:anchor="_Toc179215271" w:history="1">
        <w:r w:rsidRPr="00EE6F29">
          <w:rPr>
            <w:rStyle w:val="Hyperlink"/>
            <w:rFonts w:ascii="Times New Roman" w:hAnsi="Times New Roman"/>
            <w:bCs/>
            <w:noProof/>
            <w:sz w:val="28"/>
            <w:szCs w:val="28"/>
          </w:rPr>
          <w:t>3.1. Зарубіжний досвід правового регулювання процедури оскарження рішення суб’єктів владних повноважень у сфері адміністративно-деліктних правовідносин</w:t>
        </w:r>
        <w:r w:rsidRPr="00EE6F29">
          <w:rPr>
            <w:rFonts w:ascii="Times New Roman" w:hAnsi="Times New Roman" w:cs="Times New Roman"/>
            <w:noProof/>
            <w:webHidden/>
            <w:sz w:val="28"/>
            <w:szCs w:val="28"/>
          </w:rPr>
          <w:tab/>
        </w:r>
        <w:r w:rsidRPr="00EE6F29">
          <w:rPr>
            <w:rFonts w:ascii="Times New Roman" w:hAnsi="Times New Roman" w:cs="Times New Roman"/>
            <w:noProof/>
            <w:webHidden/>
            <w:sz w:val="28"/>
            <w:szCs w:val="28"/>
          </w:rPr>
          <w:fldChar w:fldCharType="begin"/>
        </w:r>
        <w:r w:rsidRPr="00EE6F29">
          <w:rPr>
            <w:rFonts w:ascii="Times New Roman" w:hAnsi="Times New Roman" w:cs="Times New Roman"/>
            <w:noProof/>
            <w:webHidden/>
            <w:sz w:val="28"/>
            <w:szCs w:val="28"/>
          </w:rPr>
          <w:instrText xml:space="preserve"> PAGEREF _Toc179215271 \h </w:instrText>
        </w:r>
        <w:r w:rsidRPr="005E3186">
          <w:rPr>
            <w:rFonts w:ascii="Times New Roman" w:hAnsi="Times New Roman" w:cs="Times New Roman"/>
            <w:noProof/>
            <w:sz w:val="28"/>
            <w:szCs w:val="28"/>
          </w:rPr>
        </w:r>
        <w:r w:rsidRPr="00EE6F29">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65</w:t>
        </w:r>
        <w:r w:rsidRPr="00EE6F29">
          <w:rPr>
            <w:rFonts w:ascii="Times New Roman" w:hAnsi="Times New Roman" w:cs="Times New Roman"/>
            <w:noProof/>
            <w:webHidden/>
            <w:sz w:val="28"/>
            <w:szCs w:val="28"/>
          </w:rPr>
          <w:fldChar w:fldCharType="end"/>
        </w:r>
      </w:hyperlink>
    </w:p>
    <w:p w:rsidR="00394FE9" w:rsidRPr="00EE6F29" w:rsidRDefault="00394FE9" w:rsidP="0019316D">
      <w:pPr>
        <w:pStyle w:val="TOC2"/>
        <w:tabs>
          <w:tab w:val="right" w:leader="dot" w:pos="9345"/>
        </w:tabs>
        <w:spacing w:line="360" w:lineRule="auto"/>
        <w:jc w:val="both"/>
        <w:rPr>
          <w:rFonts w:ascii="Times New Roman" w:hAnsi="Times New Roman" w:cs="Times New Roman"/>
          <w:noProof/>
          <w:sz w:val="28"/>
          <w:szCs w:val="28"/>
          <w:lang w:val="ru-RU" w:eastAsia="ru-RU"/>
        </w:rPr>
      </w:pPr>
      <w:hyperlink w:anchor="_Toc179215272" w:history="1">
        <w:r w:rsidRPr="00EE6F29">
          <w:rPr>
            <w:rStyle w:val="Hyperlink"/>
            <w:rFonts w:ascii="Times New Roman" w:hAnsi="Times New Roman"/>
            <w:noProof/>
            <w:sz w:val="28"/>
            <w:szCs w:val="28"/>
          </w:rPr>
          <w:t>3.2. Правові засади удосконалення судової процедури оскарження рішень суб’єктів владних повноважень у сфері адміністративно-деліктних правовідносин</w:t>
        </w:r>
        <w:r w:rsidRPr="00EE6F29">
          <w:rPr>
            <w:rFonts w:ascii="Times New Roman" w:hAnsi="Times New Roman" w:cs="Times New Roman"/>
            <w:noProof/>
            <w:webHidden/>
            <w:sz w:val="28"/>
            <w:szCs w:val="28"/>
          </w:rPr>
          <w:tab/>
        </w:r>
        <w:r w:rsidRPr="00EE6F29">
          <w:rPr>
            <w:rFonts w:ascii="Times New Roman" w:hAnsi="Times New Roman" w:cs="Times New Roman"/>
            <w:noProof/>
            <w:webHidden/>
            <w:sz w:val="28"/>
            <w:szCs w:val="28"/>
          </w:rPr>
          <w:fldChar w:fldCharType="begin"/>
        </w:r>
        <w:r w:rsidRPr="00EE6F29">
          <w:rPr>
            <w:rFonts w:ascii="Times New Roman" w:hAnsi="Times New Roman" w:cs="Times New Roman"/>
            <w:noProof/>
            <w:webHidden/>
            <w:sz w:val="28"/>
            <w:szCs w:val="28"/>
          </w:rPr>
          <w:instrText xml:space="preserve"> PAGEREF _Toc179215272 \h </w:instrText>
        </w:r>
        <w:r w:rsidRPr="005E3186">
          <w:rPr>
            <w:rFonts w:ascii="Times New Roman" w:hAnsi="Times New Roman" w:cs="Times New Roman"/>
            <w:noProof/>
            <w:sz w:val="28"/>
            <w:szCs w:val="28"/>
          </w:rPr>
        </w:r>
        <w:r w:rsidRPr="00EE6F29">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71</w:t>
        </w:r>
        <w:r w:rsidRPr="00EE6F29">
          <w:rPr>
            <w:rFonts w:ascii="Times New Roman" w:hAnsi="Times New Roman" w:cs="Times New Roman"/>
            <w:noProof/>
            <w:webHidden/>
            <w:sz w:val="28"/>
            <w:szCs w:val="28"/>
          </w:rPr>
          <w:fldChar w:fldCharType="end"/>
        </w:r>
      </w:hyperlink>
    </w:p>
    <w:p w:rsidR="00394FE9" w:rsidRPr="00EE6F29" w:rsidRDefault="00394FE9" w:rsidP="0019316D">
      <w:pPr>
        <w:pStyle w:val="TOC2"/>
        <w:tabs>
          <w:tab w:val="right" w:leader="dot" w:pos="9345"/>
        </w:tabs>
        <w:spacing w:line="360" w:lineRule="auto"/>
        <w:jc w:val="both"/>
        <w:rPr>
          <w:rFonts w:ascii="Times New Roman" w:hAnsi="Times New Roman" w:cs="Times New Roman"/>
          <w:noProof/>
          <w:sz w:val="28"/>
          <w:szCs w:val="28"/>
          <w:lang w:val="ru-RU" w:eastAsia="ru-RU"/>
        </w:rPr>
      </w:pPr>
      <w:hyperlink w:anchor="_Toc179215273" w:history="1">
        <w:r w:rsidRPr="00EE6F29">
          <w:rPr>
            <w:rStyle w:val="Hyperlink"/>
            <w:rFonts w:ascii="Times New Roman" w:hAnsi="Times New Roman"/>
            <w:b/>
            <w:bCs/>
            <w:noProof/>
            <w:sz w:val="28"/>
            <w:szCs w:val="28"/>
          </w:rPr>
          <w:t>Висновки до розділу 3</w:t>
        </w:r>
        <w:r w:rsidRPr="00EE6F29">
          <w:rPr>
            <w:rFonts w:ascii="Times New Roman" w:hAnsi="Times New Roman" w:cs="Times New Roman"/>
            <w:noProof/>
            <w:webHidden/>
            <w:sz w:val="28"/>
            <w:szCs w:val="28"/>
          </w:rPr>
          <w:tab/>
        </w:r>
        <w:r w:rsidRPr="00EE6F29">
          <w:rPr>
            <w:rFonts w:ascii="Times New Roman" w:hAnsi="Times New Roman" w:cs="Times New Roman"/>
            <w:noProof/>
            <w:webHidden/>
            <w:sz w:val="28"/>
            <w:szCs w:val="28"/>
          </w:rPr>
          <w:fldChar w:fldCharType="begin"/>
        </w:r>
        <w:r w:rsidRPr="00EE6F29">
          <w:rPr>
            <w:rFonts w:ascii="Times New Roman" w:hAnsi="Times New Roman" w:cs="Times New Roman"/>
            <w:noProof/>
            <w:webHidden/>
            <w:sz w:val="28"/>
            <w:szCs w:val="28"/>
          </w:rPr>
          <w:instrText xml:space="preserve"> PAGEREF _Toc179215273 \h </w:instrText>
        </w:r>
        <w:r w:rsidRPr="005E3186">
          <w:rPr>
            <w:rFonts w:ascii="Times New Roman" w:hAnsi="Times New Roman" w:cs="Times New Roman"/>
            <w:noProof/>
            <w:sz w:val="28"/>
            <w:szCs w:val="28"/>
          </w:rPr>
        </w:r>
        <w:r w:rsidRPr="00EE6F29">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80</w:t>
        </w:r>
        <w:r w:rsidRPr="00EE6F29">
          <w:rPr>
            <w:rFonts w:ascii="Times New Roman" w:hAnsi="Times New Roman" w:cs="Times New Roman"/>
            <w:noProof/>
            <w:webHidden/>
            <w:sz w:val="28"/>
            <w:szCs w:val="28"/>
          </w:rPr>
          <w:fldChar w:fldCharType="end"/>
        </w:r>
      </w:hyperlink>
    </w:p>
    <w:p w:rsidR="00394FE9" w:rsidRPr="00EE6F29" w:rsidRDefault="00394FE9" w:rsidP="0019316D">
      <w:pPr>
        <w:pStyle w:val="TOC1"/>
        <w:tabs>
          <w:tab w:val="right" w:leader="dot" w:pos="9345"/>
        </w:tabs>
        <w:spacing w:line="360" w:lineRule="auto"/>
        <w:jc w:val="both"/>
        <w:rPr>
          <w:rFonts w:ascii="Times New Roman" w:hAnsi="Times New Roman" w:cs="Times New Roman"/>
          <w:noProof/>
          <w:sz w:val="28"/>
          <w:szCs w:val="28"/>
          <w:lang w:val="ru-RU" w:eastAsia="ru-RU"/>
        </w:rPr>
      </w:pPr>
      <w:hyperlink w:anchor="_Toc179215274" w:history="1">
        <w:r w:rsidRPr="00EE6F29">
          <w:rPr>
            <w:rStyle w:val="Hyperlink"/>
            <w:rFonts w:ascii="Times New Roman" w:hAnsi="Times New Roman"/>
            <w:b/>
            <w:bCs/>
            <w:noProof/>
            <w:sz w:val="28"/>
            <w:szCs w:val="28"/>
          </w:rPr>
          <w:t>ВИСНОВКИ</w:t>
        </w:r>
        <w:r w:rsidRPr="00EE6F29">
          <w:rPr>
            <w:rFonts w:ascii="Times New Roman" w:hAnsi="Times New Roman" w:cs="Times New Roman"/>
            <w:noProof/>
            <w:webHidden/>
            <w:sz w:val="28"/>
            <w:szCs w:val="28"/>
          </w:rPr>
          <w:tab/>
        </w:r>
        <w:r w:rsidRPr="00EE6F29">
          <w:rPr>
            <w:rFonts w:ascii="Times New Roman" w:hAnsi="Times New Roman" w:cs="Times New Roman"/>
            <w:noProof/>
            <w:webHidden/>
            <w:sz w:val="28"/>
            <w:szCs w:val="28"/>
          </w:rPr>
          <w:fldChar w:fldCharType="begin"/>
        </w:r>
        <w:r w:rsidRPr="00EE6F29">
          <w:rPr>
            <w:rFonts w:ascii="Times New Roman" w:hAnsi="Times New Roman" w:cs="Times New Roman"/>
            <w:noProof/>
            <w:webHidden/>
            <w:sz w:val="28"/>
            <w:szCs w:val="28"/>
          </w:rPr>
          <w:instrText xml:space="preserve"> PAGEREF _Toc179215274 \h </w:instrText>
        </w:r>
        <w:r w:rsidRPr="005E3186">
          <w:rPr>
            <w:rFonts w:ascii="Times New Roman" w:hAnsi="Times New Roman" w:cs="Times New Roman"/>
            <w:noProof/>
            <w:sz w:val="28"/>
            <w:szCs w:val="28"/>
          </w:rPr>
        </w:r>
        <w:r w:rsidRPr="00EE6F29">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83</w:t>
        </w:r>
        <w:r w:rsidRPr="00EE6F29">
          <w:rPr>
            <w:rFonts w:ascii="Times New Roman" w:hAnsi="Times New Roman" w:cs="Times New Roman"/>
            <w:noProof/>
            <w:webHidden/>
            <w:sz w:val="28"/>
            <w:szCs w:val="28"/>
          </w:rPr>
          <w:fldChar w:fldCharType="end"/>
        </w:r>
      </w:hyperlink>
    </w:p>
    <w:p w:rsidR="00394FE9" w:rsidRPr="00EE6F29" w:rsidRDefault="00394FE9" w:rsidP="0019316D">
      <w:pPr>
        <w:pStyle w:val="TOC1"/>
        <w:tabs>
          <w:tab w:val="right" w:leader="dot" w:pos="9345"/>
        </w:tabs>
        <w:spacing w:line="360" w:lineRule="auto"/>
        <w:jc w:val="both"/>
        <w:rPr>
          <w:rFonts w:ascii="Times New Roman" w:hAnsi="Times New Roman" w:cs="Times New Roman"/>
          <w:noProof/>
          <w:sz w:val="28"/>
          <w:szCs w:val="28"/>
          <w:lang w:val="ru-RU" w:eastAsia="ru-RU"/>
        </w:rPr>
      </w:pPr>
      <w:hyperlink w:anchor="_Toc179215275" w:history="1">
        <w:r w:rsidRPr="00EE6F29">
          <w:rPr>
            <w:rStyle w:val="Hyperlink"/>
            <w:rFonts w:ascii="Times New Roman" w:hAnsi="Times New Roman"/>
            <w:b/>
            <w:bCs/>
            <w:noProof/>
            <w:sz w:val="28"/>
            <w:szCs w:val="28"/>
          </w:rPr>
          <w:t>СПИСОК ВИКОРИСТАНИХ ДЖЕРЕЛ</w:t>
        </w:r>
        <w:r w:rsidRPr="00EE6F29">
          <w:rPr>
            <w:rFonts w:ascii="Times New Roman" w:hAnsi="Times New Roman" w:cs="Times New Roman"/>
            <w:noProof/>
            <w:webHidden/>
            <w:sz w:val="28"/>
            <w:szCs w:val="28"/>
          </w:rPr>
          <w:tab/>
        </w:r>
        <w:r w:rsidRPr="00EE6F29">
          <w:rPr>
            <w:rFonts w:ascii="Times New Roman" w:hAnsi="Times New Roman" w:cs="Times New Roman"/>
            <w:noProof/>
            <w:webHidden/>
            <w:sz w:val="28"/>
            <w:szCs w:val="28"/>
          </w:rPr>
          <w:fldChar w:fldCharType="begin"/>
        </w:r>
        <w:r w:rsidRPr="00EE6F29">
          <w:rPr>
            <w:rFonts w:ascii="Times New Roman" w:hAnsi="Times New Roman" w:cs="Times New Roman"/>
            <w:noProof/>
            <w:webHidden/>
            <w:sz w:val="28"/>
            <w:szCs w:val="28"/>
          </w:rPr>
          <w:instrText xml:space="preserve"> PAGEREF _Toc179215275 \h </w:instrText>
        </w:r>
        <w:r w:rsidRPr="00EE6F29">
          <w:rPr>
            <w:rFonts w:ascii="Times New Roman" w:hAnsi="Times New Roman" w:cs="Times New Roman"/>
            <w:noProof/>
            <w:webHidden/>
            <w:sz w:val="28"/>
            <w:szCs w:val="28"/>
          </w:rPr>
          <w:fldChar w:fldCharType="separate"/>
        </w:r>
        <w:r>
          <w:rPr>
            <w:rFonts w:ascii="Times New Roman" w:hAnsi="Times New Roman" w:cs="Times New Roman"/>
            <w:b/>
            <w:bCs/>
            <w:noProof/>
            <w:webHidden/>
            <w:sz w:val="28"/>
            <w:szCs w:val="28"/>
            <w:lang w:val="ru-RU"/>
          </w:rPr>
          <w:t>Ошибка! Закладка не определена.</w:t>
        </w:r>
        <w:r w:rsidRPr="00EE6F29">
          <w:rPr>
            <w:rFonts w:ascii="Times New Roman" w:hAnsi="Times New Roman" w:cs="Times New Roman"/>
            <w:noProof/>
            <w:webHidden/>
            <w:sz w:val="28"/>
            <w:szCs w:val="28"/>
          </w:rPr>
          <w:fldChar w:fldCharType="end"/>
        </w:r>
      </w:hyperlink>
    </w:p>
    <w:p w:rsidR="00394FE9" w:rsidRPr="00EE6F29" w:rsidRDefault="00394FE9" w:rsidP="0019316D">
      <w:pPr>
        <w:spacing w:after="0" w:line="360" w:lineRule="auto"/>
        <w:jc w:val="both"/>
        <w:rPr>
          <w:rFonts w:ascii="Times New Roman" w:hAnsi="Times New Roman" w:cs="Times New Roman"/>
          <w:b/>
          <w:bCs/>
          <w:sz w:val="28"/>
          <w:szCs w:val="28"/>
        </w:rPr>
      </w:pPr>
      <w:r w:rsidRPr="00EE6F29">
        <w:rPr>
          <w:rFonts w:ascii="Times New Roman" w:hAnsi="Times New Roman" w:cs="Times New Roman"/>
          <w:b/>
          <w:bCs/>
          <w:sz w:val="28"/>
          <w:szCs w:val="28"/>
          <w:lang w:val="en-US"/>
        </w:rPr>
        <w:fldChar w:fldCharType="end"/>
      </w:r>
    </w:p>
    <w:p w:rsidR="00394FE9" w:rsidRPr="00EE6F29" w:rsidRDefault="00394FE9" w:rsidP="00FD1839">
      <w:pPr>
        <w:pStyle w:val="Heading1"/>
        <w:pageBreakBefore/>
        <w:jc w:val="center"/>
        <w:rPr>
          <w:rFonts w:ascii="Times New Roman" w:hAnsi="Times New Roman"/>
          <w:b/>
          <w:bCs/>
          <w:color w:val="auto"/>
          <w:sz w:val="28"/>
          <w:szCs w:val="28"/>
        </w:rPr>
      </w:pPr>
      <w:bookmarkStart w:id="0" w:name="_Toc179215260"/>
      <w:r w:rsidRPr="00EE6F29">
        <w:rPr>
          <w:rFonts w:ascii="Times New Roman" w:hAnsi="Times New Roman"/>
          <w:b/>
          <w:bCs/>
          <w:color w:val="auto"/>
          <w:sz w:val="28"/>
          <w:szCs w:val="28"/>
        </w:rPr>
        <w:t>ВСТУП</w:t>
      </w:r>
      <w:bookmarkEnd w:id="0"/>
    </w:p>
    <w:p w:rsidR="00394FE9" w:rsidRPr="00EE6F29" w:rsidRDefault="00394FE9" w:rsidP="00FB7530">
      <w:pPr>
        <w:spacing w:after="0" w:line="360" w:lineRule="auto"/>
        <w:jc w:val="both"/>
        <w:rPr>
          <w:rFonts w:ascii="Times New Roman" w:hAnsi="Times New Roman" w:cs="Times New Roman"/>
          <w:sz w:val="28"/>
          <w:szCs w:val="28"/>
        </w:rPr>
      </w:pPr>
    </w:p>
    <w:p w:rsidR="00394FE9" w:rsidRPr="00EE6F29" w:rsidRDefault="00394FE9" w:rsidP="00A31943">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b/>
          <w:sz w:val="28"/>
          <w:szCs w:val="28"/>
        </w:rPr>
        <w:t xml:space="preserve">Актуальність теми. </w:t>
      </w:r>
      <w:r w:rsidRPr="00EE6F29">
        <w:rPr>
          <w:rFonts w:ascii="Times New Roman" w:hAnsi="Times New Roman" w:cs="Times New Roman"/>
          <w:sz w:val="28"/>
          <w:szCs w:val="28"/>
        </w:rPr>
        <w:t>Починаючи з часів останньої проведеної реформи КАС України, з боку суб’єктів владних повноважень (далі за текстом – СВП) досі спричиняється чимало порушень основоположних та фундаментальних прав людини та громадянина в силу застосування відносно останніх адміністративно-деліктної відповідальності, яка не завжди є правомірною та справедливою. На вирішення цього, запроваджено а</w:t>
      </w:r>
      <w:r w:rsidRPr="00EE6F29">
        <w:rPr>
          <w:rFonts w:ascii="Times New Roman" w:hAnsi="Times New Roman" w:cs="Times New Roman"/>
          <w:color w:val="0D0D0D"/>
          <w:sz w:val="28"/>
          <w:szCs w:val="28"/>
        </w:rPr>
        <w:t xml:space="preserve">дміністративно процесуально-правове забезпечення судового провадження у спорах щодо оскарження рішень СВП у сфері адміністративно-деліктних правовідносин, передбачивши </w:t>
      </w:r>
      <w:r w:rsidRPr="00EE6F29">
        <w:rPr>
          <w:rFonts w:ascii="Times New Roman" w:hAnsi="Times New Roman" w:cs="Times New Roman"/>
          <w:sz w:val="28"/>
          <w:szCs w:val="28"/>
        </w:rPr>
        <w:t>можливістьособі звернутисядо суду. Проте, звертаючись до суду за захистом своїх прав, особа також зазнає певні обмеження, які випливають внаслідок дії «касаційних фільтрів».</w:t>
      </w:r>
    </w:p>
    <w:p w:rsidR="00394FE9" w:rsidRPr="00EE6F29" w:rsidRDefault="00394FE9" w:rsidP="00A31943">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Системні порушення з боку СВП, недоліки правового регулювання адміністративного судочинства, у тому числі, в частині права на доступ до касаційної інстанції, призводять до порушення Державою міжнародних стандартів, конвенційних положень, практики ЄСПЛ, за наслідком чого в осіб, визнаних правопорушниками, вбачається стійке небажання подалі здійснювати господарську діяльність юридичної особи, сплачувати податки, не вчиняти повторно адміністративні правопорушення, а в іноземців – інтегруватися в українське суспільство. </w:t>
      </w:r>
    </w:p>
    <w:p w:rsidR="00394FE9" w:rsidRPr="00EE6F29" w:rsidRDefault="00394FE9" w:rsidP="00616193">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Головною метою позивачів у даній категорії справ є звернення до суду за наслідком винесених відносно останніх постанов про притягнення до адміністративної відповідальності, які переважно складаються з суттєвими порушеннями з боку СВП. Така поведінка виражена у небажані здійснювати належний, справедливий та об’єктивний розгляд справ на місці вчинення адміністративного правопорушення. Однією з основних проблем описаної поведінки виступаєієрархічнепідпорядкуваннянижчого органу – вищому, а тому, серед більшості тихСВП, які будуть окреслені в межах даної роботи, зацікавленість останніх припадає настатистичний вираз покараних осіб, аніж у справедливому та належному розгляді справ, що за відсутності наведеного зумовило б де актуалізацію </w:t>
      </w:r>
      <w:r w:rsidRPr="00EE6F29">
        <w:rPr>
          <w:rFonts w:ascii="Times New Roman" w:hAnsi="Times New Roman" w:cs="Times New Roman"/>
          <w:color w:val="0D0D0D"/>
          <w:sz w:val="28"/>
          <w:szCs w:val="28"/>
        </w:rPr>
        <w:t>досліджень в контексті забезпечення судового провадження у спорах щодо оскарження рішень СВП у сфері адміністративно-деліктних правовідносин</w:t>
      </w:r>
      <w:r w:rsidRPr="00EE6F29">
        <w:rPr>
          <w:rFonts w:ascii="Times New Roman" w:hAnsi="Times New Roman" w:cs="Times New Roman"/>
          <w:sz w:val="28"/>
          <w:szCs w:val="28"/>
        </w:rPr>
        <w:t>.</w:t>
      </w:r>
    </w:p>
    <w:p w:rsidR="00394FE9" w:rsidRPr="00EE6F29" w:rsidRDefault="00394FE9" w:rsidP="00F43E88">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Оскарження рішень суб'єктів владних повноважень щодо притягнення осіб до адміністративної відповідальності є розрізом передбаченого законодавцем права на звернення до адміністративного суду для визнання протиправними дії СВП, з метою відновлення порушеного права та визнання права особи в цілому, тому необхідність у дослідженні обраної теми пов’язана з потребами зумовленими часом у винаході новітніх способів боротьби з вищевказаними прогалинами, що у свою чергу є першочерговим для належного функціонування правової держави.</w:t>
      </w:r>
    </w:p>
    <w:p w:rsidR="00394FE9" w:rsidRPr="00EE6F29" w:rsidRDefault="00394FE9" w:rsidP="00B41043">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Присічення вищевказаних дій СВПмаєподалі постати завадою до зловживань повноваженнями останніми, а також, призвести до початку прийняттяналежних, справедливих, об’єктивно з’ясованих та правомірнихрішень їх посадовими особами на користь.</w:t>
      </w:r>
    </w:p>
    <w:p w:rsidR="00394FE9" w:rsidRPr="00EE6F29" w:rsidRDefault="00394FE9" w:rsidP="00A31943">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Деталізуючи актуальність теми, безумовно варто зазначитипро необхідність подальших ініціатив в дослідженні такої категорії якпублічно-правовий спір, який у свою чергу ведений законодавцемза необхідністюврегулюватиспірні публічно-правового характеру відносини у сфері адміністративно-деліктних правовідносин між громадянином та СВП, з метою забезпечення рівноцінного важелю інтересів між Державою та суб’єктами, які не підпадають під жодну ознаку СВП. Внаслідок запровадженняв Кодекс адміністративного судочинства України даної дефініції, в теорії та практиці адміністративного судочинства виникли різноманітні погляди та думки щодо зазначеного терміну, що у свою чергу потребує узагальнення, конкретизації та удосконалення; </w:t>
      </w:r>
    </w:p>
    <w:p w:rsidR="00394FE9" w:rsidRPr="00EE6F29" w:rsidRDefault="00394FE9" w:rsidP="00A31943">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Безсумнівно </w:t>
      </w:r>
      <w:r w:rsidRPr="00EE6F29">
        <w:rPr>
          <w:rFonts w:ascii="Times New Roman" w:hAnsi="Times New Roman" w:cs="Times New Roman"/>
          <w:color w:val="0D0D0D"/>
          <w:sz w:val="28"/>
          <w:szCs w:val="28"/>
        </w:rPr>
        <w:t>забезпечення судового провадження у спорах щодо оскарження рішень СВП у сфері адміністративно-деліктних правовідносин</w:t>
      </w:r>
      <w:r w:rsidRPr="00EE6F29">
        <w:rPr>
          <w:rFonts w:ascii="Times New Roman" w:hAnsi="Times New Roman" w:cs="Times New Roman"/>
          <w:sz w:val="28"/>
          <w:szCs w:val="28"/>
        </w:rPr>
        <w:t>є вкрай актуальним з огляду на усталену проблематику, що охоплена протиправністю дій як з боку суб’єктів владних повноважень так й з боку представників, які використовуютьпевні процесуальні прогалини.Позбавлення учасників процесу можливості здійснити касаційне оскарження у даній категорії справ також зумовлює необхідність дослідження та узагальнення думок, направлених на вирішення цього процесуального недоліку.</w:t>
      </w:r>
    </w:p>
    <w:p w:rsidR="00394FE9" w:rsidRPr="00EE6F29" w:rsidRDefault="00394FE9" w:rsidP="00A31943">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Окрім того, актуальність полягає у тім, щоб сприяти виховною функцією на правосвідомістьСВП забезпечувати права і свободи осіб та громадян завдяки повноваженням, якими держава наділила їх та забезпечувати реалізацію тих чи інших прав людини в належний спосіб, особливо при розгляді адміністративних правопорушень на місці вчинення.</w:t>
      </w:r>
    </w:p>
    <w:p w:rsidR="00394FE9" w:rsidRPr="00EE6F29" w:rsidRDefault="00394FE9" w:rsidP="008D370D">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Врешті решт, актуальність обраної теми полягає у чисельній судовій практиці сьогодення, яка охоплена публічно-правовими спорами, зокрема, щодо безпідставного притягнення осіб до адміністративної відповідальності та необхідності вдосконалення норм права, якими керуються у своїй діяльностіСВП, що чітко виражено у межах їх повноважень.</w:t>
      </w:r>
    </w:p>
    <w:p w:rsidR="00394FE9" w:rsidRPr="00EE6F29" w:rsidRDefault="00394FE9" w:rsidP="00151073">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b/>
          <w:bCs/>
          <w:sz w:val="28"/>
          <w:szCs w:val="28"/>
        </w:rPr>
        <w:t xml:space="preserve">Мета магістерського дослідження </w:t>
      </w:r>
      <w:r w:rsidRPr="00EE6F29">
        <w:rPr>
          <w:rFonts w:ascii="Times New Roman" w:hAnsi="Times New Roman" w:cs="Times New Roman"/>
          <w:bCs/>
          <w:sz w:val="28"/>
          <w:szCs w:val="28"/>
        </w:rPr>
        <w:t>полягає у дослідженні дефініції «публічно-правовий спір», як підстави, що зумовлює адміністративно процесуальне-забезпечення оскарження рішень СВП у сфері адміністративно-деліктних правовідносин</w:t>
      </w:r>
      <w:r w:rsidRPr="00EE6F29">
        <w:rPr>
          <w:rFonts w:ascii="Times New Roman" w:hAnsi="Times New Roman" w:cs="Times New Roman"/>
          <w:sz w:val="28"/>
          <w:szCs w:val="28"/>
        </w:rPr>
        <w:t xml:space="preserve">, з визначенняметапів становлення даної категорії та започаткуванням у національному законодавстві; проаналізувати порядок, процедуру розгляду та оцінити механізм, що передбачив законодавець для оскарження рішень СВП щодо притягнення осіб до адміністративної відповідальності; проаналізувати з практичної та наукової точки зору шляхи щодо </w:t>
      </w:r>
      <w:r w:rsidRPr="00EE6F29">
        <w:rPr>
          <w:rFonts w:ascii="Times New Roman" w:hAnsi="Times New Roman" w:cs="Times New Roman"/>
          <w:bCs/>
          <w:sz w:val="28"/>
          <w:szCs w:val="28"/>
        </w:rPr>
        <w:t xml:space="preserve">оскарження рішень СВПпро притягнення осіб до адміністративної відповідальності. Дослідивши та встановивши окреслене, забезпечить нам змогу дійти до єдиного висновку про ефективний засіб відновлення порушеного права </w:t>
      </w:r>
      <w:r w:rsidRPr="00EE6F29">
        <w:rPr>
          <w:rFonts w:ascii="Times New Roman" w:hAnsi="Times New Roman" w:cs="Times New Roman"/>
          <w:sz w:val="28"/>
          <w:szCs w:val="28"/>
        </w:rPr>
        <w:t xml:space="preserve">та подолання негативних явищ, недоліків правового регулювання в контексті спорів щодо оскаржень рішень СВП у сфері адміністративно-деліктних правовідносинах. </w:t>
      </w:r>
    </w:p>
    <w:p w:rsidR="00394FE9" w:rsidRPr="00EE6F29" w:rsidRDefault="00394FE9" w:rsidP="008C12D9">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Для досягнення поставленої мети магістерського дослідження поставлено на вирішення наступні завдання:</w:t>
      </w:r>
    </w:p>
    <w:p w:rsidR="00394FE9" w:rsidRPr="00EE6F29" w:rsidRDefault="00394FE9" w:rsidP="008C12D9">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1. Надати характеристику ґенези дефініції «публічно-правовий спір»;</w:t>
      </w:r>
    </w:p>
    <w:p w:rsidR="00394FE9" w:rsidRPr="00EE6F29" w:rsidRDefault="00394FE9" w:rsidP="008C12D9">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2. Визначити місце та значення«публічно-правового спору»;</w:t>
      </w:r>
    </w:p>
    <w:p w:rsidR="00394FE9" w:rsidRPr="00EE6F29" w:rsidRDefault="00394FE9" w:rsidP="008C12D9">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3. Встановити  суб’єктний склад, компетентний приймати ті рішення в адміністративно-деліктному середовищі, які подалі стають предметом публічно-правового спору;</w:t>
      </w:r>
    </w:p>
    <w:p w:rsidR="00394FE9" w:rsidRPr="00EE6F29" w:rsidRDefault="00394FE9" w:rsidP="009B3EDB">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4. З’ясувати юридичну природу, поняття і видів нормативно-правових актів суб’єктів владних повноважень як предмету публічно-правового спору;</w:t>
      </w:r>
    </w:p>
    <w:p w:rsidR="00394FE9" w:rsidRPr="00EE6F29" w:rsidRDefault="00394FE9" w:rsidP="009B3EDB">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5. </w:t>
      </w:r>
      <w:r w:rsidRPr="00EE6F29">
        <w:rPr>
          <w:rFonts w:ascii="Times New Roman" w:hAnsi="Times New Roman" w:cs="Times New Roman"/>
          <w:color w:val="0D0D0D"/>
          <w:sz w:val="28"/>
          <w:szCs w:val="28"/>
        </w:rPr>
        <w:t>Встановити особливості реалізації  національного адміністративного судочинства у сфері спорів, які пов'язані із оскарженням  рішень СВП у сфері адміністративно-деліктних правовідносинах;</w:t>
      </w:r>
    </w:p>
    <w:p w:rsidR="00394FE9" w:rsidRPr="00EE6F29" w:rsidRDefault="00394FE9" w:rsidP="008C12D9">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6. Дослідити досвід зарубіжних країн щодо розгляду термінових справ відносно оскарження рішень суб’єктів владних повноважень </w:t>
      </w:r>
      <w:r w:rsidRPr="00EE6F29">
        <w:rPr>
          <w:rFonts w:ascii="Times New Roman" w:hAnsi="Times New Roman" w:cs="Times New Roman"/>
          <w:color w:val="0D0D0D"/>
          <w:sz w:val="28"/>
          <w:szCs w:val="28"/>
        </w:rPr>
        <w:t>у сфері адміністративно-деліктних правовідносинах</w:t>
      </w:r>
      <w:r w:rsidRPr="00EE6F29">
        <w:rPr>
          <w:rFonts w:ascii="Times New Roman" w:hAnsi="Times New Roman" w:cs="Times New Roman"/>
          <w:sz w:val="28"/>
          <w:szCs w:val="28"/>
        </w:rPr>
        <w:t>;</w:t>
      </w:r>
    </w:p>
    <w:p w:rsidR="00394FE9" w:rsidRPr="00EE6F29" w:rsidRDefault="00394FE9" w:rsidP="008C12D9">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7. Запропонувати шляхи удосконалення судової процедури оскарження рішень суб’єктів владних повноважень </w:t>
      </w:r>
      <w:r w:rsidRPr="00EE6F29">
        <w:rPr>
          <w:rFonts w:ascii="Times New Roman" w:hAnsi="Times New Roman" w:cs="Times New Roman"/>
          <w:color w:val="0D0D0D"/>
          <w:sz w:val="28"/>
          <w:szCs w:val="28"/>
        </w:rPr>
        <w:t>у сфері адміністративно-деліктних правовідносинах</w:t>
      </w:r>
      <w:r w:rsidRPr="00EE6F29">
        <w:rPr>
          <w:rFonts w:ascii="Times New Roman" w:hAnsi="Times New Roman" w:cs="Times New Roman"/>
          <w:sz w:val="28"/>
          <w:szCs w:val="28"/>
        </w:rPr>
        <w:t>.</w:t>
      </w:r>
    </w:p>
    <w:p w:rsidR="00394FE9" w:rsidRPr="00EE6F29" w:rsidRDefault="00394FE9" w:rsidP="008C12D9">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b/>
          <w:i/>
          <w:sz w:val="28"/>
          <w:szCs w:val="28"/>
        </w:rPr>
        <w:t>Об’єктом дослідження</w:t>
      </w:r>
      <w:r w:rsidRPr="00EE6F29">
        <w:rPr>
          <w:rFonts w:ascii="Times New Roman" w:hAnsi="Times New Roman" w:cs="Times New Roman"/>
          <w:color w:val="0D0D0D"/>
          <w:sz w:val="28"/>
          <w:szCs w:val="28"/>
        </w:rPr>
        <w:t>є суспільні відносини, що виникають, змінюються та припиняються у процесі розгляду та вирішення  публічно-правових спорів, які пов'язані із оскарженням рішень суб’єктів владних  повноважень у сфері адміністративно-деліктних правовідносинах</w:t>
      </w:r>
      <w:r w:rsidRPr="00EE6F29">
        <w:rPr>
          <w:rFonts w:ascii="Times New Roman" w:hAnsi="Times New Roman" w:cs="Times New Roman"/>
          <w:sz w:val="28"/>
          <w:szCs w:val="28"/>
        </w:rPr>
        <w:t>.</w:t>
      </w:r>
    </w:p>
    <w:p w:rsidR="00394FE9" w:rsidRPr="00EE6F29" w:rsidRDefault="00394FE9" w:rsidP="009F3387">
      <w:pPr>
        <w:autoSpaceDE w:val="0"/>
        <w:autoSpaceDN w:val="0"/>
        <w:adjustRightInd w:val="0"/>
        <w:spacing w:after="0" w:line="360" w:lineRule="auto"/>
        <w:ind w:right="283" w:firstLine="567"/>
        <w:jc w:val="both"/>
        <w:rPr>
          <w:rFonts w:ascii="Times New Roman" w:hAnsi="Times New Roman" w:cs="Times New Roman"/>
          <w:color w:val="0D0D0D"/>
          <w:sz w:val="28"/>
          <w:szCs w:val="28"/>
        </w:rPr>
      </w:pPr>
      <w:r w:rsidRPr="00EE6F29">
        <w:rPr>
          <w:rFonts w:ascii="Times New Roman" w:hAnsi="Times New Roman" w:cs="Times New Roman"/>
          <w:b/>
          <w:i/>
          <w:sz w:val="28"/>
          <w:szCs w:val="28"/>
        </w:rPr>
        <w:t>Предметом дослідження</w:t>
      </w:r>
      <w:r w:rsidRPr="00EE6F29">
        <w:rPr>
          <w:rFonts w:ascii="Times New Roman" w:hAnsi="Times New Roman" w:cs="Times New Roman"/>
          <w:color w:val="0D0D0D"/>
          <w:sz w:val="28"/>
          <w:szCs w:val="28"/>
        </w:rPr>
        <w:t>є правовий аспект механізму судової процедури вирішення  адміністративно процесуального-забезпечення оскаржень рішень СВП у сфері адміністративно-деліктних правовідносинах.</w:t>
      </w:r>
    </w:p>
    <w:p w:rsidR="00394FE9" w:rsidRPr="00EE6F29" w:rsidRDefault="00394FE9" w:rsidP="008C12D9">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b/>
          <w:i/>
          <w:sz w:val="28"/>
          <w:szCs w:val="28"/>
        </w:rPr>
        <w:t>Методи дослідження</w:t>
      </w:r>
      <w:r w:rsidRPr="00EE6F29">
        <w:rPr>
          <w:rFonts w:ascii="Times New Roman" w:hAnsi="Times New Roman" w:cs="Times New Roman"/>
          <w:i/>
          <w:sz w:val="28"/>
          <w:szCs w:val="28"/>
        </w:rPr>
        <w:t>.</w:t>
      </w:r>
      <w:r w:rsidRPr="00EE6F29">
        <w:rPr>
          <w:rFonts w:ascii="Times New Roman" w:hAnsi="Times New Roman" w:cs="Times New Roman"/>
          <w:sz w:val="28"/>
          <w:szCs w:val="28"/>
        </w:rPr>
        <w:t>У даній роботі використано діалектичний метод для загального пізнання складових предмету магістерського дослідження, виявлення проблем, недоліків. Порівняльно-правовий для проведення аналізу положень нормативно-правових актів; формально-логічний для встановлення логіко-методологічних засад побудови понятійного дослідження та аналізу емпіричного матеріалу; логіко-семантичний та догматичний для проведення аналізу норм чинного законодавства стосовно прогалин та формування пропозицій щодо вдосконалення адміністративно-процесуального законодавства. Окрім того, в ході магістерського дослідження використано методи аналізу, синтезу, дедукції, індукції, класифікації, систематизації, порівняння та узагальнення, вивчення й узагальнення досвіду роботи, аналізу правових актів та матеріалів судової практики різних інстанцій.</w:t>
      </w:r>
    </w:p>
    <w:p w:rsidR="00394FE9" w:rsidRPr="00EE6F29" w:rsidRDefault="00394FE9" w:rsidP="00AD7395">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b/>
          <w:bCs/>
          <w:i/>
          <w:sz w:val="28"/>
          <w:szCs w:val="28"/>
        </w:rPr>
        <w:t>Аналіз останніх досліджень і публікацій</w:t>
      </w:r>
      <w:r w:rsidRPr="00EE6F29">
        <w:rPr>
          <w:rFonts w:ascii="Times New Roman" w:hAnsi="Times New Roman" w:cs="Times New Roman"/>
          <w:sz w:val="28"/>
          <w:szCs w:val="28"/>
        </w:rPr>
        <w:t>. Слід зазначити, що станом на сьогоднішній день публічно-правові спори, які пов'язані із оскарженням рішень суб'єктів владних повноважень щодо притягнення осіб до адміністративної відповідальності не були предметом монографічних досліджень у вітчизняній науці адміністративного права. Проте, науковими здобутками таких фахівців, як С. С. Алексєєв, М. В. Вітрук, О. В. Зайчук, А. М. Колодій, Л. М. Легін, Л. І. Летнянчин, Н. М. Оніщенко, М. П. Рабінович, О. Ф. Скакун, М. С. Строгович, О. В. Сурілов маємо можливість дослідити обрану проблематику та запропонувати певні шляхи її вирішення.</w:t>
      </w:r>
    </w:p>
    <w:p w:rsidR="00394FE9" w:rsidRPr="00EE6F29" w:rsidRDefault="00394FE9" w:rsidP="008C12D9">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Теоретичним та науковим підґрунтям даної роботи виступає національне законодавство, здобутки провідних українських та закордонних дослідників, законодавчі та нормативні акти тощо.</w:t>
      </w:r>
    </w:p>
    <w:p w:rsidR="00394FE9" w:rsidRPr="00EE6F29" w:rsidRDefault="00394FE9" w:rsidP="00A26A2E">
      <w:pPr>
        <w:spacing w:after="0" w:line="360" w:lineRule="auto"/>
        <w:ind w:right="283" w:firstLine="708"/>
        <w:jc w:val="both"/>
        <w:rPr>
          <w:rFonts w:ascii="Times New Roman" w:hAnsi="Times New Roman" w:cs="Times New Roman"/>
          <w:color w:val="0D0D0D"/>
          <w:sz w:val="28"/>
          <w:szCs w:val="28"/>
        </w:rPr>
      </w:pPr>
      <w:r w:rsidRPr="00EE6F29">
        <w:rPr>
          <w:rFonts w:ascii="Times New Roman" w:hAnsi="Times New Roman" w:cs="Times New Roman"/>
          <w:b/>
          <w:bCs/>
          <w:color w:val="0D0D0D"/>
          <w:sz w:val="28"/>
          <w:szCs w:val="28"/>
        </w:rPr>
        <w:t xml:space="preserve">Наукова новизна одержаних </w:t>
      </w:r>
      <w:r w:rsidRPr="00EE6F29">
        <w:rPr>
          <w:rFonts w:ascii="Times New Roman" w:hAnsi="Times New Roman" w:cs="Times New Roman"/>
          <w:b/>
          <w:color w:val="0D0D0D"/>
          <w:sz w:val="28"/>
          <w:szCs w:val="28"/>
        </w:rPr>
        <w:t>результатів</w:t>
      </w:r>
      <w:r w:rsidRPr="00EE6F29">
        <w:rPr>
          <w:rFonts w:ascii="Times New Roman" w:hAnsi="Times New Roman" w:cs="Times New Roman"/>
          <w:color w:val="0D0D0D"/>
          <w:sz w:val="28"/>
          <w:szCs w:val="28"/>
        </w:rPr>
        <w:t xml:space="preserve"> даного дослідження полягає в проаналізованій сутності буття категорії «публічно-правовий спір», етапу становлення (в історичному аспекті) такої дефініції та виявлення суттєвих недоліків, що зумовлені неузгодженістю матеріальної та процесуальної норми права у сфері оскарження рішень СВП щодо притягнення осіб до адміністративної відповідальності. Таким чином, можемо констатувати, що висунуті та обґрунтовані думки, викладені за наслідком дослідженої теми роботи, вирізняє її з огляду на наступне:</w:t>
      </w:r>
    </w:p>
    <w:p w:rsidR="00394FE9" w:rsidRPr="00EE6F29" w:rsidRDefault="00394FE9" w:rsidP="00194182">
      <w:pPr>
        <w:spacing w:after="0" w:line="360" w:lineRule="auto"/>
        <w:ind w:right="283" w:firstLine="567"/>
        <w:jc w:val="both"/>
        <w:rPr>
          <w:rFonts w:ascii="Times New Roman" w:hAnsi="Times New Roman" w:cs="Times New Roman"/>
          <w:color w:val="0D0D0D"/>
          <w:sz w:val="28"/>
          <w:szCs w:val="28"/>
        </w:rPr>
      </w:pPr>
      <w:r w:rsidRPr="00EE6F29">
        <w:rPr>
          <w:rFonts w:ascii="Times New Roman" w:hAnsi="Times New Roman" w:cs="Times New Roman"/>
          <w:color w:val="0D0D0D"/>
          <w:sz w:val="28"/>
          <w:szCs w:val="28"/>
        </w:rPr>
        <w:t>- вперше викладено про суттєве обмеження права осіб на доступ до касаційної інстанції за наслідком перегляду публічно-правових спорів у сфері адміністративно-деліктних правовідносин, висновок зроблено на підставі аналізу адміністративно-деліктного та процесуального законодавства міжнародних держав партнерів; констатовано про те, що таке обмеження діє на підставі «касаційних фільтрів» та недоліку, пов’язаного з «терміновістю розгляду справ»; надано висновок щодо шляхів подолання такої прогалини та проаналізовано результати за наслідком виправлення цих негативних явищ;</w:t>
      </w:r>
    </w:p>
    <w:p w:rsidR="00394FE9" w:rsidRPr="00EE6F29" w:rsidRDefault="00394FE9" w:rsidP="00194182">
      <w:pPr>
        <w:spacing w:after="0" w:line="360" w:lineRule="auto"/>
        <w:ind w:right="283" w:firstLine="567"/>
        <w:jc w:val="both"/>
        <w:rPr>
          <w:rFonts w:ascii="Times New Roman" w:hAnsi="Times New Roman" w:cs="Times New Roman"/>
          <w:color w:val="0D0D0D"/>
          <w:sz w:val="28"/>
          <w:szCs w:val="28"/>
        </w:rPr>
      </w:pPr>
      <w:r w:rsidRPr="00EE6F29">
        <w:rPr>
          <w:rFonts w:ascii="Times New Roman" w:hAnsi="Times New Roman" w:cs="Times New Roman"/>
          <w:color w:val="0D0D0D"/>
          <w:sz w:val="28"/>
          <w:szCs w:val="28"/>
        </w:rPr>
        <w:t xml:space="preserve">- зроблено наукові висновки щодо розуміння дефініцій, які трапляються у площині судової процедури оскарження рішень СВП у сфері адміністративно-деліктних правовідносин та запропоновано своє доктринальне та законодавче визначення, з фокусом на аналізі чинного законодавства та враховуючи сучасні виклики та зміни в законодавстві. </w:t>
      </w:r>
    </w:p>
    <w:p w:rsidR="00394FE9" w:rsidRPr="00EE6F29" w:rsidRDefault="00394FE9" w:rsidP="00AD7395">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b/>
          <w:bCs/>
          <w:sz w:val="28"/>
          <w:szCs w:val="28"/>
        </w:rPr>
        <w:t>Структура й обсяг магістерської роботи.</w:t>
      </w:r>
      <w:r w:rsidRPr="00EE6F29">
        <w:rPr>
          <w:rFonts w:ascii="Times New Roman" w:hAnsi="Times New Roman" w:cs="Times New Roman"/>
          <w:sz w:val="28"/>
          <w:szCs w:val="28"/>
        </w:rPr>
        <w:t xml:space="preserve"> Робота складається із вступу, трьох розділів (7 підрозділів), висновків і списку використаних джерел. Загальний обсяг роботи 85 сторінок; в т.ч. список використаної літератури на 7 сторінках (62 найменування).</w:t>
      </w:r>
    </w:p>
    <w:p w:rsidR="00394FE9" w:rsidRPr="00EE6F29" w:rsidRDefault="00394FE9" w:rsidP="00DB25A6">
      <w:pPr>
        <w:pStyle w:val="Heading1"/>
        <w:pageBreakBefore/>
        <w:spacing w:line="360" w:lineRule="auto"/>
        <w:jc w:val="center"/>
        <w:rPr>
          <w:rFonts w:ascii="Times New Roman" w:hAnsi="Times New Roman"/>
          <w:b/>
          <w:bCs/>
          <w:color w:val="auto"/>
          <w:sz w:val="28"/>
          <w:szCs w:val="28"/>
        </w:rPr>
      </w:pPr>
      <w:bookmarkStart w:id="1" w:name="_Toc179215261"/>
      <w:r w:rsidRPr="00EE6F29">
        <w:rPr>
          <w:rFonts w:ascii="Times New Roman" w:hAnsi="Times New Roman"/>
          <w:b/>
          <w:bCs/>
          <w:color w:val="auto"/>
          <w:sz w:val="28"/>
          <w:szCs w:val="28"/>
        </w:rPr>
        <w:t>РОЗДІЛ 1. ЗАГАЛЬНОТЕОРЕТИЧНА ХАРАКТЕРИСТИКА ПУБЛІЧНО-ПРАВОВОГО СПОРУ</w:t>
      </w:r>
      <w:bookmarkEnd w:id="1"/>
    </w:p>
    <w:p w:rsidR="00394FE9" w:rsidRPr="00EE6F29" w:rsidRDefault="00394FE9" w:rsidP="00DB25A6">
      <w:pPr>
        <w:pStyle w:val="Heading2"/>
        <w:spacing w:line="360" w:lineRule="auto"/>
        <w:ind w:firstLine="567"/>
        <w:rPr>
          <w:rFonts w:ascii="Times New Roman" w:hAnsi="Times New Roman"/>
          <w:b/>
          <w:bCs/>
          <w:color w:val="auto"/>
          <w:sz w:val="28"/>
          <w:szCs w:val="28"/>
        </w:rPr>
      </w:pPr>
      <w:bookmarkStart w:id="2" w:name="_Toc179215262"/>
      <w:r w:rsidRPr="00EE6F29">
        <w:rPr>
          <w:rFonts w:ascii="Times New Roman" w:hAnsi="Times New Roman"/>
          <w:b/>
          <w:bCs/>
          <w:color w:val="auto"/>
          <w:sz w:val="28"/>
          <w:szCs w:val="28"/>
        </w:rPr>
        <w:t>1.1. Становлення «публічно-правового спору» у юридичній науці та законодавстві</w:t>
      </w:r>
      <w:bookmarkEnd w:id="2"/>
    </w:p>
    <w:p w:rsidR="00394FE9" w:rsidRPr="00EE6F29" w:rsidRDefault="00394FE9" w:rsidP="00634471">
      <w:pPr>
        <w:spacing w:before="240"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З метою детального опанування проблематики, висвітленої як предмет даної дипломної роботи, необхідним є безпосередня увага на дослідження категорії «публічно-правовий спір», проаналізувати його становлення та ведення в національне законодавство, крім того, встановити етапи та причино-наслідковий зв'язок, відповідно до чого зможемо відслідкувати момент за яким почався процес інтеграції даної категорії у сучасне адміністративне судочинство України. Дослідження історичного процесу становлення даної категорії, є нерозривно пов’язаним із розвитком адміністративного судочинства та публічного права в цілому, оскільки само по собі адміністративне судочинство охоплює ті ознаки, що притаманні публічній галузі права.</w:t>
      </w:r>
    </w:p>
    <w:p w:rsidR="00394FE9" w:rsidRPr="00EE6F29" w:rsidRDefault="00394FE9" w:rsidP="00633680">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У зв’язку з чим, необхідним є дослідити генезис становлення публічного права, що зумовило виникнення адміністративного судочинства, яке у свою чергу призвело до початку дослідження категорії «публічно-правового спору», яке уперше з’явилося на теренах України у 2005 році, проте законодавче визначення отримала лише після чергових змін у редакції КАС України від 2017 році. </w:t>
      </w:r>
    </w:p>
    <w:p w:rsidR="00394FE9" w:rsidRPr="00EE6F29" w:rsidRDefault="00394FE9" w:rsidP="00B826F0">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Переходячи до дослідження, варто зазначити, що початком розвитку публічного права науковці вважають VIII до н.е. - VIII ст. н.е., оскільки саме у цьому проміжку часуспостерігаються перші спроби дослідити сутність публічного права, вивчення якого відбувались у Стародавньому Римі, Візантійській та Китайській імперіях. </w:t>
      </w:r>
    </w:p>
    <w:p w:rsidR="00394FE9" w:rsidRPr="00EE6F29" w:rsidRDefault="00394FE9" w:rsidP="00B826F0">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Так, давньоримські та візантійські юристи змогли виокремити для себе два напрямки функціонування публічного права, поділивши їх на регулятивні, тобто ті, що регулюють суспільні відносини та наукові, що збагачують теоретичне надбання римського права.</w:t>
      </w:r>
    </w:p>
    <w:p w:rsidR="00394FE9" w:rsidRPr="00EE6F29" w:rsidRDefault="00394FE9" w:rsidP="00AA049F">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У зв’язку з характерною структурою доведення до відомості населення та регулювання суспільних відносин того часу, римське право об’єднувало собою правові норми як публічного-права так і приватного-права. Регулятором вказаних правовідносин виступивпересічний збір правил, який отримав назву «Закони 12 таблиць», складені в 451-450 роках до нашої ери спеціальною комісією десяти мужів.Така назва пов’язана з тим, що закони містилися на кожній окремій дошці, які були закріплено перед установою сенату, для того, щоб населення могло ознайомитись з ними. </w:t>
      </w:r>
    </w:p>
    <w:p w:rsidR="00394FE9" w:rsidRPr="00EE6F29" w:rsidRDefault="00394FE9" w:rsidP="004B70E1">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Зазначені Закони охоплювали собою кримінально-правові і перші спроби втілення кримінально-процесуальнихнорм права у життя римлян, окрім того,норми, що стосувалися свободи і обов’язків, земельних, цивільно-правових, сімейних, господарсько-приватних відносин. Більшість норм базувались на звичаєвому праві та у свою чергу супроводжувались санкціями, наділяючи державу повноваженнями застосовувати заходи примусу до правопорушників.</w:t>
      </w:r>
    </w:p>
    <w:p w:rsidR="00394FE9" w:rsidRPr="00EE6F29" w:rsidRDefault="00394FE9" w:rsidP="00C36E16">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У Китайській імперії за часи правління династії Цінь (221-206 рр. до н.е.) було створено Цензорат, що у свою чергу опередило ті праці, які з’являться у Римів Інституції Гая тароботах Ульпіана, які у свою чергу зумовлять початок нагляду та контролю за органами влади у Римі та писаного врегулювання взаємовідносин між владою та народом. Цензорат був засобом здійснення контролю над урядовими установами з цілю забезпечення певного ступеня узгодженості в їхній роботі [1, с. 14-15].</w:t>
      </w:r>
    </w:p>
    <w:p w:rsidR="00394FE9" w:rsidRPr="00EE6F29" w:rsidRDefault="00394FE9" w:rsidP="00085D4D">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Перша спроба виокремлення процесуальних правовідносин в окремі Закони були втіленні в Інституції Гая (ІІ ст. н.е), а саме у першій та четвертій книзі, які складались з відповідних параграфів та в якихбуло формально закріплено норми, що регулюють загальні відомості про право та правовий статус людей як суб’єктів права; позовне та процесуальне право.</w:t>
      </w:r>
    </w:p>
    <w:p w:rsidR="00394FE9" w:rsidRPr="00EE6F29" w:rsidRDefault="00394FE9" w:rsidP="00C73205">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Слід зазначити, що поява Інституції Гая була зумовлена розширенням повноважень Римської юстиції, а також, початком збільшення впливу держави у сферу суспільного життя, у зв’язку з чим, череззростання необхідності та потреби в обмеженні дій представників Римської влади були здійснені перші спроби римських вчених до нормативного врегулювання відносин між суспільством та суб’єктами владних повноважень.</w:t>
      </w:r>
    </w:p>
    <w:p w:rsidR="00394FE9" w:rsidRPr="00EE6F29" w:rsidRDefault="00394FE9" w:rsidP="00085D4D">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Згодом з’являються роботи давньоримського юриста – Ульпіана, а саме, коментарі «До едикту» (83 книги) та «До Сабіну» (51 книга), трактати «Про обов'язки проконсула» (в 10 книгах), в яких вперше було надано трактування адміністративного та кримінального права і разом з тим практичне керівництво, що адресувалося римським адміністраторам. У своїх трактатах Ульпіан одним із перших систематизував і прокоментував численні імператорські укази, тим самим започаткував основу майбутньої Юстиніанової кодифікації [2, с. 12].</w:t>
      </w:r>
    </w:p>
    <w:p w:rsidR="00394FE9" w:rsidRPr="00EE6F29" w:rsidRDefault="00394FE9" w:rsidP="0051424B">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Так, римський юрист Ульпіан писав: «право вивчається у двох аспектах – публічному – те, що направлене на користь римської держави та приватному – те, що забезпечує користь окремих осіб». Більшість наукових праць юристів-науковців сьогодення, в яких досліджується проблематика становлення та розвитку публічного права, містять відомості про те, що останнє було започаткованепрацями Гая, Ульпіана, Юстиніана.</w:t>
      </w:r>
    </w:p>
    <w:p w:rsidR="00394FE9" w:rsidRPr="00EE6F29" w:rsidRDefault="00394FE9" w:rsidP="00006216">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За часи існування давньоримської держави, класичним критерієм, який не втратив своєї актуальності у сучасній юридичній науці з приводу розмежування публічного і приватного права виступав«інтерес», відповідно до якого норма приватного або публічного праваза своїм змістом трактує становище того чи іншого суб’єкта у правовідносинах. На сьогоднішній день за допомогою вірного розмежування критерію«інтерес» можливо дійти до висновку про те,у якому судочинстві розглядатиметься справа.</w:t>
      </w:r>
    </w:p>
    <w:p w:rsidR="00394FE9" w:rsidRPr="00EE6F29" w:rsidRDefault="00394FE9" w:rsidP="00006216">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Фактично,винахід розмежування норм на публічно-правові або приватно-правовізумовила необхідність також появи різних за змістом повноваженьюрисдикційних органів влади, компетентних на розгляд окремих галузевих спорів,щотакож своєю суттю облегшило подалі буття правосуддя, а також, надало більш ефективне, швидке та справедливевирішення справ.</w:t>
      </w:r>
    </w:p>
    <w:p w:rsidR="00394FE9" w:rsidRPr="00EE6F29" w:rsidRDefault="00394FE9" w:rsidP="00006216">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Становлення публічного права та дослідження такої категорії як «публічно-правовий спір» в Україні є особливим явищем, з огляду на історичні передумови, оскільки країна більшу частину своєї історії розвивалася не як самостійна держава, а як суб’єкт інших країн Європи. </w:t>
      </w:r>
    </w:p>
    <w:p w:rsidR="00394FE9" w:rsidRPr="00EE6F29" w:rsidRDefault="00394FE9" w:rsidP="00006216">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Такі вчені як А.Ю. Олійник, М.І. Кагадія поділили історію зародження публічного права на теренах України на декілька етапів: княжої доби; періоду знаходження України у Великому Литовському князівстві; козацтва і гетьманщини; України у складі Російської і Австро-Угорської імперій; Української Народної Республіки (як унітарної та незалежної держави); у складі СРСР; в незалежній Україні з 1991 року.</w:t>
      </w:r>
    </w:p>
    <w:p w:rsidR="00394FE9" w:rsidRPr="00EE6F29" w:rsidRDefault="00394FE9" w:rsidP="00006216">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За часи існування феодального права у Х ст. була розроблена Руська Правда, як пам’ятка права Київської Русі.Зазначений документ мав конституційне значення та містив норми, які за своєю суттю були характерні галузям: кримінального, цивільного, сімейного, процесуального (кримінального, цивільного) права.</w:t>
      </w:r>
    </w:p>
    <w:p w:rsidR="00394FE9" w:rsidRPr="00EE6F29" w:rsidRDefault="00394FE9" w:rsidP="00842B98">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Отже, Руська Правда хоча й була першою спробою кодифікації правил поведінки на теренах України, протеза змістом виступала аналогом збірника законів Інституції Гая (ІІ ст. н.е), натомість, на відміну від останньої мала звичайну нормовану систему, що складалась із 43 статей.Слід відмітити, що у цей період також з’являється перше примітивнеадміністративне судочинство, яке займалося «публічними розправами», в яку входили княжі, вічові, громадські, приватні та церковні суди. </w:t>
      </w:r>
    </w:p>
    <w:p w:rsidR="00394FE9" w:rsidRPr="00EE6F29" w:rsidRDefault="00394FE9" w:rsidP="009C4FEF">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Окремої уваги заслуговуєпоява у XII ст. першої «неписаної» конституції Англії (Велика хартія вольностей), а також, германське звичаєве право, відповідно до якого виникла доктрина, обмежуюча владу монархів та якою було проголошено, що суверен не знаходиться над законом і може бути притягнутим до відповідальності за свої дії. Принципи відображені у доктрині германського звичаєвого правабуло втілено у положеннях про захист майна та особистої свободи і сприяли запровадженню правових механізмів обмеження, особливо за допомогою прийняття судових рішень. </w:t>
      </w:r>
    </w:p>
    <w:p w:rsidR="00394FE9" w:rsidRPr="00EE6F29" w:rsidRDefault="00394FE9" w:rsidP="009C4FEF">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Станом на сьогоднішній день відсутні відомості відносно того, чи було на українських землях того часу запозичено зарубіжний досвід, проте безперечно можна казати про те, що існував вплив наукових ідей, втілених у законодавство, що регулювало адміністративну юстицію в країнах, де Україна перебувала їх частиною.</w:t>
      </w:r>
    </w:p>
    <w:p w:rsidR="00394FE9" w:rsidRPr="00EE6F29" w:rsidRDefault="00394FE9" w:rsidP="004373CC">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Так, за часи перебування України у Великому князівстві Литовському було розроблено третійСтатут Великого князівства Литовського (в останній редакції 1588 р.), зазначений нормативно-правовий акт за своєю структурою впорядкування та втілення у собі сукупності нормбув схожим на сучасні варіанти кодифікованих нормативно-правових актів більшості країн західної Європи, у якому містилося одразу декілька галузей права, а також, норми римського, руського, польського і німецького кодифікованого звичаєвого права, місцева судова практика, норми Руської Правди, польських судебників.</w:t>
      </w:r>
    </w:p>
    <w:p w:rsidR="00394FE9" w:rsidRPr="00EE6F29" w:rsidRDefault="00394FE9" w:rsidP="008C4A20">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XVII-XVIII ст. вчені адміністративісти у своїх працях згадуютьяк етап, на якому починає формуватися адміністративна юстиція України, з огляду на підписання у 1710 р. Конституції Пилипом Орликом, оскільки саме зазначений Акт уперше передбачив оскарження дій посадових осіб та врегулював податкові відносини між органами влади та народом. Окрім того, у 1743 р. з’являється перший кодекс українського права «Права, за якими судиться малоросійський народ», який охоплював за аналогією сьогодення процесуальні кодекси та Закон України «Про судоустрій та статус суддів», натомість з закріпленням доволі примітивних норм, проте враховуючи існуючі на той час правові акти, кодекс 1743 р. суттєво врегульовував в тогочасному суспільстві публічно-правові відносини.</w:t>
      </w:r>
    </w:p>
    <w:p w:rsidR="00394FE9" w:rsidRPr="00EE6F29" w:rsidRDefault="00394FE9" w:rsidP="00A37743">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Починаючи з ХІХ ст. за часи перебування України у складі Австро-Угорської імперії панувала Австрійська конституція від 1848 року, де було закріплено демократичні права і свободи громадян, схожість якої відповідала Конституції (VIII року) Франції. За цей час Австрією було прийнято перші окремі процесуальні кодекси, що діяли по територіальним юрисдикціям та закріплювались за кожним окремим суб’єктом Імперії. Кодекси, які містили матеріальну частину права розповсюджували свою дію на всіх суб’єктів Імперії та подальші внесення змін до них відбувались лише в Австрії. Таким чином, публічне і приватне право Західноукраїнських земель на той час перебування у складі Австро-Угорської імперії розвивалося разом з правом останньої.</w:t>
      </w:r>
    </w:p>
    <w:p w:rsidR="00394FE9" w:rsidRPr="00EE6F29" w:rsidRDefault="00394FE9" w:rsidP="00A20A28">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На початку ХХ ст. у східній частині України з’явилися перші наукові юридичні праці, які були присвячені адміністративній юстиції, зокрема робота В. Бєзобразова «Государство и общество: управление и самоуправление, судебная власть», яка була присвячена дослідженню органів владних повноважень та суду. Зазначена праця була направлена на дослідження «публічно-правового спору», з огляду на характеристику функцій тогочасної судової системи та бажання автора обмежити судову владу від адміністративної та виконавчої влади.</w:t>
      </w:r>
    </w:p>
    <w:p w:rsidR="00394FE9" w:rsidRPr="00EE6F29" w:rsidRDefault="00394FE9" w:rsidP="00AA1371">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Варто звернути увагу на те, що в період з ХІХ – ХХ ст. вбачається створення підґрунтя у становленні категорії «публічно-правовий спір», зокрема з’являється тематика досліджень щодо оскаржень правових актів, які базувалися на дослідженнях вчених західної Європи. </w:t>
      </w:r>
    </w:p>
    <w:p w:rsidR="00394FE9" w:rsidRPr="00EE6F29" w:rsidRDefault="00394FE9" w:rsidP="0068339D">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Аналогом Порівняльного процесуального права сьогодення виступила праця М.О. Куплеваського «Русское государственное право» [3, с. 42, 46].У згаданій праці, вчений проаналізував форми як норми так й державний устрій Західної Європи в цілому. Вченийзапочаткував актуальне питання відносно того, що акти адміністрації можуть або порушувати права приватних осіб, заснованих на законі, розпорядженні чи договору, що укладається між приватною особою з однієї сторони та адміністрацією з іншої, або ж не порушуючи прав, порушувати інтереси останніх. Окрім того, вчений розмірковував також над тим, що судовий процес допускається лише в тих випадках, коли порушене право належало певній особі, відповідно, і приводом для оскарження в суд є лише акт індивідуальної дії.</w:t>
      </w:r>
    </w:p>
    <w:p w:rsidR="00394FE9" w:rsidRPr="00EE6F29" w:rsidRDefault="00394FE9" w:rsidP="00B947F2">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З 1917 по 1920 роки, необхідність запровадження адміністративної юстиції у часи існування УНР активну позицію доводили такі вчені, як М.Д. Загряцков, О. Ф. Євтихієв, В. Л. Кобалевський.</w:t>
      </w:r>
    </w:p>
    <w:p w:rsidR="00394FE9" w:rsidRPr="00EE6F29" w:rsidRDefault="00394FE9" w:rsidP="000E5EA3">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У свою чергу, М.Д. Загряцков зазначав про необхідність впровадження можливості захисту публічних прав громадян, окремо визначаючи, що спори відносно тих дій органів владних повноважень, які не є законними мають надавати змогу кожному для їх оскарження. Таким чином, вчений запроваджував способи захисту прав та інтересів громадян за допомогою скарг та позовних заяв. У своїй праці надав термінологічне значення адміністративного позову, зазначивши, що це вимога про перегляд справи у порядку судового процесу[1, с. 17]. </w:t>
      </w:r>
    </w:p>
    <w:p w:rsidR="00394FE9" w:rsidRPr="00EE6F29" w:rsidRDefault="00394FE9" w:rsidP="000E5EA3">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Часи перебування України в радянському періоді характеризуються стагнацією вусіх сферах розвитку, до кінця 30-х років ХХ ст. інтерес до адміністративної юстиціїзатихнув, натомість справи відносно оскарження дій нотаріусів, виконавців, справи з перевірки законності накладення адміністративних штрафів розглядалися.</w:t>
      </w:r>
    </w:p>
    <w:p w:rsidR="00394FE9" w:rsidRPr="00EE6F29" w:rsidRDefault="00394FE9" w:rsidP="00CA7A73">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З’являється адміністративний кодекс Української РСР від 12 жовтня 1927 р., яким було дозволено оскарження справ «за зламання обов’язкових постанов вищими органами СРСР, прокурорами, суддями, слідчими» безпосередньо до Президії Всеукраїнського Центрального Виконавчого комітету (ВЦВК). Серед окресленого можемо дійти до висновку, що з появою адміністративного кодексу УРСР 1927 р. виникає підвідомчість щодо розгляду справ з приводу оскарження рішень та дій органів виконавчої влади, проте недоліком того часу виступало те, що розглядом зазначених категорій справ й займалися органи виконавчої влади, що у свою чергу спричиняло порушення принципу неупередженості.</w:t>
      </w:r>
    </w:p>
    <w:p w:rsidR="00394FE9" w:rsidRPr="00EE6F29" w:rsidRDefault="00394FE9" w:rsidP="00CA7A73">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Згодом постало питання відносно необхідності створення спеціалізованих адміністративних судів для забезпечення законності державного управління, натомість дане питання не було прийняте. Спеціальні органи для вирішення скарг громадян на дії виконкомів також проіснували недовго та усі справи, що були підвідомчі їм остаточно передались до компетенції народних судів.</w:t>
      </w:r>
    </w:p>
    <w:p w:rsidR="00394FE9" w:rsidRPr="00EE6F29" w:rsidRDefault="00394FE9" w:rsidP="007E7424">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Починаючи з 1933 року по 1953 роки (часи сталінської диктатури) нанівець зупинили розвиток адміністративної юстиції, оскільки на думку компартії адміністративне право взагалі розглядалась як чужорідний організм, який не входить до природи соціалізму, у зв’язку з чим, радянська влада вважала, що у соціалістичній владі не може бути протирічь між громадянином і адміністрацією; звернення громадян в суд щодо оскарження дій або рішень суб’єктів владних повноважень можуть спричинити недовіру до «ефективності радянського управління».</w:t>
      </w:r>
    </w:p>
    <w:p w:rsidR="00394FE9" w:rsidRPr="00EE6F29" w:rsidRDefault="00394FE9" w:rsidP="007E7424">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Указом Президії ВР СРСР «Про порядок розгляду пропозицій, заяв і скарг громадян» від 12 квітня 1968 встановлено право подавати заяви, скарги на незаконні дії чи бездіяльність посадових осіб державних органів. Так, Президія ВР СРСР вважала, що такий засіб наддасть змогу громадянам захистити охоронювані права [4].</w:t>
      </w:r>
    </w:p>
    <w:p w:rsidR="00394FE9" w:rsidRPr="00EE6F29" w:rsidRDefault="00394FE9" w:rsidP="007E7424">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З огляду на вищезазначене, вбачається, що вже за часи панування радянської влади почали зароджуватися окремі ознаки існування публічно-правового спору, що прямо витікає з можливості оскарження рішень державних органів, більшість з яких, що не є дивовижним – заперечувалися та приймалися на користь останніх. Звісно, що впливовим на таку прогалину були саме рішення недосконалої судової влади СРСР, оскільки вона не була навіть трохи наближеної до рівня розвинутих країн з їх досвідом, доктринами та переважним правом за громадянином, що у свою чергу охоплювалось побоюванням окремих суддів таідеологією останніх відноснопануванняДержави над громадянином.</w:t>
      </w:r>
    </w:p>
    <w:p w:rsidR="00394FE9" w:rsidRPr="00EE6F29" w:rsidRDefault="00394FE9" w:rsidP="007E7424">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У 1989 році приймається Закон СРСР «Про порядок оскарження в суд неправомірних дій органів державного управління і посадових осіб, утискаючих права громадян», це стало новим кроком в утвердженні категорії публічно-правового спору. </w:t>
      </w:r>
    </w:p>
    <w:p w:rsidR="00394FE9" w:rsidRPr="00EE6F29" w:rsidRDefault="00394FE9" w:rsidP="007E7424">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Відповідно до ст. 2 зазначеного Закону передбачалось, що «до дій органів державного управління і посадових осіб, що підлягають судовому оскарженню, належать колегіальні і одноосібні дії, в результаті яких громадянин незаконно позбавлений можливості повністю або частково здійснити прав, яке надано йому законом чи іншим нормативним актом; на громадянина незаконно покладено який обов’язок» [5].</w:t>
      </w:r>
    </w:p>
    <w:p w:rsidR="00394FE9" w:rsidRPr="00EE6F29" w:rsidRDefault="00394FE9" w:rsidP="007E7424">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Таким чином, можемо дійти до висновку, що переважна більшість часу панування радянської влади здійснювались усі необхідні дії щодо заперечення існування публічно-правового спору між громадянином та державними органами, що у свою чергу було пов’язано із занепокоєнням нової політичної течії, зокрема радянської влади проти негативних думок щодо ефективності політики компартії та владарювання Держави (безпосередньо голів комуністичної партії) над іншими верствами населення. </w:t>
      </w:r>
    </w:p>
    <w:p w:rsidR="00394FE9" w:rsidRPr="00EE6F29" w:rsidRDefault="00394FE9" w:rsidP="008D715D">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Окрім того, радянська влада не визнаючи та у певній мірі побоюючись адміністративну юрисдикцію, особливо за часи правління І.В. Сталіна, ліквідувала ті ідеї, погляди та праці, які б на сьогоднішній день могли б супроводити найбільш ефективні шляхи та виноходи в ході дослідження проблематики адміністративного права, зокрема публічно-правових спорів. </w:t>
      </w:r>
    </w:p>
    <w:p w:rsidR="00394FE9" w:rsidRPr="00EE6F29" w:rsidRDefault="00394FE9" w:rsidP="008D715D">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У 1991 році, який характеризується занепадом радянської влади та відродженням незалежності України, вчені також вирішили поділити на два етапи: Перший, з 1991 року до прийняття КАС України та другий, з 2005 року (день прийняття КАС України) по теперішній час.</w:t>
      </w:r>
    </w:p>
    <w:p w:rsidR="00394FE9" w:rsidRPr="00EE6F29" w:rsidRDefault="00394FE9" w:rsidP="005A76BE">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Так, досліджуючи перший етап, який припадає на 1991 рік по день прийняття КАС України у першій редакції від 2005 року, запроваджено ряд нормативно-правових актів для розбудови загалом судової системи України, зокрема функціонування адміністративних судів щодо розгляду публічно-правових спорів, серед таких актів виступили: Постанова ВРУ «Про Концепцію судово-правової реформи в Україні» [6]. ЗУ «Про статус суддів» закріпив положення про адміністративні суди, зокрема у статтях 2, 19, 21, 22.</w:t>
      </w:r>
    </w:p>
    <w:p w:rsidR="00394FE9" w:rsidRPr="00EE6F29" w:rsidRDefault="00394FE9" w:rsidP="005A76BE">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Відповідно до ст. 22 зазначеного Закону було встановлено, що місцеві адміністративні суди розглядають адміністративні справи, пов’язані з правовідносинами у сфері державного управління (справи адміністративної юрисдикції) [7]. Іншими нормативними актами, що стосувалися адміністративного судочинства, виступили ЗУ «Про органи суддівського самоврядування» [8] та ЗУ «Про судоустрій України» [9].Цей період, який зокрема, охарактеризувався прийняттям окреслених нормативно-правових актів став визначальним для впровадження у наукову сферу оновлених, інноваційних ідей, думок та концепцій. Окрім того, з’являються перші доктрини та українські школи адміністративного права.</w:t>
      </w:r>
    </w:p>
    <w:p w:rsidR="00394FE9" w:rsidRPr="00EE6F29" w:rsidRDefault="00394FE9" w:rsidP="0061155E">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Застосування такого засобу як адміністративне оскарження рішень або дій суб’єктів владних повноважень в суді, рушійною силою пішло уперед завдяки встановленню у ст. 55 Конституції України положення, яке запровадило гарантію права на оскарження в суді рішень, дій чи бездіяльності органів державної влади, органів місцевого самоврядування, посадових і службових осіб [10]. Натомість, через неоднакове застосування окресленої норми, згодом КСУ надав офіційне тлумачення щодо права на оскарження неправомірних рішень суб’єктів владних повноважень та їх посадових осіб.</w:t>
      </w:r>
    </w:p>
    <w:p w:rsidR="00394FE9" w:rsidRPr="00EE6F29" w:rsidRDefault="00394FE9" w:rsidP="004A1B8C">
      <w:pPr>
        <w:spacing w:after="0" w:line="360" w:lineRule="auto"/>
        <w:ind w:firstLine="567"/>
        <w:jc w:val="both"/>
        <w:rPr>
          <w:rFonts w:ascii="Times New Roman" w:hAnsi="Times New Roman" w:cs="Times New Roman"/>
          <w:color w:val="000000"/>
          <w:sz w:val="28"/>
          <w:szCs w:val="28"/>
        </w:rPr>
      </w:pPr>
      <w:r w:rsidRPr="00EE6F29">
        <w:rPr>
          <w:rFonts w:ascii="Times New Roman" w:hAnsi="Times New Roman" w:cs="Times New Roman"/>
          <w:sz w:val="28"/>
          <w:szCs w:val="28"/>
        </w:rPr>
        <w:t xml:space="preserve">На цьому етапі з’являються праці таких вчених адміністративістів, як В. Б. Авер’янова, </w:t>
      </w:r>
      <w:r w:rsidRPr="00EE6F29">
        <w:rPr>
          <w:rStyle w:val="fontstyle01"/>
          <w:rFonts w:ascii="Times New Roman" w:hAnsi="Times New Roman"/>
        </w:rPr>
        <w:t>Ю. П. Битяк, І. П. Голосніченко, І. Б. Коліушко, останні досліджували модель функціонування адміністративної юстиції європейських країн, що подалі надало рекомендаційного характеру погляди для втілення у адміністративне право України, зокрема праці вчених започаткували дослідження у проблематиці публічно-правових відносин щодо юрисдикції адміністративних судів [11].В</w:t>
      </w:r>
      <w:r w:rsidRPr="00EE6F29">
        <w:rPr>
          <w:rFonts w:ascii="Times New Roman" w:hAnsi="Times New Roman" w:cs="Times New Roman"/>
          <w:sz w:val="28"/>
          <w:szCs w:val="28"/>
        </w:rPr>
        <w:t>чений Р.О. Куйбіди у своїх працях приділяючи увагу вирішенню питання відносно розмежування судових юрисдикцій, адміністративно-територіального поділу, зауважив на доцільності прийняття КАС України та становлення адміністративних судів в України [12].</w:t>
      </w:r>
    </w:p>
    <w:p w:rsidR="00394FE9" w:rsidRPr="00EE6F29" w:rsidRDefault="00394FE9" w:rsidP="009E6523">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Визначальним у цей період постала також монографія В.С. Стефанюка, у якій останній зазначив про спірні правовідносини, які можуть бути віднесені до компетенції адміністративних судів, а також, визначення дефініції адміністративної справи [13].</w:t>
      </w:r>
    </w:p>
    <w:p w:rsidR="00394FE9" w:rsidRPr="00EE6F29" w:rsidRDefault="00394FE9" w:rsidP="0061155E">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Другий етап становлення категорії «публічно-правовий спір» та адміністративної юстиції в цілому, припадає на момент прийняття КАС України з 2005 року по сьогоднішній день. </w:t>
      </w:r>
    </w:p>
    <w:p w:rsidR="00394FE9" w:rsidRPr="00EE6F29" w:rsidRDefault="00394FE9" w:rsidP="0061155E">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Натомість поява вищезазначеного нормативно-правового акту не зумовила виникненню позитивних думок від вчених та навпаки, зазнала різноманітної критики, зокрема це стосувалося того, що КАС України не вирішив всіх тих питань, які були окреслені в наукових працях та рекомендаціях наданих до його ухвалення.</w:t>
      </w:r>
    </w:p>
    <w:p w:rsidR="00394FE9" w:rsidRPr="00EE6F29" w:rsidRDefault="00394FE9" w:rsidP="0061155E">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Таким чином, даний етап охарактеризувався початком наукових пошуків для вирішення проблем, зумовлених ухваленням КАС Українивід 2005 року та виникненню різноманітних наукових позицій відносно наведеної дефініції.</w:t>
      </w:r>
    </w:p>
    <w:p w:rsidR="00394FE9" w:rsidRPr="00EE6F29" w:rsidRDefault="00394FE9" w:rsidP="00247E09">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Такі вчені, як </w:t>
      </w:r>
      <w:r w:rsidRPr="00EE6F29">
        <w:rPr>
          <w:rStyle w:val="fontstyle01"/>
          <w:rFonts w:ascii="Times New Roman" w:hAnsi="Times New Roman"/>
        </w:rPr>
        <w:t>О. В. Джабурія, К. О. Тимошенк, В. В. Середа, В. М. Бевзенко, М. І. Смокович, С. В. Ківалов, А. Ю. Осадчий наполягали на необхідності та доцільності розмежування категорії «публічно-правовий спір» та «адміністративно-правовий спір», зокрема співвідношення категорії «компетенція адміністративного суду» з суміжними категоріями «юрисдикція», «правовий статус», «повноваження» тощо.</w:t>
      </w:r>
    </w:p>
    <w:p w:rsidR="00394FE9" w:rsidRPr="00EE6F29" w:rsidRDefault="00394FE9" w:rsidP="00247E09">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У цей період, вагомим внеском у розвиток категорії публічно-правового спору та адміністративної юстиції визначаються, зокрема наукові праці  Д. М. Цвіри, С. В. Бакуліна, А. В. Хоменко, які були запропоновані у період суттєвих процесуальних новацій до КАС України.</w:t>
      </w:r>
    </w:p>
    <w:p w:rsidR="00394FE9" w:rsidRPr="00EE6F29" w:rsidRDefault="00394FE9" w:rsidP="00696E07">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Враховуючи вищевикладене, можемо дійти до висновку, що категорія «публічно-правовий спір» пройшла тривалий шлях з часів середньовіччя до тієї наукової конструкції, яку ми можемо опановувати та досліджувати на сьогоднішнійдень.Хоча перші праці, які започаткували примітивне публічне право у розумінні тогочасної історії юриспруденції було розроблено ще у часи династії Цінь та Інституції Гая. Проте, часи зародження вказаної категорії припадають саме на ХІХ ст., коли з’являються перші наукові праці та найбільш за своєю суттю схожі на теперішні механізми оскарження рішень або дій органів влади.На превеликий жаль, за часи перебування України при пануванні радянської влади, держава втратила можливість опанувати нові ідеї, концепції, які б на сьогоднішній день надали змогу вирішати більше актуальних проблем сучасного адміністративного права.Варто відзначити, що здобувши незалежність, в Україні прогрес пошуку та розвитку адміністративно-процесуальної науки актуалізувався, що зокрема виражену удинаміці дослідження такої категорії як «публічно-правовий спір».</w:t>
      </w:r>
    </w:p>
    <w:p w:rsidR="00394FE9" w:rsidRPr="00EE6F29" w:rsidRDefault="00394FE9" w:rsidP="00696E07">
      <w:pPr>
        <w:spacing w:after="0" w:line="360" w:lineRule="auto"/>
        <w:ind w:firstLine="567"/>
        <w:jc w:val="both"/>
        <w:rPr>
          <w:rFonts w:ascii="Times New Roman" w:hAnsi="Times New Roman" w:cs="Times New Roman"/>
          <w:sz w:val="28"/>
          <w:szCs w:val="28"/>
        </w:rPr>
      </w:pPr>
    </w:p>
    <w:p w:rsidR="00394FE9" w:rsidRPr="00EE6F29" w:rsidRDefault="00394FE9" w:rsidP="00634471">
      <w:pPr>
        <w:pStyle w:val="Heading2"/>
        <w:ind w:firstLine="567"/>
        <w:rPr>
          <w:rFonts w:ascii="Times New Roman" w:hAnsi="Times New Roman"/>
          <w:b/>
          <w:color w:val="auto"/>
          <w:sz w:val="28"/>
          <w:szCs w:val="28"/>
        </w:rPr>
      </w:pPr>
      <w:bookmarkStart w:id="3" w:name="_Toc179215263"/>
      <w:r w:rsidRPr="00EE6F29">
        <w:rPr>
          <w:rFonts w:ascii="Times New Roman" w:hAnsi="Times New Roman"/>
          <w:b/>
          <w:color w:val="auto"/>
          <w:sz w:val="28"/>
          <w:szCs w:val="28"/>
        </w:rPr>
        <w:t>1.2.Публічно-правовий спір: його предмет та значення.</w:t>
      </w:r>
      <w:bookmarkEnd w:id="3"/>
    </w:p>
    <w:p w:rsidR="00394FE9" w:rsidRPr="00EE6F29" w:rsidRDefault="00394FE9" w:rsidP="005C0DEB">
      <w:pPr>
        <w:spacing w:after="0" w:line="360" w:lineRule="auto"/>
        <w:ind w:firstLine="567"/>
        <w:jc w:val="both"/>
        <w:rPr>
          <w:rFonts w:ascii="Times New Roman" w:hAnsi="Times New Roman" w:cs="Times New Roman"/>
          <w:b/>
          <w:sz w:val="28"/>
          <w:szCs w:val="28"/>
        </w:rPr>
      </w:pPr>
    </w:p>
    <w:p w:rsidR="00394FE9" w:rsidRPr="00EE6F29" w:rsidRDefault="00394FE9" w:rsidP="000652B5">
      <w:pPr>
        <w:spacing w:after="0" w:line="360" w:lineRule="auto"/>
        <w:ind w:firstLine="567"/>
        <w:jc w:val="both"/>
        <w:rPr>
          <w:rFonts w:ascii="Times New Roman" w:hAnsi="Times New Roman" w:cs="Times New Roman"/>
          <w:bCs/>
          <w:sz w:val="28"/>
          <w:szCs w:val="28"/>
        </w:rPr>
      </w:pPr>
      <w:r w:rsidRPr="00EE6F29">
        <w:rPr>
          <w:rFonts w:ascii="Times New Roman" w:hAnsi="Times New Roman" w:cs="Times New Roman"/>
          <w:bCs/>
          <w:sz w:val="28"/>
          <w:szCs w:val="28"/>
        </w:rPr>
        <w:t>Перед тим як перейти до змістовного дослідження поняття «публічно-правовий спір», визначення предмету, який охоплюється даною дефініцією та передбачених чинним законодавством України видів публічно-правових спорів, вважаємо за необхідне розкрити притаманні зазначеній категорії ознаки за якими остання виражена у їх сукупності, а саме юридичний змістта правову природу такої сукупності понять, як «публічне право» та «спір про право», «спір».</w:t>
      </w:r>
    </w:p>
    <w:p w:rsidR="00394FE9" w:rsidRPr="00EE6F29" w:rsidRDefault="00394FE9" w:rsidP="009100AB">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Так, Тильчик В. В. надав деталізоване розумінняспорів публічно-правового характеру акцентуючи увагу на тому, що «вирішення спорів публічно-правового характеру, з огляду на усталену практику міжнародного судочинства та ЄСПЛ характеризують напрями розвитку державних інститутів оскарження нормативно-правових актів, зокрема рішень, дій або бездіяльності суб’єкта владних повноважень; забезпечення прав особи на захист у конкретних видах публічних правовідносин; розвиток забезпечення адміністративного судочинства та правового статусу суддів» [14, с. 376].</w:t>
      </w:r>
    </w:p>
    <w:p w:rsidR="00394FE9" w:rsidRPr="00EE6F29" w:rsidRDefault="00394FE9" w:rsidP="009100AB">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Такий вчений, як Рой О.В. зазначав у своєму дисертаційному дослідженні, що «правовому спору притаманні певні ознаки, у своїй сукупності останні забезпечують конкретизацію та надають можливість виокремити «спір» та «спір про право»». Серед таких ознак, вчений зауваживна те, що:«спір про право виникає з юридичних дій учасників, які у свою чергу породжують юридичні наслідки; спрямований на реалізацію та захист прав, свобод, інтересів осіб; наявність спору про право має гарантуватися з боку закону щодо можливості захисту прав, свобод чи інтересів особи»[15, с. 8-9].</w:t>
      </w:r>
    </w:p>
    <w:p w:rsidR="00394FE9" w:rsidRPr="00EE6F29" w:rsidRDefault="00394FE9" w:rsidP="008758F8">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Правова природа сутності публічного права у юридичному словнику виражена як сукупність галузей права, які регулюють відносини, що забезпечують загальнодержавний інтерес домінуючої частини суспільства, на відміну від інших галузей права, що захищають приватний інтерес. </w:t>
      </w:r>
    </w:p>
    <w:p w:rsidR="00394FE9" w:rsidRPr="00EE6F29" w:rsidRDefault="00394FE9" w:rsidP="008758F8">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У контексті розгляду етимології слів «публічний» (народний, суспільний) та «правовий» (панування закону у сферах суспільного життя; зв'язаність законом), варто поглибитись в історію юридичної науки, яка пов’язана з розмежуванням права на приватне та публічне, оскільки зазначене є фундаментальним чинником за яким сучасне адміністративне судочинствоперебуває у міцній зв’язці з виникненням, зміною та припиненням того чи іншого правового спору, надаючи змогу більш ефективно дослідити становлення дефініції «публічно-правовий спір» в контексті сучасного адміністративного судочинства, як процесуальної галузі публічного права незалежної України.</w:t>
      </w:r>
    </w:p>
    <w:p w:rsidR="00394FE9" w:rsidRPr="00EE6F29" w:rsidRDefault="00394FE9" w:rsidP="0029796C">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Окрім того, слід зауважити на тому, що становлення поняття «публічно-правового спору» у юридичній науці та законодавствіза часів існування радянської правової доктрини та перебування в ній України (УРСР), при соціалістичному русі фактично не визнавалася ідея подібного поділу права, з огляду на сутність політики радянської влади. Розмежування за критерієм «приватного інтересу» не вбачалось за можливе безпосередньо через активну ідею колективізму та права спільної колективної власності, які були об’єктивно зосередженні на публічній владі та лише формально на певній категорії осіб, як наслідок ті правовідносини, які у сучасності є переважно підпорядковані приватному праву були охоплені публічним інтересом та віднесені до публічного права. </w:t>
      </w:r>
    </w:p>
    <w:p w:rsidR="00394FE9" w:rsidRPr="00EE6F29" w:rsidRDefault="00394FE9" w:rsidP="0029796C">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При цьому, хоча й публічне і приватне право тогочасної України не мало чіткої структури, натомість воно розвивалося у вигляді конкретних галузей права.</w:t>
      </w:r>
    </w:p>
    <w:p w:rsidR="00394FE9" w:rsidRPr="00EE6F29" w:rsidRDefault="00394FE9" w:rsidP="0029796C">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Необхідно також виокремити і те, що на теперішній час розмежування права є більш гнучким аніж раніше. Більшість сучасних науковців серед яких є вчені-процесуалісти доходять висновку, що право не є подільним лише на приватне та публічне, за своїм змістом та появою нових регулюючих норм зі змісту спірних правовідносин, які виникають у досудовому розгляді справ або безпосередньо у суді охоплюються додатковим поділом на процедурне та процесуальне право. </w:t>
      </w:r>
    </w:p>
    <w:p w:rsidR="00394FE9" w:rsidRPr="00EE6F29" w:rsidRDefault="00394FE9" w:rsidP="0029796C">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Інші вчені заперечують даній думці, зазначаючи, що поділ на процедурне та процесуальне право входять у зміст публічного права, що виражаються комплексом ознак, які притаманні саме публічному праву, хоча й регулюють окремі процесуальні відносини між такими учасниками, а тому необхідність у такому поділі є недоречною.</w:t>
      </w:r>
    </w:p>
    <w:p w:rsidR="00394FE9" w:rsidRPr="00EE6F29" w:rsidRDefault="00394FE9" w:rsidP="0029796C">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Найбільш поширеною в юридичній науці є думка про те, що поділ права на публічне і приватне є лише одним із векторів системи права, який існує поруч з її поділом на матеріальне і процесуальне право. </w:t>
      </w:r>
    </w:p>
    <w:p w:rsidR="00394FE9" w:rsidRPr="00EE6F29" w:rsidRDefault="00394FE9" w:rsidP="0029796C">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Отже, загалом система права є складним, багатогранним феноменом, вивчення якого не можна проводити лише під одним кутом зору. Саме комплексний підхід до класифікації різних правових явищ сприяє більш глибокому, об’ємному і об’єктивному з’ясуванню їх багатоманітних можливостей у правовому регулюванні.</w:t>
      </w:r>
    </w:p>
    <w:p w:rsidR="00394FE9" w:rsidRPr="00EE6F29" w:rsidRDefault="00394FE9" w:rsidP="0029796C">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Погребняк І.С. вказав, що «фундаментальна обставина, яка сприяє різноманіттю поглядів на співвідношення публічного і приватного права, виражається у формі кордону між приватним і публічним правом та не виглядає як різка демаркаційна лінія» [16, c. 5].</w:t>
      </w:r>
    </w:p>
    <w:p w:rsidR="00394FE9" w:rsidRPr="00EE6F29" w:rsidRDefault="00394FE9" w:rsidP="0029796C">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Таким чином, з’ясувавши природу публічного права та спору про право, можемо перейти до дослідження такої дефініції як «публічно-правовий спір».</w:t>
      </w:r>
    </w:p>
    <w:p w:rsidR="00394FE9" w:rsidRPr="00EE6F29" w:rsidRDefault="00394FE9" w:rsidP="00E547F6">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Мовчун О.Г. вказав, що «питання визначення публічно-правових спорів у юридичній науці не має єдиного підходу» [17, с. 152]. Скочиляс-Павлів О.В. у своїх працях звертає увагу на те, що «під публічно-правовим спором слід розуміти передану на вирішення адміністративного суду суперечку, яка виникла з СВП» [18, с. 124].Проте вважаємо, що таке твердження не відповідає реаліям сьогодення, через набрання чинності ЗУ «Про адміністративну процедуру», який у свою чергу надав можливість оскарження дій чи бездіяльності, а також, рішень суб’єктів владних повноважень у позасудовому порядку.</w:t>
      </w:r>
    </w:p>
    <w:p w:rsidR="00394FE9" w:rsidRPr="00EE6F29" w:rsidRDefault="00394FE9" w:rsidP="00A31823">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До того ж, слід зазначити, що вказаний Закон не поширює свою дію на правовідносини, пов’язані з оскарженням рішень СВП щодо притягнення осіб до адміністративної відповідальності.Натомість, більшість категорій публічно-правових спорів, про які буде зазначено нижче припадає під силу дії вказаного Закону та має забезпечувати можливість ефективного розгляду скарг на тих чи інших СВП, а також, їх посадових осіб. </w:t>
      </w:r>
    </w:p>
    <w:p w:rsidR="00394FE9" w:rsidRPr="00EE6F29" w:rsidRDefault="00394FE9" w:rsidP="00A31823">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З огляду на новизну згаданого Закону, останній вимагає ряд досліджень та наукових узгоджень, які у свою чергу, на нашу думку, мають призвести до затвердження нових характерних ознак «публічно-правового спору» та забезпечать розвантаження адміністративних судів.</w:t>
      </w:r>
    </w:p>
    <w:p w:rsidR="00394FE9" w:rsidRPr="00EE6F29" w:rsidRDefault="00394FE9" w:rsidP="00E7057A">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У монографії Пасенюка О.М., Панченко О.Н., Авер’янова В.Б. зазначається, що «спір є публічно-правовим і підлягає розгляду в порядку адміністративного судочинства у випадку, коли останній виникає з публічно-правових відносин за участю СВП при здійсненні ним владних управлінських функцій щодо іншого суб’єкта, який є учасником спору» [19, с. 402].</w:t>
      </w:r>
    </w:p>
    <w:p w:rsidR="00394FE9" w:rsidRPr="00EE6F29" w:rsidRDefault="00394FE9" w:rsidP="009445C3">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Загальна думка вчених зведена до того, що публічно-правовий спір зумовлений участю суб’єкта владних повноважень, що є ключовим для його визначення, з чим у свою чергу також погоджуємось.</w:t>
      </w:r>
    </w:p>
    <w:p w:rsidR="00394FE9" w:rsidRPr="00EE6F29" w:rsidRDefault="00394FE9" w:rsidP="001E41AE">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Такі вчені як В. В. Кравченко, О. Я. Янчук, О. Ф. Демський акцентують увагу на тому, що «публічно-правовий спір – це спір, який виникає у зв’язку з існуванням суперечностей між фізичною або юридичною особою таСВП з приводу рішень, дій чи бездіяльності останнього» [20].</w:t>
      </w:r>
    </w:p>
    <w:p w:rsidR="00394FE9" w:rsidRPr="00EE6F29" w:rsidRDefault="00394FE9" w:rsidP="004C0BDF">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Авер’янов В.Б. зазначив, що «виникнення публічно-правового спору є відповідною правовою реакцією на конфліктну ситуацію, яка відображає сутність як об’єктивних так й суб’єктивних суперечностей» [22]. </w:t>
      </w:r>
    </w:p>
    <w:p w:rsidR="00394FE9" w:rsidRPr="00EE6F29" w:rsidRDefault="00394FE9" w:rsidP="001E41AE">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Проте, вважаємо, що найбільш вдале визначення публічно-правового спору було розроблено вченим Писаренко Н.Б., який зауважив на тому, що «адміністративно-правовий спір – певний конфлікт, обумовлений правовою ознакою між фізичними або юридичними особами з одного боку та СВП і може бути вирішений у судовому або позасудовому порядку» [21, с. 24].</w:t>
      </w:r>
    </w:p>
    <w:p w:rsidR="00394FE9" w:rsidRPr="00EE6F29" w:rsidRDefault="00394FE9" w:rsidP="00070798">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КАС України у редакції від 06 липня 2005 року (до внесення змін від 15.12.2017 р.) містив у собі лише запозичене з наукової літератури, за відсутністю повного його тлумачення, категоріальне поняття «публічно-правовий спір», яке було поєднано з іншими дефініціями, що у своїй сукупності надавали термінологічне значення, зокрема поняттю «справа адміністративної юрисдикції» [22, с. 55].  Про «публічно-правовий спір» згадувалось лише у п. 1 ч. 1 ст. 3 (як частина терміну, яким пояснювалось поняття – «справа адміністративної юрисдикції») та у ч. 2 ст. 21 (як частина процесуальної норми щодо вимоги про відшкодування шкоди) [24]. </w:t>
      </w:r>
    </w:p>
    <w:p w:rsidR="00394FE9" w:rsidRPr="00EE6F29" w:rsidRDefault="00394FE9" w:rsidP="00070798">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Тому слід вважати, що 15 грудня 2017 року з набуттям чинності нової редакціїКАС України, вперше законодавцем було втілено таку дефініцію, як «публічно-правовий спір», що й стало предметом дискусій серед науковців, яка триває по сей день, зокрема й виступає предметом нашого магістерського дослідження.</w:t>
      </w:r>
    </w:p>
    <w:p w:rsidR="00394FE9" w:rsidRPr="00EE6F29" w:rsidRDefault="00394FE9" w:rsidP="003954DF">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З наведеної дати, КАС України започаткував тлумачення досліджуваної дефініції, закріпивши у п. 2 ч. 1 ст. 4 КАС України, що публічно-правовий спір –це спір, у якому: </w:t>
      </w:r>
    </w:p>
    <w:p w:rsidR="00394FE9" w:rsidRPr="00EE6F29" w:rsidRDefault="00394FE9" w:rsidP="003954DF">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«хоча б одна сторона здійснює публічно-владні управлінські функції, в тому числі на виконання делегованих повноважень, і спір виник у зв’язку із виконанням або невиконанням такою стороною зазначених функцій»; </w:t>
      </w:r>
    </w:p>
    <w:p w:rsidR="00394FE9" w:rsidRPr="00EE6F29" w:rsidRDefault="00394FE9" w:rsidP="003954DF">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«або хоча б одна сторона надає адміністративні послуги на підставі законодавства, яке уповноважує або зобов’язує надавати такі послуги виключно суб’єкта владних повноважень, і спір виник у зв’язку із наданням або ненаданням такою стороною зазначених послуг»; </w:t>
      </w:r>
    </w:p>
    <w:p w:rsidR="00394FE9" w:rsidRPr="00EE6F29" w:rsidRDefault="00394FE9" w:rsidP="003954DF">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«або хоча б одна сторона є суб’єктом виборчого процесу або процесу референдуму і спір виник у зв’язку із порушенням її прав у такому процесі з боку суб’єкта владних повноважень або іншої особи» [23].</w:t>
      </w:r>
    </w:p>
    <w:p w:rsidR="00394FE9" w:rsidRPr="00EE6F29" w:rsidRDefault="00394FE9" w:rsidP="003954DF">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Зазначена дефініція охарактеризована законодавцем з призми її фундаментальних ознак.</w:t>
      </w:r>
    </w:p>
    <w:p w:rsidR="00394FE9" w:rsidRPr="00EE6F29" w:rsidRDefault="00394FE9" w:rsidP="000C36B3">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Проте, КАС України у редакції від 06 липня 2005 року (до внесення змін від 15.12.2017 р.) містив у собі лише запозичене з наукової літератури, за відсутністю повного його тлумачення, категоріальне поняття «публічно-правовий спір», яке було поєднано з іншими дефініціями, що у своїй сукупності надавали термінологічне значення, зокрема поняттю «справа адміністративної юрисдикції» [22, с. 55]. Про «публічно-правовий спір» згадувалось лише у п. 1 ч. 1 ст. 3 (як частина терміну, яким пояснювалось поняття – «справа адміністративної юрисдикції»)та у ч. 2 ст. 21 (як частина процесуальної норми щодо вимоги про відшкодування шкоди) КАС України (у попередніх редакціях до 15.12.2017 р.) [24].</w:t>
      </w:r>
    </w:p>
    <w:p w:rsidR="00394FE9" w:rsidRPr="00EE6F29" w:rsidRDefault="00394FE9" w:rsidP="00D327AD">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У зв’язку з вищевикладеним та, за відсутністю належного визначення питання підсудності адміністративним судом тих чи інших публічно-правових спорів за їх змістом, серед науковців та юристів практиків існували юрисдикційні спори відносно належності тих чи інших публічно-правових спорів між адміністративними та господарськими судами, про що у свою чергу були присвячені праці Д. Притика та О. Шустік [25].</w:t>
      </w:r>
    </w:p>
    <w:p w:rsidR="00394FE9" w:rsidRPr="00EE6F29" w:rsidRDefault="00394FE9" w:rsidP="00A670DA">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Досі актуальними залишаютьсяспори у науковій літературі щодо підсудності справ між адміністративними та господарськими судами, зокрема, відносно списання багатоквартирних будинків з балансу управителя в порядку Постанови КМУ №301. Зазначена проблематика пов’язана знову ж таки з невизначеністю з боку законодавця, а саме за якими правилами повинні розглядатись справи у таких спорах, оскільки що в адміністративних, що в господарських спорах учасником з одного та в окремих випадках з іншого боку може виступати СВП, у такому разі, вважаємо, що має досліджуватися безпосередньо зміст спірних правовідносин та предмет позовних вимог, з метою правильного вирішення підсудності такої категорії справ.</w:t>
      </w:r>
    </w:p>
    <w:p w:rsidR="00394FE9" w:rsidRPr="00EE6F29" w:rsidRDefault="00394FE9" w:rsidP="00151672">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Нова редакція КАС України від 2017 р., затвердила розширений перелік справ адміністративної юрисдикції та згідно зі ст. 19 поширила сферу дію на 16 категорій публічно-правових спорів, перелік яких майже кожен рік змінюється або доповнюється.</w:t>
      </w:r>
    </w:p>
    <w:p w:rsidR="00394FE9" w:rsidRPr="00EE6F29" w:rsidRDefault="00394FE9" w:rsidP="007E6D26">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13.03.2018 року ч. 1 ст. 19 КАС України було доповнено пунктом 13, а саме «спорами щодо оскарження рішень Національної комісії з реабілітації, що виникли на підставі Закону України "Про реабілітацію жертв репресій комуністичного тоталітарного режиму 1917-1991 років"» [23];</w:t>
      </w:r>
    </w:p>
    <w:p w:rsidR="00394FE9" w:rsidRPr="00EE6F29" w:rsidRDefault="00394FE9" w:rsidP="007E6D26">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03.10.2019 року ч. 1 ст. 19 КАС України доповнено пунктами 14 та 15, а саме: «спорами з приводу проведення аналізу ефективності здійснення державно-приватного партнерства та спорамиу сфері концесійного конкурсу» [23];</w:t>
      </w:r>
    </w:p>
    <w:p w:rsidR="00394FE9" w:rsidRPr="00EE6F29" w:rsidRDefault="00394FE9" w:rsidP="007E6D26">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13.12.2022 року ч. 1 ст. 19 КАС України доповнено пунктом 16, а саме «спорами щодо державного регулювання у сфері медіа» [23];</w:t>
      </w:r>
    </w:p>
    <w:p w:rsidR="00394FE9" w:rsidRPr="00EE6F29" w:rsidRDefault="00394FE9" w:rsidP="007E6D26">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19.06.2020 року ч. 1 ст. 19 КАС України ведено зміни до пункту 11, у зв’язку з набуттям чинностіЗУ «Про оборонні закупівлі», а також, доповнено пунктом 1-1 щодо «спорів, які випливають із ЗУ «Про ринки капіталу та організовані товарні ринки»»[23];</w:t>
      </w:r>
    </w:p>
    <w:p w:rsidR="00394FE9" w:rsidRPr="00EE6F29" w:rsidRDefault="00394FE9" w:rsidP="007858E2">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Таким чином, наведене положення КАС України щодо предметної юрисдикції визначило ряд фундаментальних питань адміністративного судочинства, одразувстановивши: суб’єктний склад, предмет, підстави, категорії спорів.</w:t>
      </w:r>
    </w:p>
    <w:p w:rsidR="00394FE9" w:rsidRPr="00EE6F29" w:rsidRDefault="00394FE9" w:rsidP="00D42ED6">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При цьому, слід також наголосити, що Касаційний адміністративний суд, з посиланнями на Пленум та ВПВСнеодноразово наголошував на характерних ознаках «публічно-правового спору», стверджуючи, що «такі спори зумовленісферою їх виникнення, у зв’язку з чим, враховується також спір, який породжується з позовних вимог, який виник на публічно правових засадах, де держава бере участь щодо громадянина не як рівноправна сторона у правовідносинах, а як носій суверенної влади. Тому, головною рисою таких правовідносин є владне підпорядкування однієї сторони цих відносин іншій, тобто сторони ще до початку такого спору повинні перебувати у відносинах вертикального підпорядкування» [27].</w:t>
      </w:r>
    </w:p>
    <w:p w:rsidR="00394FE9" w:rsidRPr="00EE6F29" w:rsidRDefault="00394FE9" w:rsidP="00E6301A">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Хлібороб Н. Є., Летнянчина Л. І. висловили наступну думку щодо предмета публічно-правового спору, зазначивши, що«предметом спору є рішення, дії чи бездіяльність суб’єктів публічно-правових відносин, які порушують або можуть порушити права, свободи та інтереси інших суб’єктів»[28, с. 6]. </w:t>
      </w:r>
    </w:p>
    <w:p w:rsidR="00394FE9" w:rsidRPr="00EE6F29" w:rsidRDefault="00394FE9" w:rsidP="00255A99">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Ведепянін О. А. у свою чергу зазначив, що «предметом публічно-правового спору, з огляду на форму реалізації, виступаютьакти індивідуальної дії тау деяких випадках – нормативні акти, у свою чергу елементи публічно-правового спору, становить спір, суб’єкт та форма реалізації рішення, що є його предметом» [29, с. 116-117].</w:t>
      </w:r>
    </w:p>
    <w:p w:rsidR="00394FE9" w:rsidRPr="00EE6F29" w:rsidRDefault="00394FE9" w:rsidP="002B00FE">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Проаналізувавши думки вчених, а також, тлумачення категорії «публічно-правовий спір» з точки зору законодавця, пропонуємо своє розуміння даної категорії, а саме: публічно-правовий спір – це спір, що характеризується наявністю хоча б одним СВП, підпорядкованого державі або місцевому самоврядуванню, за наслідок виконання владних повноважень якого рішеннями, діями або бездіяльністю було спричинено або спричиняється порушення прав, свобод або інтересів фізичної чи юридичної особи.</w:t>
      </w:r>
    </w:p>
    <w:p w:rsidR="00394FE9" w:rsidRPr="00EE6F29" w:rsidRDefault="00394FE9" w:rsidP="00F53B97">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У свою чергу, предметом публічно-правового спору є правові акти СВП, на підставі яких виникає публічно-правовий спір, через порушення прав, свобод чи інтересів особи, якій відповідно до сили приписів КАС України, Конституції України та інших нормативно-правових актів, що регулюють кожний конкретний випадок тих чи інших спірних правовідносин надано право на захист від протиправних дій, бездіяльності або рішень суб’єктів владних повноважень. З огляду на предмет даного дослідження доцільно виокремити наступні елементи предмету публічно-правового спору: нормативно-правовий акт та акт індивідуальної дії, якіу свою чергу, суперечать вимогам чинного Законодавства України, спричиняючи порушення прав, свобод та інтересів фізичних чи юридичних осіб, у зв’язку з чим, стають підставою за якою відповідний суб’єкт, у процесуальному законодавстві – позивач,наділяється правом звернутися до адміністративного суду, з метою захисту своїх порушених прав.</w:t>
      </w:r>
    </w:p>
    <w:p w:rsidR="00394FE9" w:rsidRPr="00EE6F29" w:rsidRDefault="00394FE9" w:rsidP="00E6301A">
      <w:pPr>
        <w:spacing w:after="0" w:line="360" w:lineRule="auto"/>
        <w:ind w:firstLine="567"/>
        <w:jc w:val="both"/>
        <w:rPr>
          <w:rFonts w:ascii="Times New Roman" w:hAnsi="Times New Roman" w:cs="Times New Roman"/>
          <w:b/>
          <w:sz w:val="28"/>
          <w:szCs w:val="28"/>
        </w:rPr>
      </w:pPr>
    </w:p>
    <w:p w:rsidR="00394FE9" w:rsidRPr="00EE6F29" w:rsidRDefault="00394FE9" w:rsidP="00634471">
      <w:pPr>
        <w:pStyle w:val="Heading2"/>
        <w:ind w:firstLine="567"/>
        <w:jc w:val="both"/>
        <w:rPr>
          <w:rFonts w:ascii="Times New Roman" w:hAnsi="Times New Roman"/>
          <w:b/>
          <w:color w:val="auto"/>
          <w:sz w:val="28"/>
          <w:szCs w:val="28"/>
        </w:rPr>
      </w:pPr>
      <w:bookmarkStart w:id="4" w:name="_Toc179215264"/>
      <w:r w:rsidRPr="00EE6F29">
        <w:rPr>
          <w:rFonts w:ascii="Times New Roman" w:hAnsi="Times New Roman"/>
          <w:b/>
          <w:color w:val="auto"/>
          <w:sz w:val="28"/>
          <w:szCs w:val="28"/>
        </w:rPr>
        <w:t>1.3. Суб’єкт владних повноважень як сторона публічно-правового спору.</w:t>
      </w:r>
      <w:bookmarkEnd w:id="4"/>
    </w:p>
    <w:p w:rsidR="00394FE9" w:rsidRPr="00EE6F29" w:rsidRDefault="00394FE9" w:rsidP="00E6301A">
      <w:pPr>
        <w:spacing w:after="0" w:line="360" w:lineRule="auto"/>
        <w:ind w:firstLine="567"/>
        <w:jc w:val="both"/>
        <w:rPr>
          <w:rFonts w:ascii="Times New Roman" w:hAnsi="Times New Roman" w:cs="Times New Roman"/>
          <w:sz w:val="28"/>
          <w:szCs w:val="28"/>
        </w:rPr>
      </w:pPr>
    </w:p>
    <w:p w:rsidR="00394FE9" w:rsidRPr="00EE6F29" w:rsidRDefault="00394FE9" w:rsidP="00D84B2C">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СВПє обов’язковою стороною зазначеної категорії спорів, зокрема, з огляду наокреслений у межах даного дослідження характер предмету публічно-правового спору, який пов'язаний з оскарженням рішень, дій або бездіяльності останнього. </w:t>
      </w:r>
    </w:p>
    <w:p w:rsidR="00394FE9" w:rsidRPr="00EE6F29" w:rsidRDefault="00394FE9" w:rsidP="000266E7">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У науковій літературі, окрім питань щодо визначення поняття «суб’єкт владних повноважень», існує також наукова дискусія відносно переваги СВП перед фізичними та юридичними особами до початку розгляду справи. </w:t>
      </w:r>
    </w:p>
    <w:p w:rsidR="00394FE9" w:rsidRPr="00EE6F29" w:rsidRDefault="00394FE9" w:rsidP="00215A71">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З наукових праць вчених адміністративістів трапляються непоодинокідумки щодонаявності в публічно-правових спорахперевагиСВП над фізичними та юридичними особами. Наявність такої перевагиобґрунтовується науковцями за рядом типових ознак, що виражені у наступному:</w:t>
      </w:r>
    </w:p>
    <w:p w:rsidR="00394FE9" w:rsidRPr="00EE6F29" w:rsidRDefault="00394FE9" w:rsidP="00215A71">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 СВП, як державний орган, охоплює собою штат працівників, у тому числі юридичний відділ; </w:t>
      </w:r>
    </w:p>
    <w:p w:rsidR="00394FE9" w:rsidRPr="00EE6F29" w:rsidRDefault="00394FE9" w:rsidP="00215A71">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 більшість доказової бази знаходиться у СВП; </w:t>
      </w:r>
    </w:p>
    <w:p w:rsidR="00394FE9" w:rsidRPr="00EE6F29" w:rsidRDefault="00394FE9" w:rsidP="00215A71">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 наявність взаємодії одного державного органу з іншим; </w:t>
      </w:r>
    </w:p>
    <w:p w:rsidR="00394FE9" w:rsidRPr="00EE6F29" w:rsidRDefault="00394FE9" w:rsidP="00215A71">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наявність доступу до всіх державних реєстрів.</w:t>
      </w:r>
    </w:p>
    <w:p w:rsidR="00394FE9" w:rsidRPr="00EE6F29" w:rsidRDefault="00394FE9" w:rsidP="00E17B97">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Проте, вважаємо, що вищевказані науковцями ознаки не відповідають часу, у зв’язку з чим, погодитися у повній мірі з ними, в частині переваги СВП над фізичними або юридичними особами, в силу окреслених ознак не вбачається за можливе. На нашу думку, питому вагу на вирішення спірних правовідносин у публічно-правовому просторі в сучасних реаліях відіграє безпосередньо суд, який у свою чергу має важіль тиску на СВП.</w:t>
      </w:r>
    </w:p>
    <w:p w:rsidR="00394FE9" w:rsidRPr="00EE6F29" w:rsidRDefault="00394FE9" w:rsidP="00215A71">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Окрім того, СВП, який має у розпорядженні штат працівників та юридичний відділ також не відображає суттєву перевагу останнього над фізичними та юридичними особами про яку стверджують автори зазначеноїнаукової думки, оскільки кожний суб’єкт наділений правом на залучення представника щодо захисту своїх прав чи інтересів, або щодо отримання іншої правової допомоги (як приклад, консультативні послуги) відносно правомірності або протиправності дій чи бездіяльності, рішення СВП.</w:t>
      </w:r>
    </w:p>
    <w:p w:rsidR="00394FE9" w:rsidRPr="00EE6F29" w:rsidRDefault="00394FE9" w:rsidP="00215A71">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З огляду на що, все ж таки вбачається нерівність у вказаному аспекті, проте слід відмітити, що нерівність полягає безпосередньо у тому, що залучення на більш професійному рівні юристівздійснюється переважно фізичними або юридичними особами приватного права, оскільки такі послуги сплачуються останніми за власні кошти та відповідно до реальної ціни ринку юридичних послуг, які не в змозі через ряд очевидних факторів забезпечити СВП.</w:t>
      </w:r>
    </w:p>
    <w:p w:rsidR="00394FE9" w:rsidRPr="00EE6F29" w:rsidRDefault="00394FE9" w:rsidP="00215A71">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У свою чергу, СВП використовує правову допомогу юридичного відділу, при цьому штат працівників якого, з огляду на людський фактор, пов'язаний з відсутністю мотивації, бажання до реалізації та забезпечення інтересів того чи іншого державного органу, окрім того, професійних навичок, тощо не надають жодної переваги СВП, а у деяких випадках,навпаки спричиняють шкоду інтересам останнього.</w:t>
      </w:r>
    </w:p>
    <w:p w:rsidR="00394FE9" w:rsidRPr="00EE6F29" w:rsidRDefault="00394FE9" w:rsidP="009B0587">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До викладеного, слід звернути увагу на цілком вагому тезуВ. В. Галунько, В. І. Курило, С. О. Короєд, О. Ю. Дрозд, І. В. Гиренко, які стверджують, що «з практичної площини ситуація за якою громадяни обирають представницьку владу, зумовлюють призначення останньою виконавчих органів, які схильні забувати своюфундаментальну засаду слугуватинародові України, з огляду на що,існують непоодинокі випадки задоволення особистих забаганок та близького оточення, попри інтереси суспільства» [30, с. 6].</w:t>
      </w:r>
    </w:p>
    <w:p w:rsidR="00394FE9" w:rsidRPr="00EE6F29" w:rsidRDefault="00394FE9" w:rsidP="00A818ED">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Окрім того, п. 2 та п. 4 ст. 2 КАС України є «гарантомзасадирівності усіх учасників судового процесу перед законом і судом; змагальності сторін, диспозитивності та офіційного з’ясування всіх обставин у справі, що також позбавляє переваги СВП над фізичними або юридичними особам в ході розгляду справи, крім того, забезпечує відсутність обмежень та надання переваг з боку суду учасникам процесу щодо реалізації їх матеріальних та процесуальних прав, а також застосування законів щодо правовідносин, учасниками яких вони є» [31, с. 58-59].</w:t>
      </w:r>
    </w:p>
    <w:p w:rsidR="00394FE9" w:rsidRPr="00EE6F29" w:rsidRDefault="00394FE9" w:rsidP="00B10041">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Таким чином, законодавцем передбачено можливі механізми, способи дій, а також, фундаментальні засади відповідно до яких скаржник та суб’єкт владних повноважень перебувають на одній площині з відсутністю переваг як до одної, так й до іншої сторони в ході судового провадження, що, нажаль, не можна сказати про позасудове вирішення спору.</w:t>
      </w:r>
    </w:p>
    <w:p w:rsidR="00394FE9" w:rsidRPr="00EE6F29" w:rsidRDefault="00394FE9" w:rsidP="009B0587">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Отже, визначення поняття «суб’єкт владних повноважень» міститься у деяких нормативно-правових актах та передбачене у п. 7 ч. 1 ст. 4 КАС України [23], п. 1 ч. 1 ст. 13 ЗУ «Про доступ до публічної інформації» [32], п. 1 ч. 1 ст. 2 ЗУ «Про адміністративну процедуру» [33].</w:t>
      </w:r>
    </w:p>
    <w:p w:rsidR="00394FE9" w:rsidRPr="00EE6F29" w:rsidRDefault="00394FE9" w:rsidP="00D86759">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Відповідно до п. 7 ч. 1 ст. 4 КАС України встановлено, що «СВП є орган державної влади або місцевого самоврядування, посадова чи службова особа останніх, інший суб’єкт при здійсненні ними публічно-владних управлінський функцій на підставі законодавства, в тому числі на виконання делегованих повноважень, або наданні адміністративних послуг» [23]. </w:t>
      </w:r>
    </w:p>
    <w:p w:rsidR="00394FE9" w:rsidRPr="00EE6F29" w:rsidRDefault="00394FE9" w:rsidP="004F6155">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При цьому, у науковій літературі відносно запропонованої законодавцем та введеної останнім у КАС України дефініції відсутня єдність думок, зокрема щодо доцільності використання даної дефініції замість запропонованих іншими нормативно-правовими актами, а також відносно розмежування СВП на види. У зв’язку з чим, погоджуємось з висновком Рой О.В., яким зазначено, що «наразі можливість здійснити повний та всебічний аналіз такого поняття, як СВП через види суб’єктів не вбачається за можливе, оскільки законодавець передбачив категорію «інші суб’єкти», що у свою чергу не позбавляє зазначене поняття вичерпним переліком». [1, с. 55].</w:t>
      </w:r>
    </w:p>
    <w:p w:rsidR="00394FE9" w:rsidRPr="00EE6F29" w:rsidRDefault="00394FE9" w:rsidP="003D394B">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За аналізом наведеної п. 7 ч. 1 ст. 4 КАС України, суддею КАС у складі ВС – В. Безвенко запропоновано наступні ознаки СВП якими виокремлюється останній з поміж інших суб’єктів права:</w:t>
      </w:r>
    </w:p>
    <w:p w:rsidR="00394FE9" w:rsidRPr="00EE6F29" w:rsidRDefault="00394FE9" w:rsidP="003D394B">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 </w:t>
      </w:r>
      <w:r w:rsidRPr="00EE6F29">
        <w:rPr>
          <w:rFonts w:ascii="Times New Roman" w:hAnsi="Times New Roman" w:cs="Times New Roman"/>
          <w:i/>
          <w:sz w:val="28"/>
          <w:szCs w:val="28"/>
        </w:rPr>
        <w:t xml:space="preserve">наділений ознаками публічної влади. </w:t>
      </w:r>
      <w:r w:rsidRPr="00EE6F29">
        <w:rPr>
          <w:rFonts w:ascii="Times New Roman" w:hAnsi="Times New Roman" w:cs="Times New Roman"/>
          <w:sz w:val="28"/>
          <w:szCs w:val="28"/>
        </w:rPr>
        <w:t>З огляду на характеризуючи ознаки публічної влади, можемо констатувати, що під цією ознакою В. Бевзенко проводив паралель з тим, що СВП має повноваження впливати на поведінку людей, ухвалювати відповідні рішення. Крім того, характеризується визнаністю в суспільстві. Рішення СВП носять примусовий характер.</w:t>
      </w:r>
    </w:p>
    <w:p w:rsidR="00394FE9" w:rsidRPr="00EE6F29" w:rsidRDefault="00394FE9" w:rsidP="00984994">
      <w:pPr>
        <w:spacing w:after="0" w:line="360" w:lineRule="auto"/>
        <w:ind w:firstLine="567"/>
        <w:jc w:val="both"/>
        <w:rPr>
          <w:rFonts w:ascii="Times New Roman" w:hAnsi="Times New Roman" w:cs="Times New Roman"/>
          <w:i/>
          <w:sz w:val="28"/>
          <w:szCs w:val="28"/>
        </w:rPr>
      </w:pPr>
      <w:r w:rsidRPr="00EE6F29">
        <w:rPr>
          <w:rFonts w:ascii="Times New Roman" w:hAnsi="Times New Roman" w:cs="Times New Roman"/>
          <w:i/>
          <w:sz w:val="28"/>
          <w:szCs w:val="28"/>
        </w:rPr>
        <w:t>- діє у межах, на підставі та спосіб, встановлені до вимог Закону;</w:t>
      </w:r>
    </w:p>
    <w:p w:rsidR="00394FE9" w:rsidRPr="00EE6F29" w:rsidRDefault="00394FE9" w:rsidP="004F6155">
      <w:pPr>
        <w:spacing w:after="0" w:line="360" w:lineRule="auto"/>
        <w:ind w:firstLine="567"/>
        <w:jc w:val="both"/>
        <w:rPr>
          <w:rFonts w:ascii="Times New Roman" w:hAnsi="Times New Roman" w:cs="Times New Roman"/>
          <w:i/>
          <w:sz w:val="28"/>
          <w:szCs w:val="28"/>
        </w:rPr>
      </w:pPr>
      <w:r w:rsidRPr="00EE6F29">
        <w:rPr>
          <w:rFonts w:ascii="Times New Roman" w:hAnsi="Times New Roman" w:cs="Times New Roman"/>
          <w:i/>
          <w:sz w:val="28"/>
          <w:szCs w:val="28"/>
        </w:rPr>
        <w:t xml:space="preserve">- уповноважений застосовувати інструменти публічного адміністрування ( рішення, дії, бездіяльність). </w:t>
      </w:r>
    </w:p>
    <w:p w:rsidR="00394FE9" w:rsidRPr="00EE6F29" w:rsidRDefault="00394FE9" w:rsidP="00DE4099">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При цьому, В. Бевзенко надав наступну класифікацію СВП в публічно-правовому спорі:</w:t>
      </w:r>
    </w:p>
    <w:p w:rsidR="00394FE9" w:rsidRPr="00EE6F29" w:rsidRDefault="00394FE9" w:rsidP="00DE4099">
      <w:pPr>
        <w:spacing w:after="0" w:line="360" w:lineRule="auto"/>
        <w:ind w:firstLine="567"/>
        <w:jc w:val="both"/>
        <w:rPr>
          <w:rFonts w:ascii="Times New Roman" w:hAnsi="Times New Roman" w:cs="Times New Roman"/>
          <w:i/>
          <w:sz w:val="28"/>
          <w:szCs w:val="28"/>
        </w:rPr>
      </w:pPr>
      <w:r w:rsidRPr="00EE6F29">
        <w:rPr>
          <w:rFonts w:ascii="Times New Roman" w:hAnsi="Times New Roman" w:cs="Times New Roman"/>
          <w:i/>
          <w:sz w:val="28"/>
          <w:szCs w:val="28"/>
        </w:rPr>
        <w:t>1. В залежності від характерної правової ієрархічності розрізняють:</w:t>
      </w:r>
    </w:p>
    <w:p w:rsidR="00394FE9" w:rsidRPr="00EE6F29" w:rsidRDefault="00394FE9" w:rsidP="00DE4099">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органи виконавчої влади;</w:t>
      </w:r>
    </w:p>
    <w:p w:rsidR="00394FE9" w:rsidRPr="00EE6F29" w:rsidRDefault="00394FE9" w:rsidP="00DE4099">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органи АРК;</w:t>
      </w:r>
    </w:p>
    <w:p w:rsidR="00394FE9" w:rsidRPr="00EE6F29" w:rsidRDefault="00394FE9" w:rsidP="00DE4099">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органи місцевого самоврядування;</w:t>
      </w:r>
    </w:p>
    <w:p w:rsidR="00394FE9" w:rsidRPr="00EE6F29" w:rsidRDefault="00394FE9" w:rsidP="00DE4099">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суб’єкти делегованих повноважень.</w:t>
      </w:r>
    </w:p>
    <w:p w:rsidR="00394FE9" w:rsidRPr="00EE6F29" w:rsidRDefault="00394FE9" w:rsidP="00DE4099">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посадові і службові особи органів державної влади, органів влади Автономної Республіки Крим, органів місцевого самоврядування;</w:t>
      </w:r>
    </w:p>
    <w:p w:rsidR="00394FE9" w:rsidRPr="00EE6F29" w:rsidRDefault="00394FE9" w:rsidP="00DE4099">
      <w:pPr>
        <w:spacing w:after="0" w:line="360" w:lineRule="auto"/>
        <w:ind w:firstLine="567"/>
        <w:jc w:val="both"/>
        <w:rPr>
          <w:rFonts w:ascii="Times New Roman" w:hAnsi="Times New Roman" w:cs="Times New Roman"/>
          <w:i/>
          <w:sz w:val="28"/>
          <w:szCs w:val="28"/>
        </w:rPr>
      </w:pPr>
      <w:r w:rsidRPr="00EE6F29">
        <w:rPr>
          <w:rFonts w:ascii="Times New Roman" w:hAnsi="Times New Roman" w:cs="Times New Roman"/>
          <w:i/>
          <w:sz w:val="28"/>
          <w:szCs w:val="28"/>
        </w:rPr>
        <w:t>2. В залежності від правового статусу юридичної особи розрізняють:</w:t>
      </w:r>
    </w:p>
    <w:p w:rsidR="00394FE9" w:rsidRPr="00EE6F29" w:rsidRDefault="00394FE9" w:rsidP="00DE4099">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зі статусом юридичної особи. Наприклад, прокуратура, НАБУ, національні комісії регулювання природних монополій, ВРП, ВККС України.</w:t>
      </w:r>
    </w:p>
    <w:p w:rsidR="00394FE9" w:rsidRPr="00EE6F29" w:rsidRDefault="00394FE9" w:rsidP="00DC222C">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без статусу юридичної особи. Наприклад, органи суддівського самоврядування, МСЕК, атестаційна комісія. У свою чергу, такі СВП можуть виконувати свої повноваження самостійно (МСЕК) або перебуваючи у структурі іншого СВП (Дисциплінарна палата ВРП).</w:t>
      </w:r>
    </w:p>
    <w:p w:rsidR="00394FE9" w:rsidRPr="00EE6F29" w:rsidRDefault="00394FE9" w:rsidP="008B1018">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індивідуальні суб’єкти. Наприклад, публічні службовці (п. 17 ч. 1 ст. 4 КАС України), адвокати, нотаріуси, інспектори з паркування тощо [34].</w:t>
      </w:r>
    </w:p>
    <w:p w:rsidR="00394FE9" w:rsidRPr="00EE6F29" w:rsidRDefault="00394FE9" w:rsidP="009045DA">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З огляду на безпосередній об’єкт нашого дослідженнящодо«публічно-правових спорів, пов'язаних із оскарженням рішень СВПу сфері адміністративно-деліктних правовідносин», необхідним є також зазначення класифікації суб’єктів в залежності від повноважень розгляду справ про адміністративні правопорушення, відповідно до ст. 213 КУпАП такими СВП є:</w:t>
      </w:r>
    </w:p>
    <w:p w:rsidR="00394FE9" w:rsidRPr="00EE6F29" w:rsidRDefault="00394FE9" w:rsidP="00576402">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i/>
          <w:sz w:val="28"/>
          <w:szCs w:val="28"/>
        </w:rPr>
        <w:t xml:space="preserve">1) «адміністративні комісії при виконавчих комітетах сільських, селищних, міських рад» </w:t>
      </w:r>
      <w:r w:rsidRPr="00EE6F29">
        <w:rPr>
          <w:rFonts w:ascii="Times New Roman" w:hAnsi="Times New Roman" w:cs="Times New Roman"/>
          <w:sz w:val="28"/>
          <w:szCs w:val="28"/>
        </w:rPr>
        <w:t>[35]</w:t>
      </w:r>
      <w:r w:rsidRPr="00EE6F29">
        <w:rPr>
          <w:rFonts w:ascii="Times New Roman" w:hAnsi="Times New Roman" w:cs="Times New Roman"/>
          <w:i/>
          <w:sz w:val="28"/>
          <w:szCs w:val="28"/>
        </w:rPr>
        <w:t>,</w:t>
      </w:r>
      <w:r w:rsidRPr="00EE6F29">
        <w:rPr>
          <w:rFonts w:ascii="Times New Roman" w:hAnsi="Times New Roman" w:cs="Times New Roman"/>
          <w:sz w:val="28"/>
          <w:szCs w:val="28"/>
        </w:rPr>
        <w:t>які утворюються органами місцевого самоврядування у складі: голова, заступник голови, секретар, та є повноважними за наявністю не менше 6 членів комісії.</w:t>
      </w:r>
    </w:p>
    <w:p w:rsidR="00394FE9" w:rsidRPr="00EE6F29" w:rsidRDefault="00394FE9" w:rsidP="00A5068A">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Окрім того, порядок створення, склад та завдання комісій визначається не тільки КУпАП, але й ЗУ «Про місцеве самоврядування», доцільно також звернути увагу, що з 21.04.2024 року Положення про адміністративні комісії України не застосовується, через набуття чинності ЗУ «Про де радянізацію законодавства України». </w:t>
      </w:r>
    </w:p>
    <w:p w:rsidR="00394FE9" w:rsidRPr="00EE6F29" w:rsidRDefault="00394FE9" w:rsidP="004969A1">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Адміністративні комісії при виконавчих комітетах районних у містах рад утворюються у тому випадку, коли міською радою надаються відповідні повноваження районній у місті раді та виконавчому комітету останньої.</w:t>
      </w:r>
    </w:p>
    <w:p w:rsidR="00394FE9" w:rsidRPr="00EE6F29" w:rsidRDefault="00394FE9" w:rsidP="005A13C3">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Відповідно до ст. 214 КУпАП «адміністративні комісії вирішують усі справи про адміністративні правопорушення, за винятком віднесених до відання інших органів» [35].</w:t>
      </w:r>
    </w:p>
    <w:p w:rsidR="00394FE9" w:rsidRPr="00EE6F29" w:rsidRDefault="00394FE9" w:rsidP="00AD67EC">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i/>
          <w:sz w:val="28"/>
          <w:szCs w:val="28"/>
        </w:rPr>
        <w:t xml:space="preserve">2) «виконавчі комітети сільські, селищні, міські ради та їх посадові особи, уповноваженіКУпАП» </w:t>
      </w:r>
      <w:r w:rsidRPr="00EE6F29">
        <w:rPr>
          <w:rFonts w:ascii="Times New Roman" w:hAnsi="Times New Roman" w:cs="Times New Roman"/>
          <w:sz w:val="28"/>
          <w:szCs w:val="28"/>
        </w:rPr>
        <w:t>[35]</w:t>
      </w:r>
      <w:r w:rsidRPr="00EE6F29">
        <w:rPr>
          <w:rFonts w:ascii="Times New Roman" w:hAnsi="Times New Roman" w:cs="Times New Roman"/>
          <w:i/>
          <w:sz w:val="28"/>
          <w:szCs w:val="28"/>
        </w:rPr>
        <w:t>.</w:t>
      </w:r>
      <w:r w:rsidRPr="00EE6F29">
        <w:rPr>
          <w:rFonts w:ascii="Times New Roman" w:hAnsi="Times New Roman" w:cs="Times New Roman"/>
          <w:sz w:val="28"/>
          <w:szCs w:val="28"/>
        </w:rPr>
        <w:t>На відміну від адміністративних комісій з аналізу ч. 2 ст. 214 КУпАП вбачається, щозаконодавець за виконавчими комітетами закріпив компетенцію на розглядобмеженого коло справ про адміністративні правопорушення.</w:t>
      </w:r>
    </w:p>
    <w:p w:rsidR="00394FE9" w:rsidRPr="00EE6F29" w:rsidRDefault="00394FE9" w:rsidP="00AD67EC">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Проаналізувавши зміст статті 219 КУпАП України «до компетенції виконавчих комітетів сільських, селищних, міських рад на розгляд справ про адміністративні правопорушення віднесено справи, передбачені:у частині порушення правил зупинки, стоянки транспортних засобів у межах відповідного населеного пункту, зафіксованого в режимі фотозйомки (відеозапису),за порушення, вчинені у місцях, заборонених рішенням відповідної сільської, селищної, міської ради» [35].</w:t>
      </w:r>
    </w:p>
    <w:p w:rsidR="00394FE9" w:rsidRPr="00EE6F29" w:rsidRDefault="00394FE9" w:rsidP="00C26EFD">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Законодавцем також передбачено виключні випадки щодо можливості розгляду справ про адміністративні правопорушення від імені виконавчих комітетів. Так, зі змісту ч. 2-4 ст. 219 КУпАП вбачається певна альтернатива (заміщення одного органу на інший):</w:t>
      </w:r>
    </w:p>
    <w:p w:rsidR="00394FE9" w:rsidRPr="00EE6F29" w:rsidRDefault="00394FE9" w:rsidP="005208BA">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 «коли в населених пунктах не створено виконавчих комітетів, розглядати справи про адміністративні правопорушення, передбачені ст. 197, 198 КУпАП мають право адміністратори центрів надання адміністративних послуг. При цьому, виключно при накладенні адміністративного стягнення у вигляді попередження в ЦНАП». </w:t>
      </w:r>
    </w:p>
    <w:p w:rsidR="00394FE9" w:rsidRPr="00EE6F29" w:rsidRDefault="00394FE9" w:rsidP="005208BA">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«коли у населених пунктах не створено виконавчих комітетів розглядати справи про адміністративні правопорушення, передбачені ч. 1, 3 та 7 ст. 122, ч. 1-2 та 8 ст. 152-1 КУпАП, з правом накладання адміністративного стягнення віднесено до компетенції виконавчих комітетів (органів) сільської, селищної, міської ради, їх посадовим особам – інспекторам з паркування».</w:t>
      </w:r>
    </w:p>
    <w:p w:rsidR="00394FE9" w:rsidRPr="00EE6F29" w:rsidRDefault="00394FE9" w:rsidP="00582F64">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«коли виконавчі комітети розглядають справи про адміністративні правопорушення, передбачені ч. 2 ст. 52, ст. 53, 53-1, 54, ч. 1 ст. 56, ст. 188-56, накладати адміністративні стягнення мають право посадові особи тих виконавчих комітетів, які уповноважені здійснювати державний контроль за використанням та охороною земель, тобто державні інспектори з контролю за використанням та охороною земель» [35].</w:t>
      </w:r>
    </w:p>
    <w:p w:rsidR="00394FE9" w:rsidRPr="00EE6F29" w:rsidRDefault="00394FE9" w:rsidP="00AD67EC">
      <w:pPr>
        <w:spacing w:after="0" w:line="360" w:lineRule="auto"/>
        <w:ind w:firstLine="567"/>
        <w:jc w:val="both"/>
        <w:rPr>
          <w:rFonts w:ascii="Times New Roman" w:hAnsi="Times New Roman" w:cs="Times New Roman"/>
          <w:i/>
          <w:sz w:val="28"/>
          <w:szCs w:val="28"/>
        </w:rPr>
      </w:pPr>
      <w:r w:rsidRPr="00EE6F29">
        <w:rPr>
          <w:rFonts w:ascii="Times New Roman" w:hAnsi="Times New Roman" w:cs="Times New Roman"/>
          <w:i/>
          <w:sz w:val="28"/>
          <w:szCs w:val="28"/>
        </w:rPr>
        <w:t>3) «районні, районні у місті, міські чи міськрайонні суди (судді), місці адміністративні та господарські суди, апеляційні суди, вищі спеціалізовані суди, Верховний Суд»</w:t>
      </w:r>
      <w:r w:rsidRPr="00EE6F29">
        <w:rPr>
          <w:rFonts w:ascii="Times New Roman" w:hAnsi="Times New Roman" w:cs="Times New Roman"/>
          <w:sz w:val="28"/>
          <w:szCs w:val="28"/>
        </w:rPr>
        <w:t xml:space="preserve"> [35]</w:t>
      </w:r>
      <w:r w:rsidRPr="00EE6F29">
        <w:rPr>
          <w:rFonts w:ascii="Times New Roman" w:hAnsi="Times New Roman" w:cs="Times New Roman"/>
          <w:i/>
          <w:sz w:val="28"/>
          <w:szCs w:val="28"/>
        </w:rPr>
        <w:t>;</w:t>
      </w:r>
    </w:p>
    <w:p w:rsidR="00394FE9" w:rsidRPr="00EE6F29" w:rsidRDefault="00394FE9" w:rsidP="00D60250">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Різниця між розглядом справ про адміністративні правопорушення, які підвідомчі виконавчим комітетам, адміністративним комісіям та розглядом справ про адміністративні правопорушення, підвідомчі судам полягає у ступені важкості адміністративних проступків, за які передбачено більш тяжкі санкції для правопорушника.</w:t>
      </w:r>
    </w:p>
    <w:p w:rsidR="00394FE9" w:rsidRPr="00EE6F29" w:rsidRDefault="00394FE9" w:rsidP="00D60250">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Суд може накласти на правопорушника штраф у підвищеному розмірі, здійснити вилучення транспортних засобів, конфіскацію, призначити виправні або громадські роботи, застосувати відносно останнього адміністративний арешт.</w:t>
      </w:r>
    </w:p>
    <w:p w:rsidR="00394FE9" w:rsidRPr="00EE6F29" w:rsidRDefault="00394FE9" w:rsidP="00C75626">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Саме суду підвідомчі справи про адміністративні правопорушенні, які вчинені неповнолітніми особами (ст. 221 КУпАП) (розгляд даної категорії справ здійснюється спеціально уповноваженими суддями (складом суддів) за участю представників служб у справах дітей) та адміністративні правопорушення, пов’язані з корупцією(крім справ про адміністративні правопорушення, пов’язані з невиконанням законних вимог державного виконавця).</w:t>
      </w:r>
    </w:p>
    <w:p w:rsidR="00394FE9" w:rsidRPr="00EE6F29" w:rsidRDefault="00394FE9" w:rsidP="006E562D">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Окрім того, законодавець передбачив у ст. 221-1 КУпАП розгляд судами будь-яких інстанцій, юрисдикцій справ за ст. 185-3 (прояв не поваги до суду або Конституційного Суду України), окрім того, вказана норма регламентує також і порядок розгляду даної категорії адміністративних правопорушень.</w:t>
      </w:r>
    </w:p>
    <w:p w:rsidR="00394FE9" w:rsidRPr="00EE6F29" w:rsidRDefault="00394FE9" w:rsidP="00574769">
      <w:pPr>
        <w:spacing w:after="0" w:line="360" w:lineRule="auto"/>
        <w:ind w:firstLine="567"/>
        <w:jc w:val="both"/>
        <w:rPr>
          <w:rFonts w:ascii="Times New Roman" w:hAnsi="Times New Roman" w:cs="Times New Roman"/>
          <w:i/>
          <w:sz w:val="28"/>
          <w:szCs w:val="28"/>
        </w:rPr>
      </w:pPr>
      <w:r w:rsidRPr="00EE6F29">
        <w:rPr>
          <w:rFonts w:ascii="Times New Roman" w:hAnsi="Times New Roman" w:cs="Times New Roman"/>
          <w:i/>
          <w:sz w:val="28"/>
          <w:szCs w:val="28"/>
        </w:rPr>
        <w:t>4) «органи Національні поліції, органи державних інспекцій та інші органи (посадові особи), уповноважені КУпАП»</w:t>
      </w:r>
      <w:r w:rsidRPr="00EE6F29">
        <w:rPr>
          <w:rFonts w:ascii="Times New Roman" w:hAnsi="Times New Roman" w:cs="Times New Roman"/>
          <w:sz w:val="28"/>
          <w:szCs w:val="28"/>
        </w:rPr>
        <w:t xml:space="preserve"> [35]</w:t>
      </w:r>
      <w:r w:rsidRPr="00EE6F29">
        <w:rPr>
          <w:rFonts w:ascii="Times New Roman" w:hAnsi="Times New Roman" w:cs="Times New Roman"/>
          <w:i/>
          <w:sz w:val="28"/>
          <w:szCs w:val="28"/>
        </w:rPr>
        <w:t>.</w:t>
      </w:r>
    </w:p>
    <w:p w:rsidR="00394FE9" w:rsidRPr="00EE6F29" w:rsidRDefault="00394FE9" w:rsidP="000E2939">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Редакція КУпАП на момент здійснення предмету дослідження даної дипломної роботи врегульовує значну групу уповноважених цим кодексомСВП на розгляд справ про адміністративні правопорушення. Перелік таких суб’єктів, передбачений статтями 222 – 244-23 КУпАП та розташований у ієрархічній послідовності від найбільш тяжких до найменш тяжкихсуспільно небезпечних наслідків.</w:t>
      </w:r>
    </w:p>
    <w:p w:rsidR="00394FE9" w:rsidRPr="00EE6F29" w:rsidRDefault="00394FE9" w:rsidP="00A84C6E">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З огляду на що, вбачається досить широкий перелік тих СВП, які в силу дії приписів КУпАП уповноважені розглядати справи про адміністративні правопорушення.</w:t>
      </w:r>
    </w:p>
    <w:p w:rsidR="00394FE9" w:rsidRPr="00EE6F29" w:rsidRDefault="00394FE9" w:rsidP="001D122C">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Переважна кількість справ про адміністративні правопорушення входить безпосередньо до відома органів внутрішніх справ, від імені останніх розглядають справи про адміністративні правопорушення і накладають адміністративні стягнення начальники або їх заступники відділів внутрішніх справ. Окрім того, повноваженнями наділені начальники лінійних пунктів, дільничні інспектори та інші працівники органів внутрішніх справ.</w:t>
      </w:r>
    </w:p>
    <w:p w:rsidR="00394FE9" w:rsidRPr="00EE6F29" w:rsidRDefault="00394FE9" w:rsidP="001D122C">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Перелік органів уповноважених на розгляд справ про адміністративні правопорушення, віднесені до даної групи (крім органів внутрішніх справ) здійснюють свої повноваження відповідно до чинного законодавства України та положень, які регулюють порядок функціонування, формування, з переліком необхідного обсягу повноважень та компетенції останніх [35].</w:t>
      </w:r>
    </w:p>
    <w:p w:rsidR="00394FE9" w:rsidRPr="00EE6F29" w:rsidRDefault="00394FE9" w:rsidP="00A5068A">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У свою чергу, стаття 217 КУпАП передбачає, що «посадові особи, яких уповноважено на розгляд справ про адміністративні правопорушення, можуть діяти в обсязі наданих повноважень та виключно в ході виконання останніми службових обов’язків» [35].</w:t>
      </w:r>
    </w:p>
    <w:p w:rsidR="00394FE9" w:rsidRPr="00EE6F29" w:rsidRDefault="00394FE9" w:rsidP="00A5068A">
      <w:pPr>
        <w:widowControl w:val="0"/>
        <w:autoSpaceDE w:val="0"/>
        <w:autoSpaceDN w:val="0"/>
        <w:adjustRightInd w:val="0"/>
        <w:spacing w:after="0" w:line="360" w:lineRule="auto"/>
        <w:jc w:val="both"/>
        <w:rPr>
          <w:rFonts w:ascii="Times New Roman" w:hAnsi="Times New Roman" w:cs="Times New Roman"/>
          <w:b/>
          <w:bCs/>
          <w:sz w:val="28"/>
          <w:szCs w:val="28"/>
        </w:rPr>
      </w:pPr>
    </w:p>
    <w:p w:rsidR="00394FE9" w:rsidRPr="00EE6F29" w:rsidRDefault="00394FE9" w:rsidP="00634471">
      <w:pPr>
        <w:pStyle w:val="Heading2"/>
        <w:ind w:firstLine="567"/>
        <w:rPr>
          <w:rFonts w:ascii="Times New Roman" w:hAnsi="Times New Roman"/>
          <w:b/>
          <w:bCs/>
          <w:color w:val="auto"/>
          <w:sz w:val="28"/>
          <w:szCs w:val="28"/>
        </w:rPr>
      </w:pPr>
      <w:bookmarkStart w:id="5" w:name="_Toc179215265"/>
      <w:r w:rsidRPr="00EE6F29">
        <w:rPr>
          <w:rFonts w:ascii="Times New Roman" w:hAnsi="Times New Roman"/>
          <w:b/>
          <w:bCs/>
          <w:color w:val="auto"/>
          <w:sz w:val="28"/>
          <w:szCs w:val="28"/>
        </w:rPr>
        <w:t>Висновки до розділу 1</w:t>
      </w:r>
      <w:bookmarkEnd w:id="5"/>
    </w:p>
    <w:p w:rsidR="00394FE9" w:rsidRPr="00EE6F29" w:rsidRDefault="00394FE9" w:rsidP="00A5068A">
      <w:pPr>
        <w:widowControl w:val="0"/>
        <w:autoSpaceDE w:val="0"/>
        <w:autoSpaceDN w:val="0"/>
        <w:adjustRightInd w:val="0"/>
        <w:spacing w:after="0" w:line="360" w:lineRule="auto"/>
        <w:ind w:firstLine="567"/>
        <w:jc w:val="both"/>
        <w:rPr>
          <w:rFonts w:ascii="Times New Roman" w:hAnsi="Times New Roman" w:cs="Times New Roman"/>
          <w:b/>
          <w:bCs/>
          <w:sz w:val="28"/>
          <w:szCs w:val="28"/>
        </w:rPr>
      </w:pPr>
    </w:p>
    <w:p w:rsidR="00394FE9" w:rsidRPr="00EE6F29" w:rsidRDefault="00394FE9" w:rsidP="007A0059">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З врахуванням вищевикладеного, можемо дійти до наступних висновків. По-перше, категорія «публічно-правовий спір» започаткувала собою предмет дискусій та науковий теорій лише у ХІХ ст., саме у цей період почали з’являтися перші наукові праці та найбільш за своєю суттю схожі на теперішні механізми оскарження рішень або дій органів влади. Україна під перебуваючи у складі тих чи інших європейських державах поступово переймала досвід їх науковців. Проте, внаслідок панування на території України радянської влади, держава потрапила у режим «стагнації» втративши на певний період часу можливість опановувати нові ідеї та концепції, наукові думки та досліджень публічно-правових відносин, які б на сьогоднішній день надали змогу вирішити більше актуальних проблем сучасного адміністративного судочинства.</w:t>
      </w:r>
    </w:p>
    <w:p w:rsidR="00394FE9" w:rsidRPr="00EE6F29" w:rsidRDefault="00394FE9" w:rsidP="00212BBD">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По-друге, розуміння публічно-правового спору розкривається за допомогою тих елементів, які охопленні останнім, а саме його суб’єктним складом та предметом. </w:t>
      </w:r>
    </w:p>
    <w:p w:rsidR="00394FE9" w:rsidRPr="00EE6F29" w:rsidRDefault="00394FE9" w:rsidP="001D537D">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Для того щоб спір вважався «публічно-правовим»,необхідна наявністьхоча б одного СВП, як обов’язкової ознаки, що притаманна даній категорії спорів.</w:t>
      </w:r>
    </w:p>
    <w:p w:rsidR="00394FE9" w:rsidRPr="00EE6F29" w:rsidRDefault="00394FE9" w:rsidP="001D537D">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У свою чергу, предмет публічно-правового спору становлять рішення (за формою вираження є нормативно-правовими або актами індивідуальної дії), дії або бездіяльністьСВП, через протиправність яких було зумовлено порушення прав, свобод чи інтересів особи, якій відповідно до сили приписів КАС України, Конституції України та інших нормативно-правових актів, що регулюють кожний конкретний випадок тих чи інших спірних правовідносин гарантовано право на звернення до адміністративного суду з метою захисту від протиправних дій, бездіяльності або рішень з боку СВП.</w:t>
      </w:r>
    </w:p>
    <w:p w:rsidR="00394FE9" w:rsidRPr="00EE6F29" w:rsidRDefault="00394FE9" w:rsidP="00440300">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По-третє, вважаємо хибними думки деяких авторів відносно переваги суб’єкта владних повноважень над фізичними або юридичними особами. На нашу думку та, враховуючи безпосередній предмет даного дипломного дослідження, питому вагу на вирішення спірних правовідносин у публічно-правовому просторі відіграє безпосередньо суд, який у свою чергу має важіль тиску на СВП, забезпечуючи рівність, справедливість та законністьв ході розгляду справ.</w:t>
      </w:r>
    </w:p>
    <w:p w:rsidR="00394FE9" w:rsidRPr="00EE6F29" w:rsidRDefault="00394FE9" w:rsidP="001D537D">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По-четверте, СВП у контексті досліджуваної категорії справ на стороні відповідачівє «органи (посадові особи), уповноважені розглядати справи про адміністративні правопорушення».</w:t>
      </w:r>
    </w:p>
    <w:p w:rsidR="00394FE9" w:rsidRPr="00EE6F29" w:rsidRDefault="00394FE9" w:rsidP="00634471">
      <w:pPr>
        <w:pStyle w:val="Heading1"/>
        <w:pageBreakBefore/>
        <w:jc w:val="center"/>
        <w:rPr>
          <w:rFonts w:ascii="Times New Roman" w:hAnsi="Times New Roman"/>
          <w:b/>
          <w:bCs/>
          <w:color w:val="auto"/>
          <w:sz w:val="28"/>
          <w:szCs w:val="28"/>
        </w:rPr>
      </w:pPr>
      <w:bookmarkStart w:id="6" w:name="_Toc179215266"/>
      <w:r w:rsidRPr="00EE6F29">
        <w:rPr>
          <w:rFonts w:ascii="Times New Roman" w:hAnsi="Times New Roman"/>
          <w:b/>
          <w:bCs/>
          <w:color w:val="auto"/>
          <w:sz w:val="28"/>
          <w:szCs w:val="28"/>
        </w:rPr>
        <w:t>РОЗДІЛ 2. РОЗГЛЯД ПУБЛІЧНО-ПРАВОВИХ СПОРІВ ЩОДО ОСКАРЖЕННЯ РІШЕНЬ СУБ'ЄКТІВ ВЛАДНИХ ПОВНОВАЖЕНЬ У СФЕРІ АДМІНІСТРАТИВНО-ДЕЛІКТНИХ ПРАВОВІДНОСИН</w:t>
      </w:r>
      <w:bookmarkEnd w:id="6"/>
    </w:p>
    <w:p w:rsidR="00394FE9" w:rsidRPr="00EE6F29" w:rsidRDefault="00394FE9" w:rsidP="00AE5A7E">
      <w:pPr>
        <w:pStyle w:val="BodyText"/>
        <w:ind w:firstLine="567"/>
        <w:jc w:val="both"/>
        <w:rPr>
          <w:rFonts w:ascii="Times New Roman" w:hAnsi="Times New Roman"/>
          <w:b/>
          <w:bCs/>
          <w:sz w:val="28"/>
          <w:szCs w:val="28"/>
        </w:rPr>
      </w:pPr>
    </w:p>
    <w:p w:rsidR="00394FE9" w:rsidRPr="00EE6F29" w:rsidRDefault="00394FE9" w:rsidP="00634471">
      <w:pPr>
        <w:pStyle w:val="BodyText"/>
        <w:spacing w:line="276" w:lineRule="auto"/>
        <w:ind w:firstLine="567"/>
        <w:jc w:val="both"/>
        <w:outlineLvl w:val="1"/>
        <w:rPr>
          <w:rFonts w:ascii="Times New Roman" w:hAnsi="Times New Roman"/>
          <w:b/>
          <w:bCs/>
          <w:sz w:val="28"/>
          <w:szCs w:val="28"/>
        </w:rPr>
      </w:pPr>
      <w:bookmarkStart w:id="7" w:name="_Toc179215267"/>
      <w:r w:rsidRPr="00EE6F29">
        <w:rPr>
          <w:rFonts w:ascii="Times New Roman" w:hAnsi="Times New Roman"/>
          <w:b/>
          <w:bCs/>
          <w:sz w:val="28"/>
          <w:szCs w:val="28"/>
        </w:rPr>
        <w:t>2.1.  Нормативно-правові та індивідуальні акти суб’єктів владних повноважень як предмет публічно-правового спору, пов’язаний з притягненням осіб до адміністративної відповідальності.</w:t>
      </w:r>
      <w:bookmarkEnd w:id="7"/>
    </w:p>
    <w:p w:rsidR="00394FE9" w:rsidRPr="00EE6F29" w:rsidRDefault="00394FE9" w:rsidP="00AE5A7E">
      <w:pPr>
        <w:pStyle w:val="BodyText"/>
        <w:ind w:firstLine="567"/>
        <w:jc w:val="both"/>
        <w:rPr>
          <w:rFonts w:ascii="Times New Roman" w:hAnsi="Times New Roman"/>
          <w:b/>
          <w:bCs/>
          <w:sz w:val="28"/>
          <w:szCs w:val="28"/>
        </w:rPr>
      </w:pPr>
    </w:p>
    <w:p w:rsidR="00394FE9" w:rsidRPr="00EE6F29" w:rsidRDefault="00394FE9" w:rsidP="001D122C">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Нормативно-правові акти посідають фундаментальну роль в усіх сферах життя суспільства, а також, у політичній формі виразу демократичної влади держави в усіх її галузях та напрямах.</w:t>
      </w:r>
    </w:p>
    <w:p w:rsidR="00394FE9" w:rsidRPr="00EE6F29" w:rsidRDefault="00394FE9" w:rsidP="005040B0">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З часів набуття незалежності України, держава збагатила свою національно-правову систему багатьма різноманітними нормативно-правовими актами, більшість з яких залишаються актуальними по сей день. Окрім того, тенденція розвитку нормативно-правових актів України підвищилась з огляду на пріоритетну необхідність врегулювання тих чи інших правовідносин пов’язаних з військовим станом, внаслідок збройної агресії РФ проти України, а також, з метою врегулювання суспільних відносин, забезпечуючи мінімізаціютих чи інших правопорушеньтяжкістю правових наслідків до винних осіб.</w:t>
      </w:r>
    </w:p>
    <w:p w:rsidR="00394FE9" w:rsidRPr="00EE6F29" w:rsidRDefault="00394FE9" w:rsidP="005040B0">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У зв’язку з чим, можемо констатувати, що ажіотаж до законодавчих дій відносно внесення змін до більшості нормативно-правових актів припадає безпосередньо на 2022 рік, наприклад це стосується ЗУ «Про військовий обов’язок та військову службу», з яким також пов’язановнесення чисельних змін до КАС України та КК України. За наслідком внесення відповідних змін до вказаного Закону, ст. 210-1 КУпАП, яка є нормою прив’язкою покликаною на забезпечення виконання вимог ЗУ «Про військовий обов’язок та військову службу» охоплює все більше і більше нових випадків адміністративних правопорушень, які подалі оскаржуються в адміністративному судочинстві.</w:t>
      </w:r>
    </w:p>
    <w:p w:rsidR="00394FE9" w:rsidRPr="00EE6F29" w:rsidRDefault="00394FE9" w:rsidP="005040B0">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Проте необхідним в межах даної дипломної роботи провести аналіз як індивідуально-правових актів, так й нормативно-правових актів суб’єктіввладних повноважень, з метою вивчення розмежування даних категорій з практичного та теоретичного поля зору, а також, класифікувати їх та розмежувати, зокрема приділити увагу деліктним індивідуально-правовим актам для подальшої змоги розкриття правових підстав їх оскарження, юрисдикційних відмінностей тощо.</w:t>
      </w:r>
    </w:p>
    <w:p w:rsidR="00394FE9" w:rsidRPr="00EE6F29" w:rsidRDefault="00394FE9" w:rsidP="005040B0">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Пархоменко Н.М. зазначав, що «нормативно-правовий акт – це прийнятий відповідним, компетентним державним або іншим органом влади публічно-правовий документ, який згідно з юридичним фактом породжує, змінює або припиняє ту чи іншу норму права, є загального або локального характеру та неодноразовий» [36, с. 343].</w:t>
      </w:r>
    </w:p>
    <w:p w:rsidR="00394FE9" w:rsidRPr="00EE6F29" w:rsidRDefault="00394FE9" w:rsidP="005040B0">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Такий вчений, як Легін Л.М. поєднав концепцію попередньо зазначеної думки з тлумаченням, висвітленим зі своїм дослідженням та вказав, що «нормативно-правовий акт – це документ відповідного суб’єкта, наділеного повноваженнями правотворчості, який у свою чергу приймається відповідно до порядку, чітко визначеного діючим законодавством та направлений на породження, зміну або припинення тієї чи іншої норми права» [37, с. 25].</w:t>
      </w:r>
    </w:p>
    <w:p w:rsidR="00394FE9" w:rsidRPr="00EE6F29" w:rsidRDefault="00394FE9" w:rsidP="005040B0">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У наукових працях таких теоретиків, як Рой О.В. Авер'янов В.Б., Васильєв А.С., Додін Є.В. визначається, що при дослідженні дефініції нормативно-правового акту потрібно вміти розрізняти основні та факультативні його ознаки, оскільки основні надають змогу дослідити правову природу останнього, а також, можливість здійснення розмежування нормативного акту від акту індивідуального характеру. У свою чергу, факультативні несуть собою притаманні та характерні нормативно-правовим актам ознаки та доповнюють дефініцію останнього.</w:t>
      </w:r>
    </w:p>
    <w:p w:rsidR="00394FE9" w:rsidRPr="00EE6F29" w:rsidRDefault="00394FE9" w:rsidP="005040B0">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Отже, до основних ознак нормативно-правового акту вчені відносять:</w:t>
      </w:r>
    </w:p>
    <w:p w:rsidR="00394FE9" w:rsidRPr="00EE6F29" w:rsidRDefault="00394FE9" w:rsidP="005040B0">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i/>
          <w:sz w:val="28"/>
          <w:szCs w:val="28"/>
        </w:rPr>
        <w:t>-</w:t>
      </w:r>
      <w:r w:rsidRPr="00EE6F29">
        <w:rPr>
          <w:rFonts w:ascii="Times New Roman" w:hAnsi="Times New Roman" w:cs="Times New Roman"/>
          <w:bCs/>
          <w:i/>
          <w:sz w:val="28"/>
          <w:szCs w:val="28"/>
        </w:rPr>
        <w:t>право створення</w:t>
      </w:r>
      <w:r w:rsidRPr="00EE6F29">
        <w:rPr>
          <w:rFonts w:ascii="Times New Roman" w:hAnsi="Times New Roman" w:cs="Times New Roman"/>
          <w:sz w:val="28"/>
          <w:szCs w:val="28"/>
        </w:rPr>
        <w:t xml:space="preserve"> (породження, змінаабо припинення дії норми права). Окреслена ознака пов’язана з тим, що дія норми не є безстроковою та може бути змінена або припинена у той спосіб, який передбачає Основний Закон. Окрім того, дія норми залишається актуальною до моменту поки є необхідність врегулювання тих чи інших суспільних правовідносин;</w:t>
      </w:r>
    </w:p>
    <w:p w:rsidR="00394FE9" w:rsidRPr="00EE6F29" w:rsidRDefault="00394FE9" w:rsidP="005040B0">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i/>
          <w:sz w:val="28"/>
          <w:szCs w:val="28"/>
        </w:rPr>
        <w:t xml:space="preserve">- </w:t>
      </w:r>
      <w:r w:rsidRPr="00EE6F29">
        <w:rPr>
          <w:rFonts w:ascii="Times New Roman" w:hAnsi="Times New Roman" w:cs="Times New Roman"/>
          <w:bCs/>
          <w:i/>
          <w:sz w:val="28"/>
          <w:szCs w:val="28"/>
        </w:rPr>
        <w:t>приймається компетентним на це суб’єктом</w:t>
      </w:r>
      <w:r w:rsidRPr="00EE6F29">
        <w:rPr>
          <w:rFonts w:ascii="Times New Roman" w:hAnsi="Times New Roman" w:cs="Times New Roman"/>
          <w:sz w:val="28"/>
          <w:szCs w:val="28"/>
        </w:rPr>
        <w:t>. Де юре, таким суб’єктом може бути лише відповідний суб’єкт законотворчості, діючи у межах тієї компетенції, яка передбачена Основним Законом та конкретизована у Законах, що підпорядковані та відповідають приписами Конституції;</w:t>
      </w:r>
    </w:p>
    <w:p w:rsidR="00394FE9" w:rsidRPr="00EE6F29" w:rsidRDefault="00394FE9" w:rsidP="005040B0">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bCs/>
          <w:i/>
          <w:sz w:val="28"/>
          <w:szCs w:val="28"/>
        </w:rPr>
        <w:t>- дотримання процедури прийняття</w:t>
      </w:r>
      <w:r w:rsidRPr="00EE6F29">
        <w:rPr>
          <w:rFonts w:ascii="Times New Roman" w:hAnsi="Times New Roman" w:cs="Times New Roman"/>
          <w:i/>
          <w:sz w:val="28"/>
          <w:szCs w:val="28"/>
        </w:rPr>
        <w:t>.</w:t>
      </w:r>
      <w:r w:rsidRPr="00EE6F29">
        <w:rPr>
          <w:rFonts w:ascii="Times New Roman" w:hAnsi="Times New Roman" w:cs="Times New Roman"/>
          <w:sz w:val="28"/>
          <w:szCs w:val="28"/>
        </w:rPr>
        <w:t>Основний аспект, пов'язаний з регулюванням нормотворчих відносин, чітко визначаючий межі, порядок узгодження тих чи інших процесуальних та матеріальних передумов, з метою допуску норми до дії та впорядкування важелю стримувань та противаги.</w:t>
      </w:r>
    </w:p>
    <w:p w:rsidR="00394FE9" w:rsidRPr="00EE6F29" w:rsidRDefault="00394FE9" w:rsidP="005040B0">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bCs/>
          <w:i/>
          <w:sz w:val="28"/>
          <w:szCs w:val="28"/>
        </w:rPr>
        <w:t>- відсутність адресата</w:t>
      </w:r>
      <w:r w:rsidRPr="00EE6F29">
        <w:rPr>
          <w:rFonts w:ascii="Times New Roman" w:hAnsi="Times New Roman" w:cs="Times New Roman"/>
          <w:sz w:val="28"/>
          <w:szCs w:val="28"/>
        </w:rPr>
        <w:t>. Характерна відмінність нормативного акту від акту індивідуального характеру, пов’язана з тим, що останній завжди має чітко визначених адресат, натомість нормативний акт розповсюджує свою дію на невизначене коло осіб та які у свою чергу не є його постійними виконавцями, наприклад: іноземці, біженці, в деяких випадках тимчасово переміщенні особи, оскільки нормативний акт поширює свою дію на зазначених осіб лише на території його розповсюдження, яка передбачається Основним Законом та може дублюватися у самому нормативному акті.</w:t>
      </w:r>
    </w:p>
    <w:p w:rsidR="00394FE9" w:rsidRPr="00EE6F29" w:rsidRDefault="00394FE9" w:rsidP="005040B0">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bCs/>
          <w:i/>
          <w:sz w:val="28"/>
          <w:szCs w:val="28"/>
        </w:rPr>
        <w:t>- багаторазове використання</w:t>
      </w:r>
      <w:r w:rsidRPr="00EE6F29">
        <w:rPr>
          <w:rFonts w:ascii="Times New Roman" w:hAnsi="Times New Roman" w:cs="Times New Roman"/>
          <w:sz w:val="28"/>
          <w:szCs w:val="28"/>
        </w:rPr>
        <w:t>. Зазначене також узгоджує відмінність між нормативним актом та актом індивідуальної дії, оскільки останній може покладати на особу ті чи інші обов’язки, права або санкції лише до того часу, поки особа не здійснить всіх покладених на неї дій, з метою припинення обтяжуючих заходів відносно неї або до належного виконання тих чи інших обов’язків.</w:t>
      </w:r>
    </w:p>
    <w:p w:rsidR="00394FE9" w:rsidRPr="00EE6F29" w:rsidRDefault="00394FE9" w:rsidP="005040B0">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bCs/>
          <w:i/>
          <w:sz w:val="28"/>
          <w:szCs w:val="28"/>
        </w:rPr>
        <w:t>- офіційно-діловий характер (формалізм)</w:t>
      </w:r>
      <w:r w:rsidRPr="00EE6F29">
        <w:rPr>
          <w:rFonts w:ascii="Times New Roman" w:hAnsi="Times New Roman" w:cs="Times New Roman"/>
          <w:i/>
          <w:sz w:val="28"/>
          <w:szCs w:val="28"/>
        </w:rPr>
        <w:t>.</w:t>
      </w:r>
      <w:r w:rsidRPr="00EE6F29">
        <w:rPr>
          <w:rFonts w:ascii="Times New Roman" w:hAnsi="Times New Roman" w:cs="Times New Roman"/>
          <w:sz w:val="28"/>
          <w:szCs w:val="28"/>
        </w:rPr>
        <w:t>Нормативний акт та акт індивідуальної дії схожі за цією ознакою, з огляду на офіційно-ділову стилістику їх укладань. Крім того, зазначені акти мають певну форму з чітко встановленими іншими нормативними актами елементами, які у свою чергу є обов’язковими до застосування нормотворчими органами. Накшталт, до таких елементів відносяться: преамбула, розділи, глави, статті, пункти, підпункти, абзаци, тощо.</w:t>
      </w:r>
    </w:p>
    <w:p w:rsidR="00394FE9" w:rsidRPr="00EE6F29" w:rsidRDefault="00394FE9" w:rsidP="00A3564E">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bCs/>
          <w:i/>
          <w:sz w:val="28"/>
          <w:szCs w:val="28"/>
        </w:rPr>
        <w:t>- офіційне оприлюднення</w:t>
      </w:r>
      <w:r w:rsidRPr="00EE6F29">
        <w:rPr>
          <w:rFonts w:ascii="Times New Roman" w:hAnsi="Times New Roman" w:cs="Times New Roman"/>
          <w:i/>
          <w:sz w:val="28"/>
          <w:szCs w:val="28"/>
        </w:rPr>
        <w:t>.</w:t>
      </w:r>
      <w:r w:rsidRPr="00EE6F29">
        <w:rPr>
          <w:rFonts w:ascii="Times New Roman" w:hAnsi="Times New Roman" w:cs="Times New Roman"/>
          <w:sz w:val="28"/>
          <w:szCs w:val="28"/>
        </w:rPr>
        <w:t>Дана ознака є завершальним етапом для ведення у дію норми права, яка після чітко визначеного терміну або строку породить, змінить або припинить врегулювання певної сфери суспільних правовідносин. Розглядаючи мету вказаної ознаки, можемо дійти до висновку, що остання передбачає доведення тексту до відома необмеженого кола осіб методом публікації в визначених нормативно-правовими актами виданнях - Указ Президента України «Про порядок офіційного оприлюднення нормативно-правових актів та набрання ними чинності» від 10 червня 1997 р».</w:t>
      </w:r>
    </w:p>
    <w:p w:rsidR="00394FE9" w:rsidRPr="00EE6F29" w:rsidRDefault="00394FE9" w:rsidP="00A3564E">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bCs/>
          <w:i/>
          <w:sz w:val="28"/>
          <w:szCs w:val="28"/>
        </w:rPr>
        <w:t>- державна реєстрація нормативно-правових актів</w:t>
      </w:r>
      <w:r w:rsidRPr="00EE6F29">
        <w:rPr>
          <w:rFonts w:ascii="Times New Roman" w:hAnsi="Times New Roman" w:cs="Times New Roman"/>
          <w:i/>
          <w:sz w:val="28"/>
          <w:szCs w:val="28"/>
        </w:rPr>
        <w:t>.</w:t>
      </w:r>
      <w:r w:rsidRPr="00EE6F29">
        <w:rPr>
          <w:rFonts w:ascii="Times New Roman" w:hAnsi="Times New Roman" w:cs="Times New Roman"/>
          <w:sz w:val="28"/>
          <w:szCs w:val="28"/>
        </w:rPr>
        <w:t>У 1996 році в України було започатковано Єдиний державний реєстр нормативних актів (далі – ЄДРНПА). Зазначена ознака полягає у тім, що нормативний правовий акт проходить певну процедуру, починаючи з експертної оцінки на відповідність приписам Основного Закону, а також, міжнародним договорам України, згоду на обов’язковість яких надано ВРУ. Слід також відмітити, що нормативно-правові акти проходять антикорупційну експертизу. Після проведення експертних дій та отримання експертної оцінки, акту надається реєстраційний номер та останній заносять до ЄДРНПА.</w:t>
      </w:r>
    </w:p>
    <w:p w:rsidR="00394FE9" w:rsidRPr="00EE6F29" w:rsidRDefault="00394FE9" w:rsidP="009F28A3">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У свою чергу, до факультативних ознак віднесено тривалий характер дії нормативно-правових актів, окрім тих, які запроваджуються на певний термін дії, наприклад, в силу дії непереборних або форс-мажорних обставин, зокрема стан війни. В підтвердження тривалого характеру дії нормативно-правових актів, вчені наводять кодифіковані закони, як КЗпП, КПК, ЦК України, тощо.</w:t>
      </w:r>
    </w:p>
    <w:p w:rsidR="00394FE9" w:rsidRPr="00EE6F29" w:rsidRDefault="00394FE9" w:rsidP="009F28A3">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Таким чином, можемо дійти до певного розуміння нормативно-правового акту, надавши йому наступне теоретичне визначення.</w:t>
      </w:r>
    </w:p>
    <w:p w:rsidR="00394FE9" w:rsidRPr="00EE6F29" w:rsidRDefault="00394FE9" w:rsidP="00707091">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Нормативно-правовий акт – це система, загальнообов’язкових та формально визначених правил поведінки, у якого відсутній чітко визначений адресат, дія якого запроваджується уповноваженим на те суб’єктом владних повноважень з метою регулювання тих чи інших суспільних відносин, приписи якого контролюються та забезпечуються силою державного примусу, у свою чергу виступає причино-наслідковим зв’язком юридичному факту. </w:t>
      </w:r>
    </w:p>
    <w:p w:rsidR="00394FE9" w:rsidRPr="00EE6F29" w:rsidRDefault="00394FE9" w:rsidP="00707091">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Крім того, нормативно-правові акти займають відповідне положення в ієрархічній структурі за силою дії їх приписів, верховенства та підпорядкованості, що у свою чергу має термінологічне визначення – юридична сила.</w:t>
      </w:r>
    </w:p>
    <w:p w:rsidR="00394FE9" w:rsidRPr="00EE6F29" w:rsidRDefault="00394FE9" w:rsidP="00707091">
      <w:pPr>
        <w:spacing w:after="0" w:line="360" w:lineRule="auto"/>
        <w:ind w:firstLine="567"/>
        <w:jc w:val="both"/>
        <w:rPr>
          <w:rFonts w:ascii="Times New Roman" w:hAnsi="Times New Roman" w:cs="Times New Roman"/>
          <w:i/>
          <w:sz w:val="28"/>
          <w:szCs w:val="28"/>
        </w:rPr>
      </w:pPr>
      <w:r w:rsidRPr="00EE6F29">
        <w:rPr>
          <w:rFonts w:ascii="Times New Roman" w:hAnsi="Times New Roman" w:cs="Times New Roman"/>
          <w:i/>
          <w:sz w:val="28"/>
          <w:szCs w:val="28"/>
        </w:rPr>
        <w:t>Загальне положення нормативно-правових актів національної системи права України має наступний вигляд:</w:t>
      </w:r>
    </w:p>
    <w:p w:rsidR="00394FE9" w:rsidRPr="00EE6F29" w:rsidRDefault="00394FE9" w:rsidP="00707091">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1. Міжнародні договори </w:t>
      </w:r>
    </w:p>
    <w:p w:rsidR="00394FE9" w:rsidRPr="00EE6F29" w:rsidRDefault="00394FE9" w:rsidP="00707091">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Основний Закон (в Україні – Конституція України);</w:t>
      </w:r>
    </w:p>
    <w:p w:rsidR="00394FE9" w:rsidRPr="00EE6F29" w:rsidRDefault="00394FE9" w:rsidP="00707091">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2. Закони України</w:t>
      </w:r>
    </w:p>
    <w:p w:rsidR="00394FE9" w:rsidRPr="00EE6F29" w:rsidRDefault="00394FE9" w:rsidP="00707091">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За юридичною силою в Україні, з огляду на предмет публічно-правового спору, можемо виокремити наступну ієрархію:</w:t>
      </w:r>
    </w:p>
    <w:p w:rsidR="00394FE9" w:rsidRPr="00EE6F29" w:rsidRDefault="00394FE9" w:rsidP="00707091">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1. Укази Президента (ч. 3 ст. 106 Конституції України);</w:t>
      </w:r>
    </w:p>
    <w:p w:rsidR="00394FE9" w:rsidRPr="00EE6F29" w:rsidRDefault="00394FE9" w:rsidP="00707091">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2. Постанови Верховної Ради України (ст. 91 Конституції України);</w:t>
      </w:r>
    </w:p>
    <w:p w:rsidR="00394FE9" w:rsidRPr="00EE6F29" w:rsidRDefault="00394FE9" w:rsidP="00707091">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3. Постанови Кабінету Міністрів України (ч. 1 ст. 117 Конституції України);</w:t>
      </w:r>
    </w:p>
    <w:p w:rsidR="00394FE9" w:rsidRPr="00EE6F29" w:rsidRDefault="00394FE9" w:rsidP="00BA17D0">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4. Накази Міністерств (ст. 117 Конституції України);</w:t>
      </w:r>
    </w:p>
    <w:p w:rsidR="00394FE9" w:rsidRPr="00EE6F29" w:rsidRDefault="00394FE9" w:rsidP="00BA17D0">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5. Нормативно-правові акти інших органів державної влади (як приклад, ст. 56 Закону України «Про Національний банк»);</w:t>
      </w:r>
    </w:p>
    <w:p w:rsidR="00394FE9" w:rsidRPr="00EE6F29" w:rsidRDefault="00394FE9" w:rsidP="00BA17D0">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6. Постанови Верховної Ради АРК та Ради міністрів АРК (ст. 4 Конституції АРК);</w:t>
      </w:r>
    </w:p>
    <w:p w:rsidR="00394FE9" w:rsidRPr="00EE6F29" w:rsidRDefault="00394FE9" w:rsidP="00BA17D0">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7. Розпорядження голів державних адміністрацій (ст. 6 Закону України «Про місцеві державні адміністрації);</w:t>
      </w:r>
    </w:p>
    <w:p w:rsidR="00394FE9" w:rsidRPr="00EE6F29" w:rsidRDefault="00394FE9" w:rsidP="00BA17D0">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8. Рішення органів місцевого самоврядування (ст. 59 Закону України «Про місцеве самоврядування»);</w:t>
      </w:r>
    </w:p>
    <w:p w:rsidR="00394FE9" w:rsidRPr="00EE6F29" w:rsidRDefault="00394FE9" w:rsidP="00BA17D0">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9. Нормативно-правові акти інших суб’єктів, які здійснюють функції публічно-владного управління (як приклад, ст. 17 Закону України «Про морські порти»).</w:t>
      </w:r>
    </w:p>
    <w:p w:rsidR="00394FE9" w:rsidRPr="00EE6F29" w:rsidRDefault="00394FE9" w:rsidP="00924D6B">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Станом на момент даного дослідження, у контексті публічно-правового спору щодо притягнення особи до адміністративної відповідальності, чинне законодавство України містить значну кількість нормативно-правових актів, які передбачають певні правила поведінки та вимоги, порушуючи які, особу-правопорушника може бути притягнуто до адміністративної відповідальності, передбаченої КУпАП, останнійу свою чергу, перебуває у тісному юридичному зв’язку з тими нормативно-правовими актами, які передбачають ті чи інші вимоги та встановлюють певні правила поведінки. Наприклад, за порушення Правил дорожнього руху передбачено адміністративну відповідальність ст. 121 — 129 КУпАП; Тимчасових правил обігу в Україні побутових піротехнічних виробів адміністративну відповідальність ст. 195-6 КУпАП; Правил повітряних перевезень пасажирів і багажу адміністративну відповідальність ст. 112 КУпАП тощо.</w:t>
      </w:r>
    </w:p>
    <w:p w:rsidR="00394FE9" w:rsidRPr="00EE6F29" w:rsidRDefault="00394FE9" w:rsidP="00DF4790">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З огляду на динаміку адміністративних проваджень на теренах незалежної України, можемо дійти висновку, що публічно-правові спори виникають у більшості випадків внаслідок оскарження індивідуальних актів СВП, у свою чергу спори про оскарження нормативно-правових актів є поодинокими та скоріше виключними випадками, які трапляються у судовій практицідоволі рідко та переважно у резонансній практиці.</w:t>
      </w:r>
    </w:p>
    <w:p w:rsidR="00394FE9" w:rsidRPr="00EE6F29" w:rsidRDefault="00394FE9" w:rsidP="00963497">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Крім того, чинне законодавство України не оперує єдністю термінології, про що свідчить п. 19 ст. 4 КАС України в положенні якого визначено «індивідуальний акт», ст. 41 ЗУ «Про місцеві державні адміністрації», де вказується «акти індивідуальної дії», ст. 17 ЗУ «Про інформацію» - «ненормативні правові акти».</w:t>
      </w:r>
    </w:p>
    <w:p w:rsidR="00394FE9" w:rsidRPr="00EE6F29" w:rsidRDefault="00394FE9" w:rsidP="00963497">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Слід також наголосити, щоз цього приводу у науковій літературі також відсутня єдність думок.</w:t>
      </w:r>
    </w:p>
    <w:p w:rsidR="00394FE9" w:rsidRPr="00EE6F29" w:rsidRDefault="00394FE9" w:rsidP="00963497">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Згідно з п. 19 ст. 4 КАС України «індивідуальний акт – це акт (рішення) суб’єкта владних повноважень, виданий (прийняте) на виконання владних управлінських функцій або в порядку надання адміністративних послуг, який стосується прав або інтересів визначеної в акті особи або осіб, та дія якого вичерпується його виконанням або має визначений строк» [23]</w:t>
      </w:r>
    </w:p>
    <w:p w:rsidR="00394FE9" w:rsidRPr="00EE6F29" w:rsidRDefault="00394FE9" w:rsidP="008F08E3">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У Постанові ВАС України від 15 січня 2009 р. по справі №К-1647/07 було запропоновано тлумачення терміну «правовий акт індивідуальної дії», який виражено за наступними ознаками: «виданий СВП документ; прийнятий з метою реалізації положень НПА щодо конкретної життєвої ситуації, не містить загальнообов’язкових правил поведінки, стосується прав і обов’язків чітко визначеного суб’єкта (суб’єктів), наявний адресат» [38].  </w:t>
      </w:r>
    </w:p>
    <w:p w:rsidR="00394FE9" w:rsidRPr="00EE6F29" w:rsidRDefault="00394FE9" w:rsidP="00963497">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Конкретикою тлумачення цього терміну виступило роз’яснення ВАС України в інформаційному листі від 01 червня 2010 року, в якому було вказано, що «загальною ознакою, за допомогою якої можливо здійснити розмежування індивідуального від нормативно-правового акту є вираження у правозастосовному характері. У свою чергу, фундаментальною ознакою є конкретність, що вбачає під собою чітке формулювання юридичного волевиявлення суб’єктів адміністративного права, які приймають такі акти. Наслідком їх прийняттявідображеноволевиявленняСВП, що виражене урозв’язанні за допомогою таких актів конкретних справ, які виникають у сфері державного управління» [39].  </w:t>
      </w:r>
    </w:p>
    <w:p w:rsidR="00394FE9" w:rsidRPr="00EE6F29" w:rsidRDefault="00394FE9" w:rsidP="00963497">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Слід також зазначити, що те тлумачення, яке було викладене у Постанові ВАС України від 15 січня 2009 р. відображає більшість, але не всі ключові ознаки індивідуальних актів.</w:t>
      </w:r>
    </w:p>
    <w:p w:rsidR="00394FE9" w:rsidRPr="00EE6F29" w:rsidRDefault="00394FE9" w:rsidP="000311AE">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Окрім того, можемо погодитися з думкою такого вченого як О.Ф. Скакун, який відмітив, що «індивідуальні акти виражаються не лише в письмовій формі, але й в усній та навіть конклюдентними діями» [40, с. 397-400]. Яскравим прикладом виступає досудове розслідування, коли прокурор або слідчий в усній формі надають вказівки оперативному працівнику. У свою чергу, прикладом конклюдентної дії виступає сигнал регулювальника, який є обов’язковим до виконання учасникам дорожнього руху.</w:t>
      </w:r>
    </w:p>
    <w:p w:rsidR="00394FE9" w:rsidRPr="00EE6F29" w:rsidRDefault="00394FE9" w:rsidP="001433FB">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А.О. Неугодніков надаючи розуміння акту індивідуальної дії, розглянув останній з призми правового акту та зазначив, що «акт індивідуальної дії – це прийнятий під час адміністративного процесу, компетентним суб’єктом владних повноважень рішення, яке виражає волю останнього та адресоване конкретному суб’єкту адміністративного процесу, внаслідок чого виникають, змінюються або припиняються персоніфіковані правовідношення» [41, с. 207].</w:t>
      </w:r>
    </w:p>
    <w:p w:rsidR="00394FE9" w:rsidRPr="00EE6F29" w:rsidRDefault="00394FE9" w:rsidP="00FA1AC2">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Слід відмітити також складнощі, які спостерігаються на практиці щодо визначення правової природи оскаржуваного акту, через те, що індивідуальні та нормативні акти мають деякі спільні ознаки, відповідно до КАС України, такі як: юридична сил, формальний та обов’язковий характер, приймаються компетентними СВП, їх посадовими і службовими особами. Проте, на відміну від нормативно-правових актів, акти індивідуальної дії:</w:t>
      </w:r>
    </w:p>
    <w:p w:rsidR="00394FE9" w:rsidRPr="00EE6F29" w:rsidRDefault="00394FE9" w:rsidP="004574C9">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По-перше, не створюють, не змінюють та не припиняють загальнообов’язкові правила поведінки, тобто не можуть вчиняти жодний вплив на ту чи іншу норму права, у свою чергу, це відображає послаблену юридичну силу щодо нормативно-правового акту; </w:t>
      </w:r>
    </w:p>
    <w:p w:rsidR="00394FE9" w:rsidRPr="00EE6F29" w:rsidRDefault="00394FE9" w:rsidP="004574C9">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По-друге, як зазначалось вище, мають чітко виражений та конкретно визначений адресат суб’єкта адміністративних правовідносин; </w:t>
      </w:r>
    </w:p>
    <w:p w:rsidR="00394FE9" w:rsidRPr="00EE6F29" w:rsidRDefault="00394FE9" w:rsidP="004574C9">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По-третє, акти індивідуальної дії мають одноразовий характер, що фактично відображає ту ситуацію, коли прийнятий акт, адресований конкретному суб’єкту адміністративних правовідносин є обов’язковим лише у конкретній ситуації, виключаючи поширення своєї дії на подібні ситуації у майбутньому. Отже, акти індивідуального характеру вичерпуються фактом реалізації адресатом (суб’єктом адміністративних правовідносин) приписів такого акту, зумовлених конкретною ситуацією, внаслідок чого останній втрачає юридичну силу.</w:t>
      </w:r>
    </w:p>
    <w:p w:rsidR="00394FE9" w:rsidRPr="00EE6F29" w:rsidRDefault="00394FE9" w:rsidP="004574C9">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По-четверте, акти індивідуальної дії в розріз нормативно-правовим актам, не потребують державної реєстрації та офіційного оприлюднення, оскільки набувають юридичної сили, як правило, з моменту прийняття, підписання, доведення до відома адресату, оголошення, спливу строку на оскарження.</w:t>
      </w:r>
    </w:p>
    <w:p w:rsidR="00394FE9" w:rsidRPr="00EE6F29" w:rsidRDefault="00394FE9" w:rsidP="00365EDE">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У чинному кодексі адміністративного судочинства України відсутній перелік тих індивідуальних актів, які мають оскаржуватися безпосередньо адміністративними судами, а також, відсутній перелік таких актів, які відповідно не можуть бути оскаржені в порядку КАС України.Зазначене узгоджується з тим, що переважна більшість таких актів підлягають оскарженню саме в порядку адміністративного судочинства та лише у виняткових випадках в порядку іншого судочинства.Як приклад, КПК України передбачає право на оскарження рішення, дій або бездіяльності слідчого, дізнавача, прокурора (ст. 303 КПК України) [42], таким чином, повноважним при розгляді відповідної скарги буде орган (в залежності від ієрархічно визначеної КПК України положення), який поширює свою компетенцію в межах кримінальної юрисдикції.</w:t>
      </w:r>
    </w:p>
    <w:p w:rsidR="00394FE9" w:rsidRPr="00EE6F29" w:rsidRDefault="00394FE9" w:rsidP="00365EDE">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При визначені тих актів індивідуального характеру, що можуть оскаржуватись до адміністративних судів, необхідним є дослідженняїх наукової класифікації.</w:t>
      </w:r>
    </w:p>
    <w:p w:rsidR="00394FE9" w:rsidRPr="00EE6F29" w:rsidRDefault="00394FE9" w:rsidP="00365EDE">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Погоджуємось з висновком вченого Роя О.В., який зазначив, що «акти індивідуального характеру, які можуть бути предметом публічно-правового спору в адміністративному судочинстві мають класифікуватись в залежності від сфери прийняття»[1, с. 121], у свою чергу, останній наводить наступну класифікацію актів індивідуальної дії:</w:t>
      </w:r>
    </w:p>
    <w:p w:rsidR="00394FE9" w:rsidRPr="00EE6F29" w:rsidRDefault="00394FE9" w:rsidP="00810E27">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i/>
          <w:sz w:val="28"/>
          <w:szCs w:val="28"/>
        </w:rPr>
        <w:t xml:space="preserve">- управлінські акти </w:t>
      </w:r>
      <w:r w:rsidRPr="00EE6F29">
        <w:rPr>
          <w:rFonts w:ascii="Times New Roman" w:hAnsi="Times New Roman" w:cs="Times New Roman"/>
          <w:sz w:val="28"/>
          <w:szCs w:val="28"/>
        </w:rPr>
        <w:t>– приймаютьсяСВП, в межах своєї компетенції, пов’язаної з виконавчо-розпорядчою діяльністю, які направлені для врегулювання організаційних, реєстраційних, кадрових, розпорядного характеру питань. Наприклад, реєстрація податкових накладних, накази з кадрових питань тощо.</w:t>
      </w:r>
    </w:p>
    <w:p w:rsidR="00394FE9" w:rsidRPr="00EE6F29" w:rsidRDefault="00394FE9" w:rsidP="000D4196">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i/>
          <w:sz w:val="28"/>
          <w:szCs w:val="28"/>
        </w:rPr>
        <w:t>- сервісні акти</w:t>
      </w:r>
      <w:r w:rsidRPr="00EE6F29">
        <w:rPr>
          <w:rFonts w:ascii="Times New Roman" w:hAnsi="Times New Roman" w:cs="Times New Roman"/>
          <w:sz w:val="28"/>
          <w:szCs w:val="28"/>
        </w:rPr>
        <w:t xml:space="preserve"> – приймаються СВП, в межах своєї компетенції, пов’язаної з наданням адміністративних послуг, які безпосередньо пов’язані з дозвільною діяльністю. Наприклад, дозвіл на полювання, реєстрацію суб’єкта господарювання тощо. </w:t>
      </w:r>
    </w:p>
    <w:p w:rsidR="00394FE9" w:rsidRPr="00EE6F29" w:rsidRDefault="00394FE9" w:rsidP="000D4196">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i/>
          <w:sz w:val="28"/>
          <w:szCs w:val="28"/>
        </w:rPr>
        <w:t>- деліктні акти</w:t>
      </w:r>
      <w:r w:rsidRPr="00EE6F29">
        <w:rPr>
          <w:rFonts w:ascii="Times New Roman" w:hAnsi="Times New Roman" w:cs="Times New Roman"/>
          <w:sz w:val="28"/>
          <w:szCs w:val="28"/>
        </w:rPr>
        <w:t xml:space="preserve"> – приймаються СВП, в межах своєї компетенції, пов’язаної з притягненням особи правопорушника до відповідальності. Наприклад, постанова про вчинення адміністративного правопорушення.</w:t>
      </w:r>
    </w:p>
    <w:p w:rsidR="00394FE9" w:rsidRPr="00EE6F29" w:rsidRDefault="00394FE9" w:rsidP="000D4196">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З огляду на вищезазначене, можемо дійти до висновку, що нормативно-правові акти – це такі акти, які прийняті компетентним СВП, юридична силаякихзаймає певне ієрархічне положення в структурі національного права в залежності від суб’єкта запровадження, а також, є обов’язково формально-визначеного характеру, з чітко визначеною процедурою прийняття та подальшою державною реєстрацією,поширює свою дію на невизначене коло суб’єктів права, з обов’язковим оприлюдненням в офіційних виданнях, з метою доведення до відома,які направлені на врегулювання тих чи інших суспільних правовідносин, породжуючи, змінюючи або припиняючипевну (певні) правила поведінки тазабезпечення дії яких контролюється силою державного примусу.</w:t>
      </w:r>
    </w:p>
    <w:p w:rsidR="00394FE9" w:rsidRPr="00EE6F29" w:rsidRDefault="00394FE9" w:rsidP="000D4196">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На відміну від нормативно-правових актів, акти індивідуальної дії не мають станом на сьогоднішній день єдності термінології, ані в юридичній науці, ані в законодавчій діяльності. Натомість, проведений аналіз вказаної дефініції дає змогу виокремити фундаментальні ознаки, за якими акти індивідуальної дії відрізняються від нормативно-правових актів.</w:t>
      </w:r>
    </w:p>
    <w:p w:rsidR="00394FE9" w:rsidRPr="00EE6F29" w:rsidRDefault="00394FE9" w:rsidP="000D4196">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Окрім того, практика оскарження рішень СВП щодо протиправного притягнення осіб до адміністративної відповідальності також свідчить про непоодинокі випадки оскарження безпосередньо нормативно-правових актів, які стали відправною точкою в запровадженні відповідальності на того чи іншого суб’єкта права. При цьому, дане питання вирішується саме КСУ, оскільки компетентність визначення конституційності нормативно-правового акту віднесено останньому.</w:t>
      </w:r>
    </w:p>
    <w:p w:rsidR="00394FE9" w:rsidRPr="00EE6F29" w:rsidRDefault="00394FE9" w:rsidP="00AB7D8A">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Таким чином, різниця між нормативно-правовими актами та актами індивідуальної дії полягає у тім, що останні відображають акти, які своєю дією не можуть завдавати жодного випливу на ту чи іншу норму права, не потребують державної реєстрації та офіційного оприлюднення, оскільки набувають юридичної сили, як правило, з моменту прийняття, поширюючи дію на конкретно визначеного суб’єкта, вони є переважно темпоральними та вичерпуються фактом реалізації адресатом (суб’єктом адміністративних правовідносин) приписів такого акту, зумовлених конкретною ситуацією, внаслідок чого останній втрачає юридичну силу.</w:t>
      </w:r>
    </w:p>
    <w:p w:rsidR="00394FE9" w:rsidRPr="00EE6F29" w:rsidRDefault="00394FE9" w:rsidP="00AB7D8A">
      <w:pPr>
        <w:spacing w:after="0" w:line="360" w:lineRule="auto"/>
        <w:ind w:firstLine="567"/>
        <w:jc w:val="both"/>
        <w:rPr>
          <w:rFonts w:ascii="Times New Roman" w:hAnsi="Times New Roman" w:cs="Times New Roman"/>
          <w:sz w:val="28"/>
          <w:szCs w:val="28"/>
        </w:rPr>
      </w:pPr>
    </w:p>
    <w:p w:rsidR="00394FE9" w:rsidRPr="00EE6F29" w:rsidRDefault="00394FE9" w:rsidP="00D40341">
      <w:pPr>
        <w:pStyle w:val="Heading2"/>
        <w:spacing w:line="360" w:lineRule="auto"/>
        <w:ind w:firstLine="567"/>
        <w:jc w:val="both"/>
        <w:rPr>
          <w:rFonts w:ascii="Times New Roman" w:hAnsi="Times New Roman"/>
          <w:b/>
          <w:color w:val="auto"/>
          <w:sz w:val="28"/>
          <w:szCs w:val="28"/>
        </w:rPr>
      </w:pPr>
      <w:bookmarkStart w:id="8" w:name="_Toc179215268"/>
      <w:r w:rsidRPr="00EE6F29">
        <w:rPr>
          <w:rFonts w:ascii="Times New Roman" w:hAnsi="Times New Roman"/>
          <w:b/>
          <w:color w:val="auto"/>
          <w:sz w:val="28"/>
          <w:szCs w:val="28"/>
        </w:rPr>
        <w:t>2.2. Підсудність та особливості розгляду справ, які пов’язані із оскарженням рішень суб’єктів владних повноважень у сфері адміністративно-деліктних правовідносин.</w:t>
      </w:r>
      <w:bookmarkEnd w:id="8"/>
    </w:p>
    <w:p w:rsidR="00394FE9" w:rsidRPr="00EE6F29" w:rsidRDefault="00394FE9" w:rsidP="00AB7D8A">
      <w:pPr>
        <w:spacing w:after="0" w:line="360" w:lineRule="auto"/>
        <w:ind w:firstLine="567"/>
        <w:jc w:val="both"/>
        <w:rPr>
          <w:rFonts w:ascii="Times New Roman" w:hAnsi="Times New Roman" w:cs="Times New Roman"/>
          <w:b/>
          <w:sz w:val="28"/>
          <w:szCs w:val="28"/>
        </w:rPr>
      </w:pPr>
    </w:p>
    <w:p w:rsidR="00394FE9" w:rsidRPr="00EE6F29" w:rsidRDefault="00394FE9" w:rsidP="00AB7D8A">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Починаючи дослідження даного питання, необхідно зазначити про специфіку практичного регулювання судових проваджень окресленої категорії справ, які у свою чергу регламентуються КУпАП та КАС України. Таким чином, вказані кодекси обумовлюють зазначену категорію справ тісним координуванням процедурних, процесуальних та матеріальних норм. </w:t>
      </w:r>
    </w:p>
    <w:p w:rsidR="00394FE9" w:rsidRPr="00EE6F29" w:rsidRDefault="00394FE9" w:rsidP="00AB7D8A">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Як наприклад, чинний КПК України також відображає координаційне направлення між КПК та ЦПК України в аспекті цивільного провадження в межах кримінального провадження; між ГПК України та КУзПБ тощо. </w:t>
      </w:r>
    </w:p>
    <w:p w:rsidR="00394FE9" w:rsidRPr="00EE6F29" w:rsidRDefault="00394FE9" w:rsidP="000A05F0">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Усправах, які пов’язані із оскарженням рішень СВП щодо притягнення до адміністративної відповідальності,КУпАП відображає собою переважно процедурні та матеріальні норми, які стають підґрунтям обґрунтування підстав майбутніх заяв по суті для учасників судового процесу.У свою чергу, положення КАС України регулюють процесуальний порядок, наприклад, подання позовної заяви, питання, що вирішуються під час відкриття провадження, підготовки справи до розгляду, оскарження рішення, тощо.</w:t>
      </w:r>
    </w:p>
    <w:p w:rsidR="00394FE9" w:rsidRPr="00EE6F29" w:rsidRDefault="00394FE9" w:rsidP="004C384F">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Станом на теперішній час, в Україні діють наступні суди компетентні розглядати адміністративні справи з яких: 663 місцеві загальні суди, 27 окружних адміністративних судів, 9 апеляційних адміністративних судів та Касаційний адміністративний суд у складі Верховного Суду.</w:t>
      </w:r>
    </w:p>
    <w:p w:rsidR="00394FE9" w:rsidRPr="00EE6F29" w:rsidRDefault="00394FE9" w:rsidP="00730529">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Визначення адміністративного суду здійснюється за допомогою механізму підсудності адміністративних справ, передбаченої у статтях 18-21 КАС України, яка у свою чергу, діє на підставі таких функцій, як «фільтрація» та «розподілення» </w:t>
      </w:r>
    </w:p>
    <w:p w:rsidR="00394FE9" w:rsidRPr="00EE6F29" w:rsidRDefault="00394FE9" w:rsidP="00B65766">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Бевзенко В.М. досліджуючи питання адміністративної підсудності справ, вказав, що «в адміністративному судочинстві критерії підсудності адміністративних справ можливо поділити на дві групи». Так, вчений наводить наступну групу критеріїв:</w:t>
      </w:r>
    </w:p>
    <w:p w:rsidR="00394FE9" w:rsidRPr="00EE6F29" w:rsidRDefault="00394FE9" w:rsidP="00B65766">
      <w:pPr>
        <w:spacing w:after="0" w:line="360" w:lineRule="auto"/>
        <w:ind w:firstLine="567"/>
        <w:jc w:val="both"/>
        <w:rPr>
          <w:rFonts w:ascii="Times New Roman" w:hAnsi="Times New Roman" w:cs="Times New Roman"/>
          <w:i/>
          <w:sz w:val="28"/>
          <w:szCs w:val="28"/>
        </w:rPr>
      </w:pPr>
      <w:r w:rsidRPr="00EE6F29">
        <w:rPr>
          <w:rFonts w:ascii="Times New Roman" w:hAnsi="Times New Roman" w:cs="Times New Roman"/>
          <w:i/>
          <w:sz w:val="28"/>
          <w:szCs w:val="28"/>
        </w:rPr>
        <w:t>1. Критерії, що безпосередньо випливають із адміністративно-правових спорів, що визначені в КАС України:</w:t>
      </w:r>
    </w:p>
    <w:p w:rsidR="00394FE9" w:rsidRPr="00EE6F29" w:rsidRDefault="00394FE9" w:rsidP="00B65766">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СВП (публічного адміністрування), інший суб’єкт наділений адміністративними повноваженнями;</w:t>
      </w:r>
    </w:p>
    <w:p w:rsidR="00394FE9" w:rsidRPr="00EE6F29" w:rsidRDefault="00394FE9" w:rsidP="00B65766">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рішення, дія або бездіяльність СВП (публічного адміністрування), іншого суб’єкта наділеного адміністративними повноваженнями;</w:t>
      </w:r>
    </w:p>
    <w:p w:rsidR="00394FE9" w:rsidRPr="00EE6F29" w:rsidRDefault="00394FE9" w:rsidP="00B65766">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категорія адміністративної справи, яка розглядається та вирішується судом;</w:t>
      </w:r>
    </w:p>
    <w:p w:rsidR="00394FE9" w:rsidRPr="00EE6F29" w:rsidRDefault="00394FE9" w:rsidP="00B65766">
      <w:pPr>
        <w:spacing w:after="0" w:line="360" w:lineRule="auto"/>
        <w:ind w:firstLine="567"/>
        <w:jc w:val="both"/>
        <w:rPr>
          <w:rFonts w:ascii="Times New Roman" w:hAnsi="Times New Roman" w:cs="Times New Roman"/>
          <w:i/>
          <w:sz w:val="28"/>
          <w:szCs w:val="28"/>
        </w:rPr>
      </w:pPr>
      <w:r w:rsidRPr="00EE6F29">
        <w:rPr>
          <w:rFonts w:ascii="Times New Roman" w:hAnsi="Times New Roman" w:cs="Times New Roman"/>
          <w:i/>
          <w:sz w:val="28"/>
          <w:szCs w:val="28"/>
        </w:rPr>
        <w:t>2. Критерії, що закріплені в Основному Законі, КАС України та Законі України «Про судоустрій і статус суддів»:</w:t>
      </w:r>
    </w:p>
    <w:p w:rsidR="00394FE9" w:rsidRPr="00EE6F29" w:rsidRDefault="00394FE9" w:rsidP="00B65766">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місцезнаходження;</w:t>
      </w:r>
    </w:p>
    <w:p w:rsidR="00394FE9" w:rsidRPr="00EE6F29" w:rsidRDefault="00394FE9" w:rsidP="00AF0E85">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судова інстанція [43, с. 185-186].</w:t>
      </w:r>
    </w:p>
    <w:p w:rsidR="00394FE9" w:rsidRPr="00EE6F29" w:rsidRDefault="00394FE9" w:rsidP="00AF0E85">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Основна мета впровадження підсудності адміністративної справи полягає у забезпеченні: доступності; рівномірного розподілу спорів;об’єктивного, кваліфікованого, неупередженого, оперативного, зручного розгляду та вирішення адміністративними судами справ.</w:t>
      </w:r>
    </w:p>
    <w:p w:rsidR="00394FE9" w:rsidRPr="00EE6F29" w:rsidRDefault="00394FE9" w:rsidP="00AF0E85">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З огляду на зміст статей 18-21 КАС України, вбачається чотири фундаментальних види підсудності адміністративних справ, а саме: предметна, територіальна, інстанційна та підсудність кількох пов’язаних між собою вимог [23].</w:t>
      </w:r>
    </w:p>
    <w:p w:rsidR="00394FE9" w:rsidRPr="00EE6F29" w:rsidRDefault="00394FE9" w:rsidP="002C39E7">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Характеризуючи класифікацію підсудності справ, можемо казати про те, що за допомогою останніх надається можливість: систематизації, послідовності визначення конкретного адміністративного суду, забезпечення стабільності визначення підсудності сторонами (представниками сторін), адміністративними судами.</w:t>
      </w:r>
    </w:p>
    <w:p w:rsidR="00394FE9" w:rsidRPr="00EE6F29" w:rsidRDefault="00394FE9" w:rsidP="00395F67">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Слід також відмітити, що розгляд справ, пов’язаних із оскарженням рішень СВП щодо притягнення до адміністративної відповідальності віднесені безпосередньо до компетенції місцевим загальним судам, відповідно до правил ст. 19 КАС України (предметної юрисдикції) та в залежності від ст. 25-27 КАС України (територіальної юрисдикції). Окрім того, у п. 1 ч. 1 ст. 20 КАС України чітко передбачено розмежування предметної юрисдикції адміністративних судів. У зазначеному положенні вказується, що «саме місцевим загальним судам як адміністративним судам підсудні адміністративні справи з приводу рішень, дій чи бездіяльності суб’єктів владних повноважень у справах про притягнення до адміністративної відповідальності» [23].</w:t>
      </w:r>
    </w:p>
    <w:p w:rsidR="00394FE9" w:rsidRPr="00EE6F29" w:rsidRDefault="00394FE9" w:rsidP="00A4283E">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Розглядаючи предметну юрисдикцію, необхідно звернути увагу на те, що остання встановлює кореляцію справ і судів за ознаками предмету спору (позову).</w:t>
      </w:r>
    </w:p>
    <w:p w:rsidR="00394FE9" w:rsidRPr="00EE6F29" w:rsidRDefault="00394FE9" w:rsidP="00A4283E">
      <w:pPr>
        <w:spacing w:after="0" w:line="360" w:lineRule="auto"/>
        <w:ind w:firstLine="567"/>
        <w:jc w:val="both"/>
        <w:rPr>
          <w:rFonts w:ascii="Times New Roman" w:hAnsi="Times New Roman" w:cs="Times New Roman"/>
          <w:i/>
          <w:sz w:val="28"/>
          <w:szCs w:val="28"/>
        </w:rPr>
      </w:pPr>
      <w:r w:rsidRPr="00EE6F29">
        <w:rPr>
          <w:rFonts w:ascii="Times New Roman" w:hAnsi="Times New Roman" w:cs="Times New Roman"/>
          <w:i/>
          <w:sz w:val="28"/>
          <w:szCs w:val="28"/>
        </w:rPr>
        <w:t>Окрім того, предмета підсудність справ має наступні особливості:</w:t>
      </w:r>
    </w:p>
    <w:p w:rsidR="00394FE9" w:rsidRPr="00EE6F29" w:rsidRDefault="00394FE9" w:rsidP="00A4283E">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характер розподілу справ;</w:t>
      </w:r>
    </w:p>
    <w:p w:rsidR="00394FE9" w:rsidRPr="00EE6F29" w:rsidRDefault="00394FE9" w:rsidP="00A4283E">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має першочергове значення для суду при визначенні компетентності на розгляд справи адміністративної юрисдикції;</w:t>
      </w:r>
    </w:p>
    <w:p w:rsidR="00394FE9" w:rsidRPr="00EE6F29" w:rsidRDefault="00394FE9" w:rsidP="00395F67">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Розглядаючи територіальну підсудність, необхідно зазначити, що остання визначає кореляцію судів за місцем розгляду справи. Таким чином, територіальна підсудність направлена на розмежування повноважень розгляду справ між однорідними адміністративними судами залежно від зони покриття (території) поширення діяльності, а також, персоніфікує суди з розгляду тієї чи іншої справи.</w:t>
      </w:r>
    </w:p>
    <w:p w:rsidR="00394FE9" w:rsidRPr="00EE6F29" w:rsidRDefault="00394FE9" w:rsidP="00395F67">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Чинний КАС України, як і більшість інших процесуальних кодексів (кодексів, які містять процесуальні положення щодо визначення підсудності (підслідності) справ) закріплює правила визначення підсудності, які виходячи з об’єкту даного дослідження, можемо поділити на наступні три групи, а саме: ті, які вирішуються судом за місцезнаходженням відповідача; ті, які вирішуються за зареєстрованим місцем проживання позивача або, внаслідок набуття статусу «внутрішньо-переміщеної особи» за місцем темпорального фактичного перебування такої особи; ті, які вирішуються за вибором позивача та дискреційно на розсуд суду адміністративної юрисдикції.</w:t>
      </w:r>
    </w:p>
    <w:p w:rsidR="00394FE9" w:rsidRPr="00EE6F29" w:rsidRDefault="00394FE9" w:rsidP="00395F67">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Таким чином, за допомогою територіальної підсудності надається можливість майбутнім учасникам процесу визначитись, до якого суду адміністративної юрисдикції необхідно звернутися з приводу порушеного у позовній заяві предмету спору.</w:t>
      </w:r>
    </w:p>
    <w:p w:rsidR="00394FE9" w:rsidRPr="00EE6F29" w:rsidRDefault="00394FE9" w:rsidP="00E10F26">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Наступним видом є інстанційна підсудність, яка корелює справи та суди в залежності від ієрархічної компетенції тадії суб’єкта, що безпосередньо передбачена процесуальним кодексом (наприклад, подання позову; оскарження рішення суду відносно того чи іншого факту або права (апеляційний суд, апеляційний адміністративний суд), або оскарження рішення суду в частині права (КАС у складі ВС).</w:t>
      </w:r>
    </w:p>
    <w:p w:rsidR="00394FE9" w:rsidRPr="00EE6F29" w:rsidRDefault="00394FE9" w:rsidP="00E10F26">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Розглядаючи інстанційну підсудність, необхідно звернути увагу на те, що остання відображає спрямованість на Європейські стандарти щодо реалізації права особи на доступ до правосуддя в аспекті можливості касаційного (третього) перегляду справи [44].</w:t>
      </w:r>
    </w:p>
    <w:p w:rsidR="00394FE9" w:rsidRPr="00EE6F29" w:rsidRDefault="00394FE9" w:rsidP="00E10F26">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Окрім того, як було зазначено вище, вказаний від підсудності спрямований на ієрархічне розмежування в залежності від мети процесуальної дії учасника процесу, а саме: суди першої інстанції – місцеві суди загальної компетенції або окружні адміністративні суди (суди першої інстанції); апеляційні суди загальної компетенції (в залежності від предмету спору, наприклад, оскарження рішення суду щодо притягнення особи до адміністративної відповідальності, передбаченої ст. 130 КУпАП) або апеляційні адміністративні суди (суди другої (апеляційної) інстанції); КАС у складі ВС (суд третьої (касаційної) інстанції).</w:t>
      </w:r>
    </w:p>
    <w:p w:rsidR="00394FE9" w:rsidRPr="00EE6F29" w:rsidRDefault="00394FE9" w:rsidP="00B65753">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Останній вид підсудності, передбачений КАС України є підсудність кількох пов’язаних між собою вимог, який надає можливість позивачу заявити кілька вимог в одній позовній заяві, якщо вони пов’язані між собою, з огляду на те, що на практиці може трапитися така обставина, що зумовлює необхідність своєчасного звернення з позовною заявою до суду, за наявності того, що одна вимога суперечить за територіальною підсудністю іншій, по при це, викладені вимогу в межах одного предмету позовної заяви.</w:t>
      </w:r>
    </w:p>
    <w:p w:rsidR="00394FE9" w:rsidRPr="00EE6F29" w:rsidRDefault="00394FE9" w:rsidP="00B65753">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Таким чином, законодавець передбачив підсудність кількох пов’язаних між собою вимог, за наявності яких, перевага розгляду сукупності таких вимог надається спеціалізованому адміністративному суду, наприклад, одна з вимог позовної заяви підсудна місцевому загальному суду, проте інша вимога підсудна окружному адміністративному суду, у зв’язку з чим, окружний адміністративний суд має компетенцію на розгляд обох заявлених вимог.</w:t>
      </w:r>
    </w:p>
    <w:p w:rsidR="00394FE9" w:rsidRPr="00EE6F29" w:rsidRDefault="00394FE9" w:rsidP="00E6216B">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З урахуванням теми дипломного дослідження, слід приділити увагу безпосередньо особливостям провадження у справах щодо оскарження рішень, дій або бездіяльності СВП відносно притягнення до адміністративної відповідальності, який до набуття чинності ЗУ № 586-VI від 24.09.2008, врегульовувала стаття 286 КУпАП України. Проте, після набуття чинності зазначеного Закону, положення статті 286 КУпАП буливпроваджені безпосередньо до КАС України, а саме у параграф 2 «Розгляд окремих категорій термінових адміністративних справ» Глави 11 «Особливості позовного провадження в окремих категоріях адміністративних справ».</w:t>
      </w:r>
    </w:p>
    <w:p w:rsidR="00394FE9" w:rsidRPr="00EE6F29" w:rsidRDefault="00394FE9" w:rsidP="00ED259A">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Слід відмітити, що стаття 286 КАС України дублює визначення суду, компетентного розглядати вказаний вид проваджень, встановлює строк звернення до суду за захистом порушеного права, повноваження суду за наслідком розгляду справи, строк на звернення до суду апеляційної інстанції, певні обмеження для суду апеляційної інстанції, пов’язані з застосуванням меж адміністративної відповідальності.</w:t>
      </w:r>
    </w:p>
    <w:p w:rsidR="00394FE9" w:rsidRPr="00EE6F29" w:rsidRDefault="00394FE9" w:rsidP="00FC36A3">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З аналізу положень чинного КАС України можемо казати про те, що особа, яка має на меті звернутися до суду за захистом порушеного права внаслідок неправомірного рішення, дії або бездіяльності СВП, яким було притягнуто (винесеноабо вручено постанову)до адміністративної відповідальності, має подати до належного за визначеною КАС України підсудністю суду адміністративної юрисдикції, в порядку визначеному ст. 168 КАС України позовну заяву, яка у свою чергу, має відповідати вимогам, передбаченим статтею 160 КАС України.</w:t>
      </w:r>
    </w:p>
    <w:p w:rsidR="00394FE9" w:rsidRPr="00EE6F29" w:rsidRDefault="00394FE9" w:rsidP="00A71F87">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Як зазначалось вище, суд, компетентний розглядати дану категорію справ є місцевий загальний суд, відповідно до правил, передбачених ст. 19 КАС України (предметної юрисдикції) та в залежності від ст. 25-27 КАС України (територіальної юрисдикції). </w:t>
      </w:r>
    </w:p>
    <w:p w:rsidR="00394FE9" w:rsidRPr="00EE6F29" w:rsidRDefault="00394FE9" w:rsidP="00A71F87">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У свою чергу, суд на стадії відкриття провадження у справі керується правилами, передбаченими ст. 169-172 КАС України та встановлює чи відповідає позовна заява вимогам, передбаченим ст. 160, 161 КАС України. На практиці, досить часто позовні заяви у даній категорії справ залишаються без руху через обрання позивачем неналежного відповідача, неподання належним чином завіреного доказу або, у разі, наявності представника – неподання належним чином завірених документів, які підтверджують повноваження особи здійснювати представництво позивача.</w:t>
      </w:r>
    </w:p>
    <w:p w:rsidR="00394FE9" w:rsidRPr="00EE6F29" w:rsidRDefault="00394FE9" w:rsidP="00067625">
      <w:pPr>
        <w:pStyle w:val="BodyText"/>
        <w:ind w:firstLine="567"/>
        <w:jc w:val="both"/>
        <w:rPr>
          <w:rFonts w:ascii="Times New Roman" w:hAnsi="Times New Roman"/>
          <w:sz w:val="28"/>
          <w:szCs w:val="28"/>
        </w:rPr>
      </w:pPr>
      <w:r w:rsidRPr="00EE6F29">
        <w:rPr>
          <w:rFonts w:ascii="Times New Roman" w:hAnsi="Times New Roman"/>
          <w:sz w:val="28"/>
          <w:szCs w:val="28"/>
        </w:rPr>
        <w:t>Окрім того, на цьому етапі також вбачається особливість пов’язана зі строками звернення до адміністративного суду про порушення прав, свобод чи інтересів внаслідок прийнятого СВП оскаржуваного рішення щодо притягнення до адміністративної відповідальності. Дотримання строків звернення до суду визначаються міжнародними стандартами одним із головних елементів права на справедливий суд.</w:t>
      </w:r>
    </w:p>
    <w:p w:rsidR="00394FE9" w:rsidRPr="00EE6F29" w:rsidRDefault="00394FE9" w:rsidP="00142730">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КАС у складі ВС по справі №813/3756/17 від 23.04.2020 року визначив мету строку, зазначивши, що він у свою чергу забезпечує принцип правової визначеності, направлений на дисциплінування учасників судочинства, досягнення юридичної визначеності у публічних відносинах та стимулювання учасників добросовісно ставитися до виконання своїх обов’язків, обмеження часу, протягом якого правовідносини несуть собою спірний характер, відносно останнього КАС ВС неодноразово звертав увагу на те, що особа, яка тривалий час (поза межами строку передбаченого на звернення до адміністративного суду з позовною заявою з метою захисту порушеного права, свобод чи інтересів) не звернулася до суду, ті публічно-правові відносини, які особа вважала спірними набувають презумпцію (лат. Stabilitas) – стабільності. Тобто, такі відносини вважаються врегульованими поза межами судового розгляду, або необхідність врегулювання таких відносин стала неактуальною для сторін та вирішеною без участі адміністративного суду [45].</w:t>
      </w:r>
    </w:p>
    <w:p w:rsidR="00394FE9" w:rsidRPr="00EE6F29" w:rsidRDefault="00394FE9" w:rsidP="00142730">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Відносно вказаного, цікавою є позиція, викладена у Постанові ВПВС від 01 лютого 2024 року по справі №990/270/23 в якій зазначено, що «поважними причинами пропуску строку є ті, які унеможливлюють або ускладнюють можливість вчинення дій у визначений законом строк, які є об`єктивно непереборними, не залежать від волевиявлення особи, що звернулась з адміністративним позовом, пов`язані з дійсно істотними обставинами, перешкодами чи труднощами, що унеможливили своєчасне звернення до суду та підтверджені належними і допустимими доказами. Незнання про порушення своїх прав через байдужість або небажання дізнатися не є поважною причиною пропуску строку звернення до суду» [46].</w:t>
      </w:r>
    </w:p>
    <w:p w:rsidR="00394FE9" w:rsidRPr="00EE6F29" w:rsidRDefault="00394FE9" w:rsidP="00142730">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Отже, слід відмітити, що строк на звернення до адміністративного суду є відміним від позовної давності, що передбачена у приватному праві, зокрема визначеної у ЦК України, з огляду на характер правовідносин та залежності від публічного чи приватного права, особливо виражено у тривалості часу, імперативністю за якою сторони можуть збільшити такий строк, зупиненням та перериванням строку, правовими наслідками пропуску відповідно до яких суд залишає позовну заяву без розгляду або відмовляє у позові.</w:t>
      </w:r>
    </w:p>
    <w:p w:rsidR="00394FE9" w:rsidRPr="00EE6F29" w:rsidRDefault="00394FE9" w:rsidP="00142730">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Так, статтею 122 КАС України визначено, що «позов може бути подано в межах строку звернення до адміністративного суду, встановленого цим Кодексом або іншими законами» [23], що на відмінну від передбаченої мети строку позовної давності ЦК України відображає презумпцію правомірності адміністративного акту суб’єкта владних повноважень (принцип належного врядування), тобто, за цією концепцією держава внаслідок пропуску строку залишає за собою правомірність прийнятого акту, натомість внаслідок пропуску строку позовної давності, як приклад, особа залишає за собою правомірність набутого майна внаслідок вчиненого правочину.  </w:t>
      </w:r>
    </w:p>
    <w:p w:rsidR="00394FE9" w:rsidRPr="00EE6F29" w:rsidRDefault="00394FE9" w:rsidP="00142730">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Зокрема, у чинній редакції КАС України процесуальним строкам присвячено 6 статей, викладених в окремій Главі 6 «Процесуальні строки» у Розділі І «Загальні положення». В інших частинах КАС України закріплено положення, в яких прямо чи опосередковано йдеться про строки, зокрема про особливості їх обчислення на окремих стадіях судового процесу.</w:t>
      </w:r>
    </w:p>
    <w:p w:rsidR="00394FE9" w:rsidRPr="00EE6F29" w:rsidRDefault="00394FE9" w:rsidP="00142730">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На відміну від ЦК України, законодавцем не класифіковано строки ані у КАС України, ані у КУпАП, проте з аналізу статті 122 КАС України, можемо встановити як загальні (6 місяців), так й спеціальні (параграф 2 Глави 11 КАС України) строки звернення до адміністративного суду, враховуючи ті строки, які передбачені відносно проваджень в окремих категоріях адміністративних справ.</w:t>
      </w:r>
    </w:p>
    <w:p w:rsidR="00394FE9" w:rsidRPr="00EE6F29" w:rsidRDefault="00394FE9" w:rsidP="00142730">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Варто відмітити також те, що з системного аналізу положення ст. 123 КАС України, за наслідком порушення справи про оскарження рішення, дій або бездіяльності СВП про притягнення до адміністративної відповідальності, у разі звернення особою (скаржником/позивачем) з позовом до суду після закінчення строків, установлених законом, відсутній безумовний наслідок повернення такого позову або залишення його без розгляду.</w:t>
      </w:r>
    </w:p>
    <w:p w:rsidR="00394FE9" w:rsidRPr="00EE6F29" w:rsidRDefault="00394FE9" w:rsidP="00142730">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На підтвердження зазначеного, КАС ВС неодноразово звертав увагу про неможливість суду залишати позови без розгляду лише за наявністю підстав пропуску позивачем строку звернення без надання особі можливості заявити відповідне клопотання про поновлення такого строку.</w:t>
      </w:r>
    </w:p>
    <w:p w:rsidR="00394FE9" w:rsidRPr="00EE6F29" w:rsidRDefault="00394FE9" w:rsidP="00142730">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Зокрема, такі висновки КАС ВС містяться у Постановах від 11 лютого 2021 року у справі №140/2046/19 [47], від 10 червня 2020 року у справі №620/1715/19 [48]. </w:t>
      </w:r>
    </w:p>
    <w:p w:rsidR="00394FE9" w:rsidRPr="00EE6F29" w:rsidRDefault="00394FE9" w:rsidP="007077F6">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За відсутністю підстав, визначених ст.169-170 КАС України для залишення позовної заяви без руху, повернення позовної заяви або відмови у відкритті провадження у справі, суд приймає позовну заяву до розгляду та відкриває провадження у справі, у зв’язку з чим, виноситьсятаке судове рішення, як «Ухвала».</w:t>
      </w:r>
    </w:p>
    <w:p w:rsidR="00394FE9" w:rsidRPr="00EE6F29" w:rsidRDefault="00394FE9" w:rsidP="007077F6">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Після відкриття провадження у справі та, враховуючи особливості даного виду провадження, розгляд справи здійснюється за правилами, передбаченими ч. 1-2 ст. 12 КАС України у порядку позовного провадження (загального або спрощеного). З огляду на пріоритет у швидкості вирішення (терміновості) справи, незначної складності даної категорії справ, останні розглядаються за правилами спрощеного позовного провадження з викликом сторін.</w:t>
      </w:r>
    </w:p>
    <w:p w:rsidR="00394FE9" w:rsidRPr="00EE6F29" w:rsidRDefault="00394FE9" w:rsidP="007077F6">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На відміну від розгляду інших видів проваджень, за правилами спрощеного позовного провадження, ч. 1 ст. 269 КАС України передбачено, що у справах, визначених ст. 285-289 КАС України, заявами по суті є лише позовна заява та відзив на позовну заяву</w:t>
      </w:r>
      <w:r w:rsidRPr="00EE6F29">
        <w:rPr>
          <w:rFonts w:ascii="Times New Roman" w:hAnsi="Times New Roman" w:cs="Times New Roman"/>
          <w:sz w:val="28"/>
          <w:szCs w:val="28"/>
          <w:lang w:val="ru-RU"/>
        </w:rPr>
        <w:t>[23]</w:t>
      </w:r>
      <w:r w:rsidRPr="00EE6F29">
        <w:rPr>
          <w:rFonts w:ascii="Times New Roman" w:hAnsi="Times New Roman" w:cs="Times New Roman"/>
          <w:sz w:val="28"/>
          <w:szCs w:val="28"/>
        </w:rPr>
        <w:t>.</w:t>
      </w:r>
    </w:p>
    <w:p w:rsidR="00394FE9" w:rsidRPr="00EE6F29" w:rsidRDefault="00394FE9" w:rsidP="007077F6">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По при це, вважаємо, що з огляду на загальні правила розгляду справ у спрощеному позовному провадженні та, враховуючи те, що з практичної точки зору така категорія справ розглядається більше ніж визначено статтею 286 КАС України 10 денний строк, положення ч. 1 ст. 269 КАС України потребує змін та доповнення.</w:t>
      </w:r>
    </w:p>
    <w:p w:rsidR="00394FE9" w:rsidRPr="00EE6F29" w:rsidRDefault="00394FE9" w:rsidP="007077F6">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Так, відповідно до ч. 2 ст. 261 КАС України «позивач має право подати відповідь на відзив, а відповідач – заперечення протягом строків, встановлених судом в ухвалі про відкриття провадження у справі» [23].</w:t>
      </w:r>
    </w:p>
    <w:p w:rsidR="00394FE9" w:rsidRPr="00EE6F29" w:rsidRDefault="00394FE9" w:rsidP="007077F6">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Відповідно до ч. 3 ст. 163 КАС України «суд має встановити строк подання відповіді на відзив, який дасть змогу позивачу підготувати свої пояснення, міркування та аргументи та відповідні докази, іншим учасникам справи - отримати відповідь на відзив завчасно до початку розгляду справи по суті, а відповідачу - надати учасникам справи заперечення завчасно до початку розгляду справи по суті» [23].</w:t>
      </w:r>
    </w:p>
    <w:p w:rsidR="00394FE9" w:rsidRPr="00EE6F29" w:rsidRDefault="00394FE9" w:rsidP="007E0F52">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З огляду на такі законодавчі обмеження, сторони фактично позбавлені можливості наводити процесуальні контраргументи, міркування на ту чи іншу правову позицію, виклад пояснень відносно тієї чи іншої обставини.</w:t>
      </w:r>
    </w:p>
    <w:p w:rsidR="00394FE9" w:rsidRPr="00EE6F29" w:rsidRDefault="00394FE9" w:rsidP="007E0F52">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Внаслідок остаточного з’ясування всіх обставин перед початком розгляду справи, суддя, керуючись ст. 268 КАС України повідомляє учасників справи про дату, час та місце розгляду судовою повісткою та/або через підсистему «ЕЛЕКТРОННИЙ СУД».</w:t>
      </w:r>
    </w:p>
    <w:p w:rsidR="00394FE9" w:rsidRPr="00EE6F29" w:rsidRDefault="00394FE9" w:rsidP="007E0F52">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Слід також відмітити, що неприбуття у судовезасіданняучасника справи, повідомленого відповідно до зазначеної статті, не перешкоджає розгляду справи у судах першої та апеляційної інстанцій.</w:t>
      </w:r>
    </w:p>
    <w:p w:rsidR="00394FE9" w:rsidRPr="00EE6F29" w:rsidRDefault="00394FE9" w:rsidP="008233EC">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В ході розгляду справи в суді першої інстанції, учасники процесу фактично надають письмові докази, заявляють ті чи інші заяви/клопотання, які можуть вплинути на процес в ході судового провадження по справі. Натомість, спрощене позовне провадження з викликом сторін надає можливість дослідження в суді аудіо, фото, відео- доказів якими обґрунтовується позиція учасників процесу.</w:t>
      </w:r>
    </w:p>
    <w:p w:rsidR="00394FE9" w:rsidRPr="00EE6F29" w:rsidRDefault="00394FE9" w:rsidP="00124F96">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Слід також відмітити, що відповідно до усталеної практики КАС ВС, а також, загальної засади КАС України«обов’язок доказування правомірності прийнятого рішення – покладається на суб’єкта владних повноважень, а всі невизначені на користь позивача» [49, с. 312]. </w:t>
      </w:r>
    </w:p>
    <w:p w:rsidR="00394FE9" w:rsidRPr="00EE6F29" w:rsidRDefault="00394FE9" w:rsidP="00124F96">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При цьому, вважаємо, що правильний розгляд будь-якої справи залежить безпосередньо відприділеної уваги судді на докази, факти та обставини на які посилаються сторони, оскільки саме суддя має надавати належну правову оцінку тим юридичним та фактичним обставинам, що у свою чергу призводять до правильного або навпаки, хибного висновку, від якогозалежить кінцевий результат вирішення спору.</w:t>
      </w:r>
    </w:p>
    <w:p w:rsidR="00394FE9" w:rsidRPr="00EE6F29" w:rsidRDefault="00394FE9" w:rsidP="008233EC">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Як було зазначено вище, розгляд справи в суді першої інстанції по даній категорії справ має відбуватися протягом 10 днів. Проте, як правило, розгляд такої справи відбувається протягом місяця або більше. Зазначене зумовлено безпосередньо навантаженням справ на суддів, військовим станом, запровадженим Указом Президента України № 64/2022 «Про введення воєнного стану в Україні» [50] внаслідок збройної агресії РФ проти України, масованими ракетними ударами та аварійними відключеннями світла, через перевантаження енергетичних систем.</w:t>
      </w:r>
    </w:p>
    <w:p w:rsidR="00394FE9" w:rsidRPr="00EE6F29" w:rsidRDefault="00394FE9" w:rsidP="00124F96">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У переважній більшості, в місцевих загальних судах встановлено лише один генератор, який може забезпечити електроенергієюодну кімнату (залу суду). В інших районних, сільських, селищних судах взагалі відсутні будь-які генератори або акумулятори. Таким чином, вищезазначені життєві обставинизумовлюють до довготривалого розгляду справ.</w:t>
      </w:r>
    </w:p>
    <w:p w:rsidR="00394FE9" w:rsidRPr="00EE6F29" w:rsidRDefault="00394FE9" w:rsidP="00124F96">
      <w:pPr>
        <w:spacing w:after="0" w:line="360" w:lineRule="auto"/>
        <w:ind w:firstLine="567"/>
        <w:jc w:val="both"/>
        <w:rPr>
          <w:rFonts w:ascii="Times New Roman" w:hAnsi="Times New Roman" w:cs="Times New Roman"/>
          <w:i/>
          <w:sz w:val="28"/>
          <w:szCs w:val="28"/>
        </w:rPr>
      </w:pPr>
      <w:r w:rsidRPr="00EE6F29">
        <w:rPr>
          <w:rFonts w:ascii="Times New Roman" w:hAnsi="Times New Roman" w:cs="Times New Roman"/>
          <w:i/>
          <w:sz w:val="28"/>
          <w:szCs w:val="28"/>
        </w:rPr>
        <w:t>За наслідком розгляду справи, місцевий загальний суд має право:</w:t>
      </w:r>
    </w:p>
    <w:p w:rsidR="00394FE9" w:rsidRPr="00EE6F29" w:rsidRDefault="00394FE9" w:rsidP="00DF0D02">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«1) залишити рішення СВП без змін, а позовну заяву без задоволення;</w:t>
      </w:r>
    </w:p>
    <w:p w:rsidR="00394FE9" w:rsidRPr="00EE6F29" w:rsidRDefault="00394FE9" w:rsidP="00DF0D02">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2) скасувати рішення СВП і надіслати справу на новий розгляд до компетентного органу (посадової особи);</w:t>
      </w:r>
    </w:p>
    <w:p w:rsidR="00394FE9" w:rsidRPr="00EE6F29" w:rsidRDefault="00394FE9" w:rsidP="00DF0D02">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3) скасувати рішення СВП і закрити справу про адміністративне правопорушення;</w:t>
      </w:r>
    </w:p>
    <w:p w:rsidR="00394FE9" w:rsidRPr="00EE6F29" w:rsidRDefault="00394FE9" w:rsidP="00DF0D02">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4) змінити захід стягнення в межах, передбачених нормативним актом про відповідальність за адміністративне правопорушення, з тим, однак, щоб стягнення не було посилено» [23]. </w:t>
      </w:r>
    </w:p>
    <w:p w:rsidR="00394FE9" w:rsidRPr="00EE6F29" w:rsidRDefault="00394FE9" w:rsidP="00937F73">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Відносно зміни заходу стягнення, погоджуємось з думкою науковця Мельника О.Д., яким доцільно зауважено на некоректності вжиття терміну «захід» замість «види адміністративних стягнень». Так, Мельник О.Д., зазначає, що «внаслідок некоректної термінології законодавця, постає чи мало питань в ході практичного застосування зміни заходів стягнення в межах НПА про відповідальність за адміністративне правопорушення, оскільки стягнення в межах санкції встановлюється як наслідок оцінки: ступеня вини, наявності обтяжуючих чи пом’якшуючих обставин, особи порушника, у тому числі майнового стану, характеру вчиненого правопорушення»[49, с. 312-313].</w:t>
      </w:r>
    </w:p>
    <w:p w:rsidR="00394FE9" w:rsidRPr="00EE6F29" w:rsidRDefault="00394FE9" w:rsidP="002A4A75">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Так, відповідно до ч. 1 ст. 271 КАС України, у справах, зокрема визначених ст. 286 КАС України суд проголошує повне судове рішення. Проте, слід відміти, що відповідно до ч. 4 ст. 251 КАС України учасник по справі, може подати відповідну заяву про видачу повного тексту судового рішення (ухвали, рішення, постанови) до суду, який розглядав його справу. Окрім того, наразі, всі судові рішення, інші процесуальні документи та заяви по суті доступні учасникам процесу в підсистемі «ЕЛЕКТРОННИЙ СУД» за наявності доступу, який надається кожному з учасників уповноваженою особою (секретарем судового засідання або помічником судді).</w:t>
      </w:r>
    </w:p>
    <w:p w:rsidR="00394FE9" w:rsidRPr="00EE6F29" w:rsidRDefault="00394FE9" w:rsidP="009556A7">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Особливість даної категорії справ зумовлена також тією юридичною обставиною, що суд апеляційної інстанції виступає останньою ланкою для оскарження.</w:t>
      </w:r>
    </w:p>
    <w:p w:rsidR="00394FE9" w:rsidRPr="00EE6F29" w:rsidRDefault="00394FE9" w:rsidP="00445509">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«Рішення у термінових категоріях публічно-правових спорів в разі їх апеляційного перегляду спорів, набирають законну силу після проголошення рішення суду першої інстанції і подалі не можуть бути оскаржені» [23].Окрім того, вищезазначена категорія справ не може бути повернута на новий розгляд в суд першої інстанції. При цьому, «рішення суду апеляційної інстанції у справах, визначених статтями 280, 281, 283-2, 287, 288 та 289-4 цього Кодексу, можуть бути оскаржені до суду касаційної інстанції» [23].</w:t>
      </w:r>
    </w:p>
    <w:p w:rsidR="00394FE9" w:rsidRPr="00EE6F29" w:rsidRDefault="00394FE9" w:rsidP="003658C1">
      <w:pPr>
        <w:spacing w:after="0" w:line="360" w:lineRule="auto"/>
        <w:ind w:firstLine="567"/>
        <w:jc w:val="both"/>
        <w:rPr>
          <w:rFonts w:ascii="Times New Roman" w:hAnsi="Times New Roman" w:cs="Times New Roman"/>
          <w:sz w:val="28"/>
          <w:szCs w:val="28"/>
        </w:rPr>
      </w:pPr>
    </w:p>
    <w:p w:rsidR="00394FE9" w:rsidRPr="00EE6F29" w:rsidRDefault="00394FE9" w:rsidP="00634471">
      <w:pPr>
        <w:pStyle w:val="Heading2"/>
        <w:ind w:firstLine="567"/>
        <w:rPr>
          <w:rFonts w:ascii="Times New Roman" w:hAnsi="Times New Roman"/>
          <w:b/>
          <w:bCs/>
          <w:color w:val="auto"/>
          <w:sz w:val="28"/>
          <w:szCs w:val="28"/>
        </w:rPr>
      </w:pPr>
      <w:bookmarkStart w:id="9" w:name="_Toc179215269"/>
      <w:r w:rsidRPr="00EE6F29">
        <w:rPr>
          <w:rFonts w:ascii="Times New Roman" w:hAnsi="Times New Roman"/>
          <w:b/>
          <w:bCs/>
          <w:color w:val="auto"/>
          <w:sz w:val="28"/>
          <w:szCs w:val="28"/>
        </w:rPr>
        <w:t>Висновки до розділу 2</w:t>
      </w:r>
      <w:bookmarkEnd w:id="9"/>
    </w:p>
    <w:p w:rsidR="00394FE9" w:rsidRPr="00EE6F29" w:rsidRDefault="00394FE9" w:rsidP="004E0D27">
      <w:pPr>
        <w:spacing w:after="0" w:line="360" w:lineRule="auto"/>
        <w:ind w:firstLine="567"/>
        <w:jc w:val="both"/>
        <w:rPr>
          <w:rFonts w:ascii="Times New Roman" w:hAnsi="Times New Roman" w:cs="Times New Roman"/>
          <w:b/>
          <w:bCs/>
          <w:sz w:val="28"/>
          <w:szCs w:val="28"/>
        </w:rPr>
      </w:pPr>
    </w:p>
    <w:p w:rsidR="00394FE9" w:rsidRPr="00EE6F29" w:rsidRDefault="00394FE9" w:rsidP="00584DF4">
      <w:pPr>
        <w:spacing w:after="0" w:line="360" w:lineRule="auto"/>
        <w:ind w:firstLine="567"/>
        <w:jc w:val="both"/>
        <w:rPr>
          <w:rFonts w:ascii="Times New Roman" w:hAnsi="Times New Roman" w:cs="Times New Roman"/>
          <w:bCs/>
          <w:sz w:val="28"/>
          <w:szCs w:val="28"/>
        </w:rPr>
      </w:pPr>
      <w:r w:rsidRPr="00EE6F29">
        <w:rPr>
          <w:rFonts w:ascii="Times New Roman" w:hAnsi="Times New Roman" w:cs="Times New Roman"/>
          <w:bCs/>
          <w:sz w:val="28"/>
          <w:szCs w:val="28"/>
        </w:rPr>
        <w:t>Проаналізувавши вищевикладене, можемо дійти до наступних висновків. По-перше, нормативно-правові акти та акти індивідуальної дії, які становлять предмет публічно-правового спору мають суттєві відмінності між собою. Такі відмінності прослідковуються безпосередньо з огляду на ознаки, якими такі категоріальні поняття охоплюються.</w:t>
      </w:r>
    </w:p>
    <w:p w:rsidR="00394FE9" w:rsidRPr="00EE6F29" w:rsidRDefault="00394FE9" w:rsidP="00584DF4">
      <w:pPr>
        <w:spacing w:after="0" w:line="360" w:lineRule="auto"/>
        <w:ind w:firstLine="567"/>
        <w:jc w:val="both"/>
        <w:rPr>
          <w:rFonts w:ascii="Times New Roman" w:hAnsi="Times New Roman" w:cs="Times New Roman"/>
          <w:bCs/>
          <w:sz w:val="28"/>
          <w:szCs w:val="28"/>
        </w:rPr>
      </w:pPr>
      <w:r w:rsidRPr="00EE6F29">
        <w:rPr>
          <w:rFonts w:ascii="Times New Roman" w:hAnsi="Times New Roman" w:cs="Times New Roman"/>
          <w:bCs/>
          <w:sz w:val="28"/>
          <w:szCs w:val="28"/>
        </w:rPr>
        <w:t>З аналізу наукових думок, можемо констатувати, що це акти, які приймаються компетентними СВП</w:t>
      </w:r>
      <w:r w:rsidRPr="00EE6F29">
        <w:rPr>
          <w:rFonts w:ascii="Times New Roman" w:hAnsi="Times New Roman" w:cs="Times New Roman"/>
          <w:sz w:val="28"/>
          <w:szCs w:val="28"/>
        </w:rPr>
        <w:t>, юридична сила яких займає певне ієрархічне положення в структурі національного права в залежності від суб’єкта запровадження, а також, є обов’язково формально-визначеного характеру, з чітко визначеною процедурою прийняття та подальшою державною реєстрацією, поширює свою дію на невизначене коло суб’єктів права, з обов’язковим оприлюдненням в офіційних виданнях, з метою доведення до відома, які направлені на врегулювання тих чи інших суспільних правовідносин, породжуючи, змінюючи або припиняючи певну (певні) правила поведінки та забезпечення дії яких контролюється силою державного примусу.</w:t>
      </w:r>
    </w:p>
    <w:p w:rsidR="00394FE9" w:rsidRPr="00EE6F29" w:rsidRDefault="00394FE9" w:rsidP="00584DF4">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При цьому, акти індивідуальної дії за функціональним спрямуванням не створюють, не змінюють та не припиняють саме загальнообов’язкові правила поведінки, мають чітко виражений адресат та несуть одноразовий характер своєї дії. Окрім того, не потребують державної реєстрації та офіційного оприлюднення та набувають юридичну силу, як правило, з моменту прийняття.З досліджених нормативно-правових актів, вбачається, що акти індивідуальної дії мають різноманітне термінологічне значення в залежності від того чи іншого акту, який регламентує його, натомість сутність та єдність ознак відображає притаманну останньому категоріальну змістовність.Таким чином, різниця між нормативно-правовими актами та актами індивідуальної дії полягає у тім, що останні відображають акти, які своєю дією не можуть завдавати жодного випливу на ту чи іншу норму права, не потребують державної реєстрації та офіційного оприлюднення, оскільки набувають юридичної сили, як правило, з моменту прийняття, поширюючи дію на конкретно визначеного суб’єкта, вони є переважно темпоральними та вичерпуються фактом реалізації адресатом (суб’єктом адміністративних правовідносин) приписів такого акту, зумовлених конкретною ситуацією, внаслідок чого останній втрачає юридичну силу.</w:t>
      </w:r>
    </w:p>
    <w:p w:rsidR="00394FE9" w:rsidRPr="00EE6F29" w:rsidRDefault="00394FE9" w:rsidP="007208C7">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По-друге, розгляд справ, пов’язаних із оскарженням рішень СВП щодо притягнення до адміністративної відповідальності віднесені безпосередньо до компетенції місцевим загальним судам, відповідно до правил ст. 19 КАС України (предметної юрисдикції) та в залежності від ст. 25-27 КАС України (територіальної юрисдикції).</w:t>
      </w:r>
    </w:p>
    <w:p w:rsidR="00394FE9" w:rsidRPr="00EE6F29" w:rsidRDefault="00394FE9" w:rsidP="005C3844">
      <w:pPr>
        <w:pStyle w:val="BodyText"/>
        <w:ind w:firstLine="567"/>
        <w:jc w:val="both"/>
        <w:rPr>
          <w:rFonts w:ascii="Times New Roman" w:hAnsi="Times New Roman"/>
          <w:sz w:val="28"/>
          <w:szCs w:val="28"/>
        </w:rPr>
      </w:pPr>
      <w:r w:rsidRPr="00EE6F29">
        <w:rPr>
          <w:rFonts w:ascii="Times New Roman" w:hAnsi="Times New Roman"/>
          <w:sz w:val="28"/>
          <w:szCs w:val="28"/>
        </w:rPr>
        <w:t>По-третє, вбачається особливість пов’язана зі строками звернення до адміністративного суду про порушення прав, свобод чи інтересів внаслідок прийнятого СВП оскаржуваного рішення щодо притягнення до адміністративної відповідальності, який у свою чергу є відміним від строк на звернення до суду в інших категоріях предметної юрисдикції (видів) публічно-правових спорах. На відмінну від передбаченої мети строку позовної давності приватного права, у даній категорії справ відображено презумпцію правомірності адміністративного акту суб’єкта владних повноважень (принцип належного врядування).</w:t>
      </w:r>
    </w:p>
    <w:p w:rsidR="00394FE9" w:rsidRPr="00EE6F29" w:rsidRDefault="00394FE9" w:rsidP="00DE61AB">
      <w:pPr>
        <w:pStyle w:val="BodyText"/>
        <w:ind w:firstLine="567"/>
        <w:jc w:val="both"/>
        <w:rPr>
          <w:rFonts w:ascii="Times New Roman" w:hAnsi="Times New Roman"/>
          <w:sz w:val="28"/>
          <w:szCs w:val="28"/>
        </w:rPr>
      </w:pPr>
      <w:r w:rsidRPr="00EE6F29">
        <w:rPr>
          <w:rFonts w:ascii="Times New Roman" w:hAnsi="Times New Roman"/>
          <w:sz w:val="28"/>
          <w:szCs w:val="28"/>
        </w:rPr>
        <w:t>По-четверте, на відміну від розгляду інших видів проваджень, за правилами спрощеного позовного провадженняКАС України, ч. 1 ст. 269 КАС України передбачено, що у справах, визначених ст. 285-289 КАС України, заявами по суті є лише позовна заява та відзив на позовну заяву, у зв’язку з чим, вважаємо, що з огляду на загальні правила розгляду справ у спрощеному позовному провадженні та, враховуючи те, що з практичної точки зору така категорія справ розглядається більше ніж визначено статтею 286 КАС України 10 денний строк, положення ч. 1 ст. 269 КАС України потребує змін та доповнення.З огляду на такі законодавчі обмеження, сторони фактично позбавлені можливості наводити процесуальні контраргументи, міркування на ту чи іншу правову позицію, виклад пояснень відносно тієї чи іншої обставини.</w:t>
      </w:r>
    </w:p>
    <w:p w:rsidR="00394FE9" w:rsidRPr="00EE6F29" w:rsidRDefault="00394FE9" w:rsidP="00DE61AB">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Окрім того, вищезазначена категорія справ не може бути повернута на новий розгляд в суд першої інстанції, а рішення суду апеляційної інстанції не можуть бути оскаржені до суду касаційної інстанції.</w:t>
      </w:r>
    </w:p>
    <w:p w:rsidR="00394FE9" w:rsidRPr="00EE6F29" w:rsidRDefault="00394FE9" w:rsidP="00485AAC">
      <w:pPr>
        <w:spacing w:after="0" w:line="360" w:lineRule="auto"/>
        <w:ind w:firstLine="567"/>
        <w:jc w:val="both"/>
        <w:rPr>
          <w:rFonts w:ascii="Times New Roman" w:hAnsi="Times New Roman" w:cs="Times New Roman"/>
          <w:b/>
          <w:bCs/>
          <w:sz w:val="28"/>
          <w:szCs w:val="28"/>
        </w:rPr>
      </w:pPr>
    </w:p>
    <w:p w:rsidR="00394FE9" w:rsidRPr="00EE6F29" w:rsidRDefault="00394FE9" w:rsidP="00757331">
      <w:pPr>
        <w:pStyle w:val="BodyText"/>
        <w:pageBreakBefore/>
        <w:spacing w:before="240" w:after="240"/>
        <w:outlineLvl w:val="0"/>
        <w:rPr>
          <w:rFonts w:ascii="Times New Roman" w:hAnsi="Times New Roman"/>
          <w:b/>
          <w:bCs/>
          <w:sz w:val="28"/>
          <w:szCs w:val="28"/>
        </w:rPr>
      </w:pPr>
      <w:bookmarkStart w:id="10" w:name="_Toc179215270"/>
      <w:r w:rsidRPr="00EE6F29">
        <w:rPr>
          <w:rFonts w:ascii="Times New Roman" w:hAnsi="Times New Roman"/>
          <w:b/>
          <w:bCs/>
          <w:sz w:val="28"/>
          <w:szCs w:val="28"/>
        </w:rPr>
        <w:t>РОЗДІЛ 3. НАПРЯМИ УДОСКОНАЛЕННЯ ЗАКОНОДАВСТВА УКРАЇНИ В ЧАСТИНІ ОСКАРЖЕННЯ РІШЕНЬ СУБ’ЄКТІВ ВЛАДНИХ ПОВНОВАЖЕНЬ У СФЕРІ АДМІНІСТРАТИВНО-ДЕЛІКТНИХ ПРАВОВІДНОСИН</w:t>
      </w:r>
      <w:bookmarkEnd w:id="10"/>
    </w:p>
    <w:p w:rsidR="00394FE9" w:rsidRPr="00EE6F29" w:rsidRDefault="00394FE9" w:rsidP="00757331">
      <w:pPr>
        <w:pStyle w:val="BodyText"/>
        <w:spacing w:before="240" w:after="240"/>
        <w:ind w:firstLine="567"/>
        <w:jc w:val="both"/>
        <w:outlineLvl w:val="1"/>
        <w:rPr>
          <w:rFonts w:ascii="Times New Roman" w:hAnsi="Times New Roman"/>
          <w:b/>
          <w:bCs/>
          <w:sz w:val="28"/>
          <w:szCs w:val="28"/>
        </w:rPr>
      </w:pPr>
      <w:bookmarkStart w:id="11" w:name="_Toc179215271"/>
      <w:r w:rsidRPr="00EE6F29">
        <w:rPr>
          <w:rFonts w:ascii="Times New Roman" w:hAnsi="Times New Roman"/>
          <w:b/>
          <w:bCs/>
          <w:sz w:val="28"/>
          <w:szCs w:val="28"/>
        </w:rPr>
        <w:t>3.1. Зарубіжний досвід правового регулювання процедури оскарження рішення суб’єктів владних повноважень у сфері адміністративно-деліктних правовідносин</w:t>
      </w:r>
      <w:bookmarkEnd w:id="11"/>
    </w:p>
    <w:p w:rsidR="00394FE9" w:rsidRPr="00EE6F29" w:rsidRDefault="00394FE9" w:rsidP="007F24A8">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Аналізуючи окреслене питання нами було виявлено, що чинне законодавство України, яким передбачено процедуру оскарження та вирішення інших питань в порядку розгляду та притягнення осіб до адміністративної відповідальності, станом на сьогоднішній день, не відображає належної тенденції та динаміки до усталених міжнародних стандартів, про які неодноразово наголошував у своїй практиці Європейський суд по правам людини.</w:t>
      </w:r>
    </w:p>
    <w:p w:rsidR="00394FE9" w:rsidRPr="00EE6F29" w:rsidRDefault="00394FE9" w:rsidP="007F24A8">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Більшість таких проблемних питань, пов’язаних з процедурою оскарження рішень СВП вже були визначені у попередньому розділі даної дипломної роботи. </w:t>
      </w:r>
    </w:p>
    <w:p w:rsidR="00394FE9" w:rsidRPr="00EE6F29" w:rsidRDefault="00394FE9" w:rsidP="007F24A8">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З огляду на необхідність подолання виявлених проблем, доцільним є аналіз досвіду зарубіжних країн, з метоювстановлення та розробки можливості імплементації з прогнозуванням подальшої реалізації положень таких країн для подолання суттєвих порушень прав, свобод та інтересів людини і громадянина раніше виявлених прогалин у національному законодавстві України.</w:t>
      </w:r>
    </w:p>
    <w:p w:rsidR="00394FE9" w:rsidRPr="00EE6F29" w:rsidRDefault="00394FE9" w:rsidP="007F24A8">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Переважна більшість нормативно-правових актів, що охоплюють фундамент адміністративно-деліктної відповідальності у нашій державі є недостатньо систематизованими, чим зумовлюється наявність прогалин у сфері притягнення винних осіб до адміністративної відповідальності.</w:t>
      </w:r>
    </w:p>
    <w:p w:rsidR="00394FE9" w:rsidRPr="00EE6F29" w:rsidRDefault="00394FE9" w:rsidP="00A42FAF">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З аналізу законодавства ФРН, Швейцарії, Польщі та Нідерландівможемо дійти до висновку, щоу різних країнах впроваджено нетотожні одна до одноїпроцедури оскарження рішень СВП, зокрема у справах пов’язаних з притягненням до адміністративної відповідальності, що у свою чергу, пов’язано з історичними та культурними чинниками поетапного розвитку країн. </w:t>
      </w:r>
    </w:p>
    <w:p w:rsidR="00394FE9" w:rsidRPr="00EE6F29" w:rsidRDefault="00394FE9" w:rsidP="008911C1">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Окрім того, доцільно буде зазначити, що переважно у більшості зарубіжних країн взагалі відсутні кодекси про адміністративні правопорушення, взамін яких базовими нормативно-правовими актами, регламентуючими аналоги адміністративно-деліктних правовідносин за аналогією до КУпАП виступають кримінальні та кримінально-процесуальні кодекси.</w:t>
      </w:r>
    </w:p>
    <w:p w:rsidR="00394FE9" w:rsidRPr="00EE6F29" w:rsidRDefault="00394FE9" w:rsidP="00221392">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Цікаве бачення адміністративної відповідальності вбачається у французькому адміністративному праві. Такий вчений, як Н. Грищук зазначає, що «адміністративна відповідальність у Франції, створена внаслідок французької доктрини адміністративного права та схожа на цивільну відповідальність» [51, с. 134]. Таке твердження обґрунтоване тим, що французька адміністративно-деліктна доктрина зводиться до наступної точки зору: відповідальність полягає як за винне діяння, так і за діяння, не пов’язане з виною. Зазначене випливає з правозахисного характеру права, спрямований на запобігання вчинення адміністративного правопорушення за наявності підтверджених ризиків можливого вчинення адміністративного правопорушення та спричинення шкоди інтересам приватної особи. Саме така конструкція відповідальності використовується у правовій системі Австрії, Іспанії та Греції.</w:t>
      </w:r>
    </w:p>
    <w:p w:rsidR="00394FE9" w:rsidRPr="00EE6F29" w:rsidRDefault="00394FE9" w:rsidP="004236E2">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Сфера адміністративної відповідальності в Данії врегульовується нормами кримінального законодавства, на відмінну від Польщі, в якій адміністративні правопорушення регламентуються кодексом про адміністративні проступки. Унікальним за нормативно-правовим характером регулювання адміністративної відповідальності вбачається законодавство Естонії, Хорватії та Болгарії, в яких поєднано адміністративне-деліктне та кримінальне законодавство. Фактично таке нормативно-правове регулювання Естонії, Хорватії та Болгарії розповсюджує дію на провадження у справах про адміністративні правопорушення за відсутністю врегулювання останніх в адміністративно-деліктному законодавстві про проступки [51, с. 135]. </w:t>
      </w:r>
    </w:p>
    <w:p w:rsidR="00394FE9" w:rsidRPr="00EE6F29" w:rsidRDefault="00394FE9" w:rsidP="008911C1">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За наявністю певних відмінностейвідносно розмежування адміністративно-деліктних правовідносин, процедури оскарження рішень СВП щодо порушених справ про притягнення до адміністративної відповідальності, по при це, законодавство зазначених країн діє на основі тотожних принципів.</w:t>
      </w:r>
    </w:p>
    <w:p w:rsidR="00394FE9" w:rsidRPr="00EE6F29" w:rsidRDefault="00394FE9" w:rsidP="00453CD0">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Так, відповідно до Закону ФРН «Про порушення порядку», вбачається, що законодавець вказаної країни виокремив процедуру перегляду справ щодо адміністративних проступків, здійснивши ведення такої можливості як оскарження постанов (рішень) адміністративних органів або прокуратури протягом 2-х тижнів з моменту прийняття до компетентного окружного суду, які у свою чергу, мають окремі сенати для вирішення справ, визначених Законом «Про порушення порядку». При цьому, як було зазначено вище, в Україні такий строк становить 10 днів.</w:t>
      </w:r>
    </w:p>
    <w:p w:rsidR="00394FE9" w:rsidRPr="00EE6F29" w:rsidRDefault="00394FE9" w:rsidP="005F070C">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На відмінну від адміністративного судочинства України, в ФРН передбачено можливість здійснення касаційного перегляду справ, у яких було накладено стягнення у вигляді штрафу більше ніж у 600 євро або конфіскація майна в розмірі більше 250 євро чи заборона керування транспортним засобом. З наведеного, доходимо до висновку про існування в ФРН певних касаційних фільтрів, відповідно до яких Вищому суду федеральної землі віднесено розгляд даної категорії справ та в силу їх малозначначності, через певні законодавчі передумови, останній позбавлений інтересу розглядати їх [51, с. 135-136].</w:t>
      </w:r>
    </w:p>
    <w:p w:rsidR="00394FE9" w:rsidRPr="00EE6F29" w:rsidRDefault="00394FE9" w:rsidP="008D1B19">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Відносно викладеного, слід акцентувати увагу на проблематику національного законодавства, зокрема в частині положення статті 286 КАС України щодо абсолютної відсутності в учасників процесу можливості реалізувати право на касаційне оскарження судових рішень в окремих категоріях термінових справ. Апеляційна інстанція у національному праві з приводу оскарження протиправності рішень щодо притягнення до адміністративної відповідальності є кінцевою, а її рішення – остаточними, що на нашу думку, а також думку більшості практиків та науковців, зокрема Сидєльнікова О.Д., Кисилевича О.В. є «суттєвим обмеженням права громадян на оскарження» [52] По при це, право на «доступ» до касаційної інстанції можливе лише у справах, визначених статтями 280, 281, 283-2, 287, 288 та 289-4 КАС України. </w:t>
      </w:r>
    </w:p>
    <w:p w:rsidR="00394FE9" w:rsidRPr="00EE6F29" w:rsidRDefault="00394FE9" w:rsidP="00475612">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На відміну від адміністративного судочинства ФРН, в Україні дія касаційних фільтрів щодо адміністративно-деліктних правовідносин розповсюджується на справи, що підпадають під дію статті 286 КАС України, що у свою чергу не відповідає принципу «верховенства права», оскільки сума штрафів покладених як відповідальність на ту чи іншу особу може завдавати надмірний тягар відповідальності. Враховуючи приписи ст. 308 КУпАП, річ взагалі йде про подвійний розмір штрафних санкцій, що може бути занадто надмірним для будь-якого суб’єкта права. При тому, що у ФРН значною сумою адміністративного стягнення є 600 євро, що станом на момент проведення даного дослідження є еквівалентом 27 282 грн. 30 коп., проте це не є перепоною для Вищого Суду вказаної країни здійснювати розгляд такої категорії справ. </w:t>
      </w:r>
    </w:p>
    <w:p w:rsidR="00394FE9" w:rsidRPr="00EE6F29" w:rsidRDefault="00394FE9" w:rsidP="008E7C35">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Слід зауважити, що нещодавно КСУ під час вирішення справи № 3-88/2021(209/21, 47/22, 77/23, 188/23) у своєму рішенні від 22 листопада 2023 року визнав конституційність «касаційних фільтрів для малозначних справ», однак зажадав перегляду самого визначення поняття «малозначна справа» та зауважив, що визначені в частині шостій статті 19 Кодексу розміри ціни позову як критерії віднесення справи до категорії малозначних у сумі 268 400 грн. (пункт 1) та 671 000 грн. (пункт 5) є не лише значними, а й перевищують установлені в законі розміри прожиткового мінімуму для працездатних осіб та мінімальної заробітної плати.</w:t>
      </w:r>
    </w:p>
    <w:p w:rsidR="00394FE9" w:rsidRPr="00EE6F29" w:rsidRDefault="00394FE9" w:rsidP="00D5623B">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Де-факто, КСУ вважає, що нівелювання права на касаційний перегляд для осіб у спорах за 268 400 грн. (еквівалент 5 903 євро) не відповідає Конституції України.</w:t>
      </w:r>
    </w:p>
    <w:p w:rsidR="00394FE9" w:rsidRPr="00EE6F29" w:rsidRDefault="00394FE9" w:rsidP="00127CD4">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Для порівняння також слід зазначити, що згідно ст. 12 КК України кримінальне правопорушення визнається тяжким, якщо особу притягають до відповідальності за правопорушення, санкція за яке перевищує 850 000 грн. Тобто, хоча справа формально кваліфікується як «малозначна», однак фактично особа може притягатися до аналогічної міри відповідальності, як за два особливо тяжких злочини.</w:t>
      </w:r>
    </w:p>
    <w:p w:rsidR="00394FE9" w:rsidRPr="00EE6F29" w:rsidRDefault="00394FE9" w:rsidP="00E5320B">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Зазначене обумовлює одну з головних прогалин адміністративно-деліктного законодавства України, оскільки «з набуттям чинності 01 жовтня 2021 року ЗУ «Про внесення змін до деяких законів України щодо окремих питань здійснення габаритно-вагового контролю»була запроваджена адміністративна відповідальність за правопорушення у сфері безпеки на автомобільному транспорті саме на фізичних осіб – керівників юридичних осіб на підприємствах, організаціях, товариствах.</w:t>
      </w:r>
    </w:p>
    <w:p w:rsidR="00394FE9" w:rsidRPr="00EE6F29" w:rsidRDefault="00394FE9" w:rsidP="00A35BE7">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Фундаментальна проблема сьогодення в адміністративному-деліктному праві України у контексті окресленого питання полягає у відсутності співмірності накладання стягнень на фізичних осіб (керівників) юридичних осіб, які у свою чергу лише виконують адміністративно-господарські функції юридичної особи. В силу відсутності чітко визначених меж покарання таких осіб, відносно останніх може виноситись понад ста і більше постанов одночасно, в залежності від кількості транспортних засобів та кількості виконуваних робіт підприємством, що у свою чергу, призводить до накладення штрафних санкцій у значних розмірах» [53, с. 212-214].</w:t>
      </w:r>
    </w:p>
    <w:p w:rsidR="00394FE9" w:rsidRPr="00EE6F29" w:rsidRDefault="00394FE9" w:rsidP="002739C2">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Щодо наведеного перед КСУ поставлено на вирішення питання конституційності частини першої статті 14-3, частини другої статті 132-1, частини восьмої статті 258, частини четвертої статті 279-5 КУпАП, відповідно до чого 17 липня 2024 р. у справі №18/255 Третя колегія суддів Першого сенату відкрила конституційне провадження [54].</w:t>
      </w:r>
    </w:p>
    <w:p w:rsidR="00394FE9" w:rsidRPr="00EE6F29" w:rsidRDefault="00394FE9" w:rsidP="00127CD4">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У Швейцарії діє Закон «Про право адміністративних покарань», відповідно до якого законодавцем було зменшено навантаження на судову владу щодо розгляду справ про оскарження постанов про адміністративну відповідальність. Запровадження вказаного Закону у Швейцарії, започаткувало новий інструмент оскарження, а саме – заперечення. Даний документ має бути подано протягом 30 днів до того суб’єкта, який ухвалив відповідну постанову.У разі, встановлення компетентним органом влади, який здійснює розгляд «заперечення» - нововиявлених обставин, що зумовлюють обтяження відповідальність особи-правопорушника, приймається «розпорядження».</w:t>
      </w:r>
    </w:p>
    <w:p w:rsidR="00394FE9" w:rsidRPr="00EE6F29" w:rsidRDefault="00394FE9" w:rsidP="00127CD4">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Окрім того, якщо вказаний Закон відображає загальні положення проведення процедури оскарження рішень суб’єктів владних повноважень. Закон Швейцарської конфедерації «Про адміністративну процедуру» впроваджує саме адміністративні дії. У свою чергу, Федеральний Закон «Про кримінальне провадження» та Федеральний Закон «Про федеральний цивільний процес» регламентує правила допиту, експертів та свідків.</w:t>
      </w:r>
    </w:p>
    <w:p w:rsidR="00394FE9" w:rsidRPr="00EE6F29" w:rsidRDefault="00394FE9" w:rsidP="00127CD4">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З поміж іншого, тенденція зменшення навантажень наадміністративні суди вбачається, зокрема й в національному законодавстві, з огляду наЗУ «Про адміністративну процедуру», проте на відмінну від Швейцарського законодавства, дія вказаного Закону не поширюється на відносини, що віднесені до адміністративно-деліктних правовідносин.</w:t>
      </w:r>
    </w:p>
    <w:p w:rsidR="00394FE9" w:rsidRPr="00EE6F29" w:rsidRDefault="00394FE9" w:rsidP="00973F49">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Окрім того, суттєвою відмінністю КУпАП та Закону «Про право адміністративних покарань» Швейцарії, зокрема полягає у неможливості прийняття національними СВП постанови, якою буде покладено більше обтяження, аніж те, яке існувало до початку розгляду справи про притягнення до адміністративної відповідальності.</w:t>
      </w:r>
    </w:p>
    <w:p w:rsidR="00394FE9" w:rsidRPr="00EE6F29" w:rsidRDefault="00394FE9" w:rsidP="00DF653A">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Отже, адміністративно-деліктне право більшості країн ЄС на відміну від національного права України відображає взаємозв’язок із кримінальним правом та кримінально-процесуальним правом. Головною відмінною ознакою від чинного адміністративно-деліктного права України виступає адміністративна відповідальність як юридичних осіб так й фізичних осіб. Крім того, європейське законодавство направлене цілком і повністю на забезпечення гарантій прав людини та громадянина під час адміністративного провадження в справах щодо оскарження рішень СВП про притягнення осіб до адміністративної відповідальності.</w:t>
      </w:r>
    </w:p>
    <w:p w:rsidR="00394FE9" w:rsidRPr="00EE6F29" w:rsidRDefault="00394FE9" w:rsidP="005457F2">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За наявністю касаційних фільтрів, більшість країн міжнародних-партнерів впровадили механізм оскарження тих рішень, які обмежують особу в праві (керування, здійснення певного виду діяльності) та рішень, в яких розмір штрафних санкцій, який може бути надмірним для суб’єкта відповідальності.</w:t>
      </w:r>
    </w:p>
    <w:p w:rsidR="00394FE9" w:rsidRPr="00EE6F29" w:rsidRDefault="00394FE9" w:rsidP="00EF7029">
      <w:pPr>
        <w:spacing w:after="0" w:line="360" w:lineRule="auto"/>
        <w:ind w:firstLine="567"/>
        <w:jc w:val="both"/>
        <w:rPr>
          <w:rFonts w:ascii="Times New Roman" w:hAnsi="Times New Roman" w:cs="Times New Roman"/>
          <w:sz w:val="28"/>
          <w:szCs w:val="28"/>
        </w:rPr>
      </w:pPr>
    </w:p>
    <w:p w:rsidR="00394FE9" w:rsidRPr="00EE6F29" w:rsidRDefault="00394FE9" w:rsidP="00634471">
      <w:pPr>
        <w:pStyle w:val="Heading2"/>
        <w:ind w:firstLine="567"/>
        <w:jc w:val="both"/>
        <w:rPr>
          <w:rFonts w:ascii="Times New Roman" w:hAnsi="Times New Roman"/>
          <w:b/>
          <w:color w:val="auto"/>
          <w:sz w:val="28"/>
          <w:szCs w:val="28"/>
        </w:rPr>
      </w:pPr>
      <w:bookmarkStart w:id="12" w:name="_Toc179215272"/>
      <w:r w:rsidRPr="00EE6F29">
        <w:rPr>
          <w:rFonts w:ascii="Times New Roman" w:hAnsi="Times New Roman"/>
          <w:b/>
          <w:color w:val="auto"/>
          <w:sz w:val="28"/>
          <w:szCs w:val="28"/>
        </w:rPr>
        <w:t>3.2. Правові засади удосконалення судової процедури оскарження рішень суб’єктів владних повноважень у сфері адміністративно-деліктних правовідносин</w:t>
      </w:r>
      <w:bookmarkEnd w:id="12"/>
    </w:p>
    <w:p w:rsidR="00394FE9" w:rsidRPr="00EE6F29" w:rsidRDefault="00394FE9" w:rsidP="00EF7029">
      <w:pPr>
        <w:spacing w:after="0" w:line="360" w:lineRule="auto"/>
        <w:ind w:firstLine="567"/>
        <w:jc w:val="both"/>
        <w:rPr>
          <w:rFonts w:ascii="Times New Roman" w:hAnsi="Times New Roman" w:cs="Times New Roman"/>
          <w:b/>
          <w:sz w:val="28"/>
          <w:szCs w:val="28"/>
        </w:rPr>
      </w:pPr>
    </w:p>
    <w:p w:rsidR="00394FE9" w:rsidRPr="00EE6F29" w:rsidRDefault="00394FE9" w:rsidP="00133A63">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Як було зазначено вище, головною проблематикою сьогодення в контексті оскарження рішень СВП з приводу притягнення осіб до адміністративної відповідальності є неможливість касаційного оскарження рішень суду апеляційної інстанції, через що, рішення останнього є остаточними та набирають законної сили з моменту проголошення.</w:t>
      </w:r>
    </w:p>
    <w:p w:rsidR="00394FE9" w:rsidRPr="00EE6F29" w:rsidRDefault="00394FE9" w:rsidP="00D92E33">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Зазначена процесуальна прогалина позбавляє учасників процесу на реалізацію основоположного права людини та громадянина, а саме права на справедливий суд, з якого випливає доступ до касаційної інстанції, що у свою чергу, є також міжнародним стандартом, який в силу положення ст. 8 Конституції України має реалізовуватися [10]. </w:t>
      </w:r>
    </w:p>
    <w:p w:rsidR="00394FE9" w:rsidRPr="00EE6F29" w:rsidRDefault="00394FE9" w:rsidP="00BA2E62">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Стаття 6 Конвенції про захист прав людини і основоположних свобод регламентує, що «кожна особа наділена правом на справедливий і публічний розгляд її справи…» [55]. Проте, чітка регламентація ст. 272 КАС України надає право касаційній інстанції прийняти рішення, керуючись вимогами ст. 334 КАС України про відмову у відкритті касаційного провадження [23].</w:t>
      </w:r>
    </w:p>
    <w:p w:rsidR="00394FE9" w:rsidRPr="00EE6F29" w:rsidRDefault="00394FE9" w:rsidP="00F450CA">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Фактично, встановивши касаційний фільтр на розгляд окремих категорій термінових адміністративних справ, держава хибно вважала, що в силу приписів тих чи інших нововведених нормативно-правових актів, а також, життєвих обставин на фізичну особу не може бути покладено надмірно сурового покарання саме у вигляді штрафу, аніж це передбачено за кримінальне правопорушення. У зв’язку з чим, право на доступ до касаційного перегляду справи в Україні залежить не від розміру чи виду санкцій, які застосовані до особи, а від формальної категорії справи. У той час, наприклад, внаслідок кваліфікації та притягнення особи до відповідальності за самовправство (ст. 365 КК) в розмірі 850 грн, особа має безперешкодний доступ до касаційної ланки судочинства, проте, якщо особу піддано до адміністративної відповідальності та відносно неї застосовано штрафні санкції на мільйони гривень, чине законодавство кваліфікує справу як «незначну», що позбавляє можливості звернутись зі скаргою до КАС ВС [56, с. 132-136]</w:t>
      </w:r>
    </w:p>
    <w:p w:rsidR="00394FE9" w:rsidRPr="00EE6F29" w:rsidRDefault="00394FE9" w:rsidP="00F450CA">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За відсутності належної уваги до окресленої проблеми, суди першої та апеляційної інстанції, а також, суб’єкти владних повноважень (їх посадові особи) подалі продовжують приймати непоодинокі протиправні з точки зору норм матеріального та процесуального права рішення, за наслідком чого особи, яких було притягнуто до адміністративної відповідальності позбавленні надати свою позицію КАС ВС, як суду права, з метою отримання належної правової оцінки обставинам, відповідно до яких виник публічно-правовий спір. Вважаємо, що зазначене має узгоджуватись безпосередньо правозастосовчою практикою Верховного Суду, зокрема, як це передбачено в адміністративному, цивільному, кримінальному, господарському судочинствах.</w:t>
      </w:r>
    </w:p>
    <w:p w:rsidR="00394FE9" w:rsidRPr="00EE6F29" w:rsidRDefault="00394FE9" w:rsidP="008971F9">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Переважно, в ході розгляду адміністративного правопорушення, у діях СВП (їх посадових осіб) вбачаються наступні недоліки, які подалі призводять до прийняття останніми неправомірних рішень, а саме: хибна кваліфікація адміністративного правопорушення; відсутність належних доказів, які підтверджують об’єктивну сторону складу адміністративного правопорушення в особи, яку притягають до адміністративної відповідальності; порушення процедури розгляду справи про притягнення до адміністративної відповідальності. Вважаємо, що зазначене має узгоджуватись безпосередньо правозастосовчою практикою Верховного Суду.</w:t>
      </w:r>
    </w:p>
    <w:p w:rsidR="00394FE9" w:rsidRPr="00EE6F29" w:rsidRDefault="00394FE9" w:rsidP="00F450CA">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З вищевикладеного, можемо дійти до висновку, що колізія окресленої процесуальної проблематики корелюється безпосередньо з «касаційними фільтрами», які де-юре відкидають нанівець положення ч. 6 ст. 13 ЗУ «Про судоустрій та статус суддів», відповідно до положення якого суд «враховує висновки щодо застосування норм права, викладені в постановах Верховного Суду» [57].</w:t>
      </w:r>
    </w:p>
    <w:p w:rsidR="00394FE9" w:rsidRPr="00EE6F29" w:rsidRDefault="00394FE9" w:rsidP="008971F9">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Відсутність єдності думок в судовій практиці з тих чи інших фактичних обставин справ як наслідок призводить до різного «суб’єктивного» тлумачення норми права серед учасників процесу, а також, безпосередньо суду. Зазначене чітко виражено у наступному. </w:t>
      </w:r>
    </w:p>
    <w:p w:rsidR="00394FE9" w:rsidRPr="00EE6F29" w:rsidRDefault="00394FE9" w:rsidP="005F6EFF">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У Постанові Восьмого апеляційного адміністративного суду від 21 січня 2021 року у справі № 157/703/20-п суд дійшов до висновку, що «у співробітника поліції відсутнє право фіксування перевищення швидкості, використовуючи «TruCam», тримаючи зазначений технічний засіб у руках». За результатами перегляду рішення суду першої інстанції, суд встановив, що «на відеодоказі чітко зображено значне дрибіжання «TruCam», який підтверджує ту обставину, що співробітник поліції тримав зазначений технічний прилад в руках. </w:t>
      </w:r>
    </w:p>
    <w:p w:rsidR="00394FE9" w:rsidRPr="00EE6F29" w:rsidRDefault="00394FE9" w:rsidP="005F6EFF">
      <w:pPr>
        <w:spacing w:after="0" w:line="360" w:lineRule="auto"/>
        <w:ind w:firstLine="567"/>
        <w:jc w:val="both"/>
        <w:rPr>
          <w:rFonts w:ascii="Times New Roman" w:hAnsi="Times New Roman" w:cs="Times New Roman"/>
          <w:sz w:val="28"/>
          <w:szCs w:val="28"/>
          <w:highlight w:val="cyan"/>
        </w:rPr>
      </w:pPr>
      <w:r w:rsidRPr="00EE6F29">
        <w:rPr>
          <w:rFonts w:ascii="Times New Roman" w:hAnsi="Times New Roman" w:cs="Times New Roman"/>
          <w:sz w:val="28"/>
          <w:szCs w:val="28"/>
        </w:rPr>
        <w:t>За таких обставин суд вказав, що вібрація приладу (внаслідок тримання його в руках) може дати більшу похибку, а ніж передбачено свідоцтвом про повірку, що у свою чергу, ставить під сумнів правильність фіксації швидкості руху автомобіля [58].</w:t>
      </w:r>
    </w:p>
    <w:p w:rsidR="00394FE9" w:rsidRPr="00EE6F29" w:rsidRDefault="00394FE9" w:rsidP="00EB5B70">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Зокрема, суд апеляційної інстанції у вказаній постанові зазначив наступну позицію щодо користування вимірювачем «TruCam», вказавши, що «чинним законодавством не передбачено іншого способу та порядку використання «TruCam» співробітниками поліції ніж розміщення його відповідно до вимог ст. 40 Закону України «Про Національну поліцію» [59].</w:t>
      </w:r>
    </w:p>
    <w:p w:rsidR="00394FE9" w:rsidRPr="00EE6F29" w:rsidRDefault="00394FE9" w:rsidP="00954745">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Натомість, нещодавно, до абсолютно протилежного висновку дійшов П’ятий апеляційний адміністративний суд у справі №521/494/24 від 10 вересня 2024 р., зазначивши своє бачення щодо використання співробітниками патрульної поліції приладом «TruCam». </w:t>
      </w:r>
    </w:p>
    <w:p w:rsidR="00394FE9" w:rsidRPr="00EE6F29" w:rsidRDefault="00394FE9" w:rsidP="00954745">
      <w:pPr>
        <w:spacing w:after="0" w:line="360" w:lineRule="auto"/>
        <w:ind w:firstLine="567"/>
        <w:jc w:val="both"/>
        <w:rPr>
          <w:rFonts w:ascii="Times New Roman" w:hAnsi="Times New Roman" w:cs="Times New Roman"/>
          <w:sz w:val="28"/>
          <w:szCs w:val="28"/>
          <w:highlight w:val="cyan"/>
        </w:rPr>
      </w:pPr>
      <w:r w:rsidRPr="00EE6F29">
        <w:rPr>
          <w:rFonts w:ascii="Times New Roman" w:hAnsi="Times New Roman" w:cs="Times New Roman"/>
          <w:sz w:val="28"/>
          <w:szCs w:val="28"/>
        </w:rPr>
        <w:t xml:space="preserve">Суд у вищевказаній постанові вказав, що «діапазон вимірювань швидкості приладу становить від 2 до 320 км/год, з похибкою в ручному та автоматичному режимі у ±2 км/год., що підтверджено державною експертизою у сфері криптографічного захисту інформації». Окрім того, суд дійшов до висновку, що «TruCam за своїм функціональним походженням направлений на те, щоб останній тримали в руках під час вимірювань, отже, вимірювання швидкості руху автомобіля позивача могло здійснюватися з утриманням в руках відповідного приладу співробітником поліції» [60]. </w:t>
      </w:r>
    </w:p>
    <w:p w:rsidR="00394FE9" w:rsidRPr="00EE6F29" w:rsidRDefault="00394FE9" w:rsidP="00767458">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Таким чином, для подолання вказаної проблеми нами пропонується усунення «касаційних фільтрів» в адміністративному судочинстві в окремих категоріях термінових справ, встановивши насамперед граничну межу штрафних санкцій, а також, передбачити обсяг складності справи та фундаментальне значення для правозастосовчої практики, відповідно до чого, внаслідок прийнятого з порушенням норм матеріального та процесуального права судом першої та апеляційної інстанцій рішення, в учасників процесу з’явиться можливість на звернення до КАС ВС, що у свою чергу також призведе до впровадження єдності судової практики відповідно до норми матеріального права.</w:t>
      </w:r>
    </w:p>
    <w:p w:rsidR="00394FE9" w:rsidRPr="00EE6F29" w:rsidRDefault="00394FE9" w:rsidP="00B0254F">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Наступним недоліком, який потребує вирішення на теоретичному та практичному рівні є право особи на захист в ході розгляду справи на місці вчинення адміністративного правопорушення.</w:t>
      </w:r>
    </w:p>
    <w:p w:rsidR="00394FE9" w:rsidRPr="00EE6F29" w:rsidRDefault="00394FE9" w:rsidP="00B0254F">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Зазначене зумовлене тим, що розгляд окремих справ про притягнення осіб до адміністративної відповідальності, за приписами КУпАП фактично відбувається в спрощеному порядку, відтак, особа за порушення правил, наприклад у сфері дорожнього руху, має спростувати виявлене правопорушення на місці його вчинення під час розгляду справи про адміністративне правопорушення, в іншому випадку правомірність своїх дій доводити у судовому порядку з можливістю скористуватися професійною правовою допомогою, зазначене твердження викладено у Постанові Восьмого апеляційного адміністративного суду від 03.03.2021 р. по справі №466/2310/20. </w:t>
      </w:r>
    </w:p>
    <w:p w:rsidR="00394FE9" w:rsidRPr="00EE6F29" w:rsidRDefault="00394FE9" w:rsidP="00B0254F">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Слід наголосити на тому, що такий висновок суду призводить до порушення процедури розгляду справи на місці вчинення адміністративного правопорушення та основоположного права скористатися правничою допомогою.</w:t>
      </w:r>
    </w:p>
    <w:p w:rsidR="00394FE9" w:rsidRPr="00EE6F29" w:rsidRDefault="00394FE9" w:rsidP="00B0254F">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Досліджуючи даний недолік, нами було встановлено, що в адміністративному судочинстві, на відміну від кримінального, суди не враховують наслідків юридичної конструкції «притягнення до відповідальності» за вчинення адміністративного правопорушення. Тобто, фактично, адміністративні суди вбачають менш суровими заходи адміністративної відповідальності, встановлені КУпАП, аніж це передбачено КК України.</w:t>
      </w:r>
    </w:p>
    <w:p w:rsidR="00394FE9" w:rsidRPr="00EE6F29" w:rsidRDefault="00394FE9" w:rsidP="00B0254F">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Проте, адміністративна відповідальність також зумовлює певні юридичні наслідки, навіть враховуючи ступінь тяжкості покарання в адміністративно-деліктних правовідносинах, зокрема штрафна санкція може бути більш жорсткою, аніж це передбачено у кримінальному праві, що також було наведено у попередньому розділі даної дипломної роботи.</w:t>
      </w:r>
    </w:p>
    <w:p w:rsidR="00394FE9" w:rsidRPr="00EE6F29" w:rsidRDefault="00394FE9" w:rsidP="00B0254F">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Міжнародним пактом про громадянські і політичні права від 16 грудня 1966 року регламентовано право кожної особи на юридичну допомогу. Дане право гарантується державою, діючи відповідно до міжнародно-правових вимог [61].</w:t>
      </w:r>
    </w:p>
    <w:p w:rsidR="00394FE9" w:rsidRPr="00EE6F29" w:rsidRDefault="00394FE9" w:rsidP="00B0254F">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Можливість скористатися правничою допомогою в ході розгляду справи на місці вчинення адміністративного правопорушення, подалі зумовить швидкий та ефективний розгляд справ в судових інстанціях, більш того, вважаємо, що кількість справ щодо адміністративного оскарження таких рішень СВП буде суттєво зменшено. Зокрема, з боку позивачів не буде використовуватись таке твердження, як «позбавлено права на захист», з метою доведення підстав для звернення до адміністративного суду.  </w:t>
      </w:r>
    </w:p>
    <w:p w:rsidR="00394FE9" w:rsidRPr="00EE6F29" w:rsidRDefault="00394FE9" w:rsidP="00B0254F">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Наступний недолік, який постає на вирішення – це строки провадження в справах щодо оскарження окремих категорій термінових справ, зокрема передбачених ст. 286 КАС України.</w:t>
      </w:r>
    </w:p>
    <w:p w:rsidR="00394FE9" w:rsidRPr="00EE6F29" w:rsidRDefault="00394FE9" w:rsidP="00AA2929">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Як було зазначено вище, дана категорія справ має бути розглянута судом за відсутності всіх інших обставин протягом 10 днів. Аналогічний строк перегляду справи відбувається в суді апеляційної інстанції.</w:t>
      </w:r>
    </w:p>
    <w:p w:rsidR="00394FE9" w:rsidRPr="00EE6F29" w:rsidRDefault="00394FE9" w:rsidP="00AA2929">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Проте, проблема полягає у тому, що судам не вистачає часу на проведення повного та всебічного розгляду справи, у зв’язку з чим, твердження та доводи сторін залишаються поза увагою та за відсутністю належного обґрунтуванняв судовому рішенні. З зазначеного також випливає те, що та чи інша сторона, використовуючи «прогалину у часі», сприймає це як порушення принципу рівності та справедливого розгляду справи, через що відбувається звернення за захистом до суду апеляційної інстанції як порушення норми процесуального права.</w:t>
      </w:r>
    </w:p>
    <w:p w:rsidR="00394FE9" w:rsidRPr="00EE6F29" w:rsidRDefault="00394FE9" w:rsidP="0021222E">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Отже, вважаємо, що збільшення строку розгляду, а також, строку на звернення до адміністративного суду з відповідним позовом у вказаній категорії справ, наддасть учасникам процесу зібрати та подати до суду усі докази, обґрунтований та належний виклад доводів без подальших додаткових пояснень; для суду, реалізація запропонованого подолання недоліку наддасть можливість детально вивчити матеріали справи, проаналізувати твердження та доводи з призми норм матеріального права. Окрім того, ведення в дію нових строків розгляду справи у ст. 286 КАС України, наддасть можливість повного та всебічного розгляду обставин по справі й оцінки доказів.</w:t>
      </w:r>
    </w:p>
    <w:p w:rsidR="00394FE9" w:rsidRPr="00EE6F29" w:rsidRDefault="00394FE9" w:rsidP="0021222E">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Без повного розгляду адміністративної справи, суд не може винести законного і обґрунтованого рішення. У додержанні своїх процесуальних прав і обов’язків осіб, які беруть участь у справі під час підготовчого провадження, необхідно бачити фундамент судового розгляду. Матеріали і докази, витребувані під час підготовчого провадження, складають основу, на якій розгортається діяльність адміністративного суду, а надійність цього фундаменту перевіряється ходом і результатами судового розгляду справи.</w:t>
      </w:r>
    </w:p>
    <w:p w:rsidR="00394FE9" w:rsidRPr="00EE6F29" w:rsidRDefault="00394FE9" w:rsidP="00F62CFF">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На нашу думку, також заслуговують до уваги недоліки, пов'язані з кадровим дефіцитом судів, процесуальним зловживанням правом, нехтування судом процесуальними приписами Закону в частині повідомлень, належного винесення рішення.</w:t>
      </w:r>
    </w:p>
    <w:p w:rsidR="00394FE9" w:rsidRPr="00EE6F29" w:rsidRDefault="00394FE9" w:rsidP="004617E6">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Зловживання процесуальними строкам в окресленій категорії справ є непоодинокими. До цієї прогалини також слід віднести небажання СВП доводити правомірність своїх рішень перед судом, що простежується, зокрема у тім, що в більшості випадків, пропущення строку на звернення до суду з позовною заявою, зумовлює необхідність позивачів заявляти додатково клопотання про поновлення строку на таке звернення, внаслідок певних життєвих обставин або непереборної сили чи форс-мажорних обставин,у свою чергу, представники відповідних органів влади наводять заперечення на такі клопотання, мотивуючи різними безпідставними твердженнями та мотивами, за наслідком яких суд залишає позовну заяву без розгляду, що призводить за наслідком залишення в силі протиправне рішення СВП та порушення прав особи, яку притягнуто до адміністративної відповідальності.</w:t>
      </w:r>
    </w:p>
    <w:p w:rsidR="00394FE9" w:rsidRPr="00EE6F29" w:rsidRDefault="00394FE9" w:rsidP="00585EAD">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Також, слід звернути увагу на кадрову проблему судової системи України в цілому. В адміністративному судочинстві на одного суддю першої інстанції може бути розподіллено понад 40 справ, в апеляційній інстанції понад 100 справ. Слід звернути увагу також на те, що суддя має законне право піти у відпустку або у відставку, що призводить до того, що справи перерозподіляються на іншого суддю. </w:t>
      </w:r>
    </w:p>
    <w:p w:rsidR="00394FE9" w:rsidRPr="00EE6F29" w:rsidRDefault="00394FE9" w:rsidP="00585EAD">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Зазначене зумовлює тривалість провадження. Окрім того, в більшості адміністративних судах за наслідком масованих ракетних обстрілів, відсутнє електричне живлення, через що аналогічно провадження може розглядатися понад 10 денний строк, передбачений ст. 286 КАС України. Проблема зумовлена відсутністю фінансового забезпечення апарату суду, а також, нехтування проблемою блектаутів з боку Держави.</w:t>
      </w:r>
    </w:p>
    <w:p w:rsidR="00394FE9" w:rsidRPr="00EE6F29" w:rsidRDefault="00394FE9" w:rsidP="00585EAD">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За відсутністю належного фінансування почастішало питання відсутності належного повідомлення осіб про судове засідання з боку суду. У кращому випадку, судові повістки направляються у додаток «Viber» або через підсистему «Електронний Суд».</w:t>
      </w:r>
    </w:p>
    <w:p w:rsidR="00394FE9" w:rsidRPr="00EE6F29" w:rsidRDefault="00394FE9" w:rsidP="0099455E">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З метою вирішення окресленого недоліку, вважаємо, що необхідним є забезпечення апарату суду належним матеріальним та технічним забезпеченням, а також, залучити до суду більше кадрів: секретарів, помічник суддів, суддів, що у свою чергу призведе до зменшення навантаження справами суддів та зумовить швидкий, всебічний та ефективний розгляд тих чи інших справ.</w:t>
      </w:r>
    </w:p>
    <w:p w:rsidR="00394FE9" w:rsidRPr="00EE6F29" w:rsidRDefault="00394FE9" w:rsidP="0099455E">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Досить актуальним питанням на теперішній час є обрання суддів, які проходять процедуру оцінювання та суддів, які претендують на посаду вперше. Необхідно удосконалити законодавство щодо обрання суддів та модернізувати кваліфікаційне оцінювання останніх, оскільки лише 589 кандидатів на посаду суддів загального місцевого суду, які були зараховані до резерву в межах доборів 2016-2018 років, були допущені до складання кваліфікаційного іспиту у 2022 році.</w:t>
      </w:r>
    </w:p>
    <w:p w:rsidR="00394FE9" w:rsidRPr="00EE6F29" w:rsidRDefault="00394FE9" w:rsidP="0099455E">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Погоджуємось з тим, що доступ до правосуддя є однією з найвідповідальніших ланок якою займається держава та потребує професійних, компетентних з гідною діловою репутацією осіб на зайняття посади суддів, через що, вбачається ускладнений доступ до таких посад зі встановленими фільтрами відбору кваліфікаційних кадрів, проте з іншої сторони – це є відображенням затягування з боку держави процедури відбору та створює певні завади для доступу до професії та ефективного вирішення спорів.</w:t>
      </w:r>
    </w:p>
    <w:p w:rsidR="00394FE9" w:rsidRPr="00EE6F29" w:rsidRDefault="00394FE9" w:rsidP="0099455E">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Зауважуємо також на тому, що в судовій практиці трапляються непоодинокі випадки порушення стадії ухвалення судового рішення з боку суддів, через недотримання таємниці нарадчої кімнати, порядку ухвалення, зокрема проголошення, строків виготовлення та надсилання судових рішень.</w:t>
      </w:r>
    </w:p>
    <w:p w:rsidR="00394FE9" w:rsidRPr="00EE6F29" w:rsidRDefault="00394FE9" w:rsidP="00907B1E">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Як приклад, у справі №357/7094/17 від 25травня 2022 р. суд апеляційної інстанції видалився до нарадчої кімнати, проте, рішення так і не було проголошено [62], що у свою чергу стало підставою для касаційного перегляду даної справи (в межах адміністративного судочинства).Фактично суд допустив грубе порушення норм процесуального права, що у свою чергу, суперечить нормам КАС України та не відповідає основним принципам адміністративного судочинства та є процесуальною помилкою складу суду при ухваленні рішення.</w:t>
      </w:r>
    </w:p>
    <w:p w:rsidR="00394FE9" w:rsidRPr="00EE6F29" w:rsidRDefault="00394FE9" w:rsidP="00907B1E">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Погоджуємось також з позицією такої вченої як Л.В. Крупнової, яка вважає, що з метою підвищення результативності адміністративного судочинства необхідним є вжиття наступних заходів, а саме:</w:t>
      </w:r>
    </w:p>
    <w:p w:rsidR="00394FE9" w:rsidRPr="00EE6F29" w:rsidRDefault="00394FE9" w:rsidP="00693EDF">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 приведення у відповідність національного законодавства у сфері адміністративного судочинства із нормами та стандартами ЄС; </w:t>
      </w:r>
    </w:p>
    <w:p w:rsidR="00394FE9" w:rsidRPr="00EE6F29" w:rsidRDefault="00394FE9" w:rsidP="00693EDF">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  законодавче закріплення участі органів суддівського самоврядування у підготовці та узгодженні державного бюджету в частині фінансування судів і контролю за розподілом цих коштів [1, с. 177]. </w:t>
      </w:r>
    </w:p>
    <w:p w:rsidR="00394FE9" w:rsidRPr="00EE6F29" w:rsidRDefault="00394FE9" w:rsidP="0021222E">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У зв’язку з вищевикладеним, проаналізувавши та дослідивши матеріали теоретичного характеру, судову практику та нормативно-правові акти, які становлять зміст предмету даної дипломної роботи, доходимо до висновку про явні проблеми, які постають на вирішення перед науковцями в межахадміністративного судочинства у даній категорії термінових справ.</w:t>
      </w:r>
    </w:p>
    <w:p w:rsidR="00394FE9" w:rsidRPr="00EE6F29" w:rsidRDefault="00394FE9" w:rsidP="0021222E">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На виправлення вказаних недоліків, головним завданням є ведення змін до КАС України, з врахуванням вищезазначеного, впровадження науково-методичної роботи для апарату суддів, зокрема суб’єктів владних повноважень, з метою зменшення винесення протиправних рішень останніми, тренінги для працівників, розвиток навчальної бази практикою ЄСПЛ, дотримання міжнародних актів, згода на обов’язковість яких надана Верховною Радою України.</w:t>
      </w:r>
    </w:p>
    <w:p w:rsidR="00394FE9" w:rsidRPr="00EE6F29" w:rsidRDefault="00394FE9" w:rsidP="00ED0A71">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Подолавши всі окреслені недоліки, вважаємо, що це наддасть адміністративному судочинству суттєвий ривок до підвищення рівня законності, справедливості та ефективності в ході розгляду даної категорії справ, дотримуючись прав та свобод суб’єктів права, і як наслідок – призведе до більш сприятливої довіри з боку суспільства, а також, міжнародних партнерів. </w:t>
      </w:r>
    </w:p>
    <w:p w:rsidR="00394FE9" w:rsidRPr="00EE6F29" w:rsidRDefault="00394FE9" w:rsidP="00ED0A71">
      <w:pPr>
        <w:spacing w:after="0" w:line="360" w:lineRule="auto"/>
        <w:ind w:firstLine="567"/>
        <w:jc w:val="both"/>
        <w:rPr>
          <w:rFonts w:ascii="Times New Roman" w:hAnsi="Times New Roman" w:cs="Times New Roman"/>
          <w:sz w:val="28"/>
          <w:szCs w:val="28"/>
        </w:rPr>
      </w:pPr>
    </w:p>
    <w:p w:rsidR="00394FE9" w:rsidRPr="00EE6F29" w:rsidRDefault="00394FE9" w:rsidP="00634471">
      <w:pPr>
        <w:pStyle w:val="Heading2"/>
        <w:ind w:firstLine="567"/>
        <w:rPr>
          <w:rFonts w:ascii="Times New Roman" w:hAnsi="Times New Roman"/>
          <w:b/>
          <w:bCs/>
          <w:color w:val="auto"/>
          <w:sz w:val="28"/>
          <w:szCs w:val="28"/>
        </w:rPr>
      </w:pPr>
      <w:bookmarkStart w:id="13" w:name="_Toc179215273"/>
      <w:r w:rsidRPr="00EE6F29">
        <w:rPr>
          <w:rFonts w:ascii="Times New Roman" w:hAnsi="Times New Roman"/>
          <w:b/>
          <w:bCs/>
          <w:color w:val="auto"/>
          <w:sz w:val="28"/>
          <w:szCs w:val="28"/>
        </w:rPr>
        <w:t>Висновки до розділу 3</w:t>
      </w:r>
      <w:bookmarkEnd w:id="13"/>
    </w:p>
    <w:p w:rsidR="00394FE9" w:rsidRPr="00EE6F29" w:rsidRDefault="00394FE9" w:rsidP="00933B91">
      <w:pPr>
        <w:spacing w:after="0" w:line="360" w:lineRule="auto"/>
        <w:ind w:firstLine="567"/>
        <w:jc w:val="both"/>
        <w:rPr>
          <w:rFonts w:ascii="Times New Roman" w:hAnsi="Times New Roman" w:cs="Times New Roman"/>
          <w:sz w:val="28"/>
          <w:szCs w:val="28"/>
        </w:rPr>
      </w:pPr>
    </w:p>
    <w:p w:rsidR="00394FE9" w:rsidRPr="00EE6F29" w:rsidRDefault="00394FE9" w:rsidP="00933B91">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Дослідивши зарубіжний досвід, а також, виявивши недоліки адміністративного судочинства в ході розгляду окремих категоріях термінових справ, доходимо до наступного висновку.</w:t>
      </w:r>
    </w:p>
    <w:p w:rsidR="00394FE9" w:rsidRPr="00EE6F29" w:rsidRDefault="00394FE9" w:rsidP="00EF3C6C">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По-перше, відмінною ознакою адміністративно-деліктного права країн Європейського Союзу від національного є відповідальність як фізичних, так й юридичних осіб, а також, спрямованість норм до кримінального законодавства. Крім того, європейське законодавство, яке регламентує адміністративний розгляд оскарження рішень СВП є більш сприятливим до осіб, які не підпадають під ознаки СВП, у свою чергу фокусуючи направленість дій на більш уразливих суб’єктів права, забезпечуючи та реалізуючи їх права та інтересив повній мірі та відповідно до міжнародних стандартів та вимог.</w:t>
      </w:r>
    </w:p>
    <w:p w:rsidR="00394FE9" w:rsidRPr="00EE6F29" w:rsidRDefault="00394FE9" w:rsidP="005401E2">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По-друге, встановивши касаційний фільтр на розгляд окремих категорій термінових адміністративних справ, держава хибно вважала, що в силу приписів тих чи інших нововведених нормативно-правових актів, а також, життєвих обставин на фізичну особу не може бути покладено надмірно сурового покарання у вигляді штрафу, аніж це передбачено за кримінальне правопорушення. Проте, враховуючи динаміку введення змін до адміністративно-деліктного законодавства, стаття 286 КАС України продовжує свою дію у тій редакції, яка позбавляє учасників процесу можливості реалізовувати право на касаційне оскарження судових рішеньокресленої категорії справ, що у свою чергу не відповідає принципу «верховенства права». При цьому, на відміну від національного адміністративного судочинства, за наявністю касаційних фільтрів у більшості країн міжнародних-партнерів, впроваджено механізм доступу до суду касаційної інстанції щодо оскарження рішень СВП, якимиособу може бути обмежено в праві (керування, здійснення певного виду діяльності) та рішень, в яких розмір штрафних санкцій може бути надмірним для суб’єкта відповідальності.</w:t>
      </w:r>
    </w:p>
    <w:p w:rsidR="00394FE9" w:rsidRPr="00EE6F29" w:rsidRDefault="00394FE9" w:rsidP="00A71582">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По-третє, абсолютна відмова у доступі до суду касаційної інстанції зумовлює також те, що суди першої та апеляційної інстанції, а також, суб’єкти владних повноважень (їх посадові особи) подалі продовжують приймати непоодинокі протиправні з точки зору норм матеріального та процесуального права рішення, за наслідком чого особи, яких було притягнуто до адміністративної відповідальності позбавленні надати свою позицію Верховному Суду, як суду права, з метою отримання належної правової оцінки обставинам, відповідно до яких виник публічно-правовий спір.</w:t>
      </w:r>
    </w:p>
    <w:p w:rsidR="00394FE9" w:rsidRPr="00EE6F29" w:rsidRDefault="00394FE9" w:rsidP="002769EF">
      <w:pPr>
        <w:spacing w:after="0" w:line="360" w:lineRule="auto"/>
        <w:ind w:firstLine="567"/>
        <w:jc w:val="both"/>
        <w:rPr>
          <w:rFonts w:ascii="Times New Roman" w:hAnsi="Times New Roman" w:cs="Times New Roman"/>
          <w:b/>
          <w:bCs/>
          <w:sz w:val="28"/>
          <w:szCs w:val="28"/>
        </w:rPr>
      </w:pPr>
      <w:r w:rsidRPr="00EE6F29">
        <w:rPr>
          <w:rFonts w:ascii="Times New Roman" w:hAnsi="Times New Roman" w:cs="Times New Roman"/>
          <w:sz w:val="28"/>
          <w:szCs w:val="28"/>
        </w:rPr>
        <w:t>По-четверте, недоліки, пов'язані з кадровим дефіцитом судів, процесуальним зловживанням правом, нехтування судом процесуальними приписами Закону в частині повідомлень, належного винесення рішення та проблем з електричним живленням в судах.</w:t>
      </w:r>
    </w:p>
    <w:p w:rsidR="00394FE9" w:rsidRPr="00EE6F29" w:rsidRDefault="00394FE9" w:rsidP="00634471">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На виправлення вказаних недоліків, необхідним є приведення у відповідність національного законодавства у сфері адміністративного судочинства із нормами та стандартами ЄС; законодавче закріплення участі органів суддівського самоврядування у підготовці та узгодженні державного бюджету в частині фінансування судів і контролю за розподілом цих коштів, впровадження науково-методичної роботи для апарату суддів, тренінги для працівників, розвиток навчальної бази практикою ЄСПЛ, дотримання міжнародних актів, згода на обов’язковість яких надана Верховною Радою України.</w:t>
      </w:r>
    </w:p>
    <w:p w:rsidR="00394FE9" w:rsidRPr="00EE6F29" w:rsidRDefault="00394FE9" w:rsidP="00634471">
      <w:pPr>
        <w:pStyle w:val="Heading1"/>
        <w:pageBreakBefore/>
        <w:spacing w:after="240"/>
        <w:jc w:val="center"/>
        <w:rPr>
          <w:rFonts w:ascii="Times New Roman" w:hAnsi="Times New Roman"/>
          <w:b/>
          <w:bCs/>
          <w:color w:val="auto"/>
          <w:sz w:val="28"/>
          <w:szCs w:val="28"/>
        </w:rPr>
      </w:pPr>
      <w:bookmarkStart w:id="14" w:name="_Toc179215274"/>
      <w:r w:rsidRPr="00EE6F29">
        <w:rPr>
          <w:rFonts w:ascii="Times New Roman" w:hAnsi="Times New Roman"/>
          <w:b/>
          <w:bCs/>
          <w:color w:val="auto"/>
          <w:sz w:val="28"/>
          <w:szCs w:val="28"/>
        </w:rPr>
        <w:t>ВИСНОВКИ</w:t>
      </w:r>
      <w:bookmarkEnd w:id="14"/>
    </w:p>
    <w:p w:rsidR="00394FE9" w:rsidRPr="00EE6F29" w:rsidRDefault="00394FE9" w:rsidP="007474D9">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Процес становлення такої категорії, як «публічно-правовий спір» зазнав тривалий шлях інтеграції у національне законодавство України у тій формі та змісту, які є звиклими сучасній правосвідомості. </w:t>
      </w:r>
    </w:p>
    <w:p w:rsidR="00394FE9" w:rsidRPr="00EE6F29" w:rsidRDefault="00394FE9" w:rsidP="007474D9">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У межах даної дипломної роботи нами було встановлено, що на сьогоднішній день, відсутні будь-які відомості відносно того, чи було на українських землях того часу запозичено та впроваджено зарубіжний досвід, проте безперечно можна казати про те, що все ж таки існував певний вплив наукових ідей та концепцій, втілених у законодавство, що врегульовувало адміністративну юстицію в країнах, в яких Україна перебувала їх частиною.</w:t>
      </w:r>
    </w:p>
    <w:p w:rsidR="00394FE9" w:rsidRPr="00EE6F29" w:rsidRDefault="00394FE9" w:rsidP="007474D9">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З аналізу етапів становлення досліджуваної категорії, погоджуємось, що період з ХІХ – ХХ ст. створив підґрунтя у становленні категорії «публічно-правовий спір», про що свідчить тематика досліджень науковців того часу, а також, вивчення та подолання проблемних аспектів останніми щодо оскарження рішень СВП.</w:t>
      </w:r>
    </w:p>
    <w:p w:rsidR="00394FE9" w:rsidRPr="00EE6F29" w:rsidRDefault="00394FE9" w:rsidP="007474D9">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Часи перебування України під радянським режимом, характеризуються стагнацією в усіх сферах розвитку держави. Радянська влада сприяла запереченню в існуванні публічно-правового спору між громадянином та державними органами, що у свою чергу було пов’язано із занепокоєнням нової політичної течії, проти негативних думок щодо ефективності політики компартії та владарювання Держави (безпосередньо голів комуністичної партії) над іншими верствами населення.</w:t>
      </w:r>
    </w:p>
    <w:p w:rsidR="00394FE9" w:rsidRPr="00EE6F29" w:rsidRDefault="00394FE9" w:rsidP="007474D9">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Застосування такого механізму як адміністративне оскарження рішень або дій СВП в суді, рушійною силою пішло уперед після встановлення у ст. 55 Конституції України положення, яке запровадило гарантію права на оскарження в суді рішень, дій чи бездіяльності органів державної влади, органів місцевого самоврядування, посадових і службових осіб.</w:t>
      </w:r>
    </w:p>
    <w:p w:rsidR="00394FE9" w:rsidRPr="00EE6F29" w:rsidRDefault="00394FE9" w:rsidP="007474D9">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Сучасним етапом становлення категорії «публічно-правовий спір» та адміністративної юстиції в цілому, вважаємо момент прийняття Кодексу адміністративного судочинства України (КАС України), тобто 2005 рік по сьогоднішній день. Проаналізувавши думки вчених адміністративістів, вважаємо, що поява КАС України у первинній редакції не сприяла позитивним думкам вчених та навпаки, зазнала різноманітної критики, зокрема це стосувалося того, що КАС України не вирішив всіх тих питань, які були окреслені в наукових працях та рекомендаціях наданих до його ухвалення. </w:t>
      </w:r>
    </w:p>
    <w:p w:rsidR="00394FE9" w:rsidRPr="00EE6F29" w:rsidRDefault="00394FE9" w:rsidP="007474D9">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Також нами встановлено, що лише 15 грудня 2017 року з набуттям чинності нової редакції Кодексу адміністративного судочинства України, вперше законодавцем було втілено в адміністративне судочинство дефініцію «публічно-правовий спір», що у свою чергу сприяло появі нових дискусій серед науковців, яка триває по сей день.</w:t>
      </w:r>
    </w:p>
    <w:p w:rsidR="00394FE9" w:rsidRPr="00EE6F29" w:rsidRDefault="00394FE9" w:rsidP="007474D9">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Досліджувана дефініція, закріплена у КАС України охарактеризована законодавцем з призми її фундаментальних ознак.</w:t>
      </w:r>
    </w:p>
    <w:p w:rsidR="00394FE9" w:rsidRPr="00EE6F29" w:rsidRDefault="00394FE9" w:rsidP="007474D9">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Загальна думка вчених зведена до того, що публічно-правовий спір зумовлений участю суб’єкта владних повноважень, що є ключовим для його визначення, з чим у свою чергу також погоджуємось.</w:t>
      </w:r>
    </w:p>
    <w:p w:rsidR="00394FE9" w:rsidRPr="00EE6F29" w:rsidRDefault="00394FE9" w:rsidP="007474D9">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З огляду на концепцію проаналізованих думок вчених адміністративістів та законодавця, нами було запропоновано більш деталізоване за своїм змістом розкриття даної категорії, а саме: «публічно-правовий спір – це спір, що характеризується наявністю хоча б одним суб’єктом владних повноважень, підпорядкованого державі або місцевому самоврядуванню, за наслідок виконання владних повноважень якого рішеннями, діями або бездіяльністю було спричинено або спричиняється порушення прав, свобод або інтересів фізичної чи юридичної особи та становить предмет для звернення до суду адміністративної юрисдикції»</w:t>
      </w:r>
    </w:p>
    <w:p w:rsidR="00394FE9" w:rsidRPr="00EE6F29" w:rsidRDefault="00394FE9" w:rsidP="007474D9">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Нами було встановлено, що предмет публічно-правового спору, зокрема з призми правовідносин в окремих термінових адміністративних справах, доцільно вважати: нормативно-правовий акт (як підґрунтя для обґрунтування підстав прийняття індивідуального акту) та акт індивідуальної дії (підстава спору з СВП). Отже, саме акти індивідуальної дії виступають взірцем наслідку публічно-правового спору у деліктному-адміністративному праві та предметом оскарження в адміністративному судочинстві.</w:t>
      </w:r>
    </w:p>
    <w:p w:rsidR="00394FE9" w:rsidRPr="00EE6F29" w:rsidRDefault="00394FE9" w:rsidP="007474D9">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Нормативно-правові акти </w:t>
      </w:r>
      <w:r w:rsidRPr="00EE6F29">
        <w:rPr>
          <w:rFonts w:ascii="Times New Roman" w:hAnsi="Times New Roman" w:cs="Times New Roman"/>
          <w:bCs/>
          <w:sz w:val="28"/>
          <w:szCs w:val="28"/>
        </w:rPr>
        <w:t>приймаються компетентними суб’єктами владних повноважень</w:t>
      </w:r>
      <w:r w:rsidRPr="00EE6F29">
        <w:rPr>
          <w:rFonts w:ascii="Times New Roman" w:hAnsi="Times New Roman" w:cs="Times New Roman"/>
          <w:sz w:val="28"/>
          <w:szCs w:val="28"/>
        </w:rPr>
        <w:t>, юридична сила яких займає певне ієрархічне положення в структурі національного права в залежності від суб’єкта запровадження, а також, є обов’язково формально-визначеного характеру, з чітко визначеною процедурою прийняття та подальшою державною реєстрацією, поширює свою дію на невизначене коло суб’єктів права, з обов’язковим оприлюдненням в офіційних виданнях, з метою доведення до відома, які направлені на врегулювання тих чи інших суспільних правовідносин, породжуючи, змінюючи або припиняючи певну (певні) правила поведінки та забезпечення дії яких контролюється силою державного примусу.</w:t>
      </w:r>
    </w:p>
    <w:p w:rsidR="00394FE9" w:rsidRPr="00EE6F29" w:rsidRDefault="00394FE9" w:rsidP="007474D9">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Основоположна різниця між нормативно-правовими актами та актами індивідуальної дії полягає у тім, що останні відображають акти, які своєю дією не можуть завдавати жодного випливу на ту чи іншу норму права, не потребують державної реєстрації та офіційного оприлюднення, оскільки набувають юридичної сили, як правило, з моменту прийняття, поширюючи дію на конкретно визначеного суб’єкта, вони є переважно темпоральними та вичерпуються фактом реалізації адресатом (суб’єктом адміністративних правовідносин) приписів такого акту, зумовлених конкретною ситуацією, внаслідок чого останній втрачає юридичну силу.</w:t>
      </w:r>
    </w:p>
    <w:p w:rsidR="00394FE9" w:rsidRPr="00EE6F29" w:rsidRDefault="00394FE9" w:rsidP="007474D9">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Дослідивши зміст публічно-правових відносин, пов'язаних з оскарженням рішень СВП про притягнення осіб до адміністративної відповідальності, можемо також казати про те, що серед перелічених видів актів індивідуальної дії основними є деліктні акти, які приймаються суб’єктами владних повноважень, в межах їх компетенції та, пов’язані з притягненням особи правопорушника до відповідальності.</w:t>
      </w:r>
    </w:p>
    <w:p w:rsidR="00394FE9" w:rsidRPr="00EE6F29" w:rsidRDefault="00394FE9" w:rsidP="007474D9">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Серед особливостей, пов’язаних з характеристикою суб’єктів владних повноважень, можемо вважати, що ними є різноманітність поглядів, зокрема на їх класифікацію та окресленість тих суб’єктів, які в силу їх компетенції подалі виступатимуть в суді на стороні відповідача. Такими СВП є перелічені у ст. 213 КУпАП «органи (посадові особи), уповноважені розглядати справи про адміністративні правопорушення».</w:t>
      </w:r>
    </w:p>
    <w:p w:rsidR="00394FE9" w:rsidRPr="00EE6F29" w:rsidRDefault="00394FE9" w:rsidP="007474D9">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Встановлення СВП вбачається за можливе внаслідок аналізу трьох складових ознак, що виражені у наступному: </w:t>
      </w:r>
    </w:p>
    <w:p w:rsidR="00394FE9" w:rsidRPr="00EE6F29" w:rsidRDefault="00394FE9" w:rsidP="007474D9">
      <w:pPr>
        <w:spacing w:after="0" w:line="360" w:lineRule="auto"/>
        <w:ind w:firstLine="567"/>
        <w:jc w:val="both"/>
        <w:rPr>
          <w:rFonts w:ascii="Times New Roman" w:hAnsi="Times New Roman" w:cs="Times New Roman"/>
          <w:i/>
          <w:sz w:val="28"/>
          <w:szCs w:val="28"/>
        </w:rPr>
      </w:pPr>
      <w:r w:rsidRPr="00EE6F29">
        <w:rPr>
          <w:rFonts w:ascii="Times New Roman" w:hAnsi="Times New Roman" w:cs="Times New Roman"/>
          <w:i/>
          <w:sz w:val="28"/>
          <w:szCs w:val="28"/>
        </w:rPr>
        <w:t xml:space="preserve">- наділений ознаками публічної влади; </w:t>
      </w:r>
    </w:p>
    <w:p w:rsidR="00394FE9" w:rsidRPr="00EE6F29" w:rsidRDefault="00394FE9" w:rsidP="007474D9">
      <w:pPr>
        <w:spacing w:after="0" w:line="360" w:lineRule="auto"/>
        <w:ind w:firstLine="567"/>
        <w:jc w:val="both"/>
        <w:rPr>
          <w:rFonts w:ascii="Times New Roman" w:hAnsi="Times New Roman" w:cs="Times New Roman"/>
          <w:i/>
          <w:sz w:val="28"/>
          <w:szCs w:val="28"/>
        </w:rPr>
      </w:pPr>
      <w:r w:rsidRPr="00EE6F29">
        <w:rPr>
          <w:rFonts w:ascii="Times New Roman" w:hAnsi="Times New Roman" w:cs="Times New Roman"/>
          <w:i/>
          <w:sz w:val="28"/>
          <w:szCs w:val="28"/>
        </w:rPr>
        <w:t xml:space="preserve">- діє у межах та спосіб, відповідно до вимог Закону; </w:t>
      </w:r>
    </w:p>
    <w:p w:rsidR="00394FE9" w:rsidRPr="00EE6F29" w:rsidRDefault="00394FE9" w:rsidP="007474D9">
      <w:pPr>
        <w:spacing w:after="0" w:line="360" w:lineRule="auto"/>
        <w:ind w:firstLine="567"/>
        <w:jc w:val="both"/>
        <w:rPr>
          <w:rFonts w:ascii="Times New Roman" w:hAnsi="Times New Roman" w:cs="Times New Roman"/>
          <w:i/>
          <w:sz w:val="28"/>
          <w:szCs w:val="28"/>
        </w:rPr>
      </w:pPr>
      <w:r w:rsidRPr="00EE6F29">
        <w:rPr>
          <w:rFonts w:ascii="Times New Roman" w:hAnsi="Times New Roman" w:cs="Times New Roman"/>
          <w:i/>
          <w:sz w:val="28"/>
          <w:szCs w:val="28"/>
        </w:rPr>
        <w:t xml:space="preserve">- уповноважений застосовувати інструменти публічного адміністрування. </w:t>
      </w:r>
    </w:p>
    <w:p w:rsidR="00394FE9" w:rsidRPr="00EE6F29" w:rsidRDefault="00394FE9" w:rsidP="007474D9">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Проаналізувавши контекст публічно-правових відносин щодо оскарження рішень СВП про притягнення осіб до адміністративної відповідальності з призми судової практики, а також, проаналізувавши ст. 213 КУпАП, констатуємо, що такими суб’єктами переважно є: </w:t>
      </w:r>
    </w:p>
    <w:p w:rsidR="00394FE9" w:rsidRPr="00EE6F29" w:rsidRDefault="00394FE9" w:rsidP="007474D9">
      <w:pPr>
        <w:spacing w:after="0" w:line="360" w:lineRule="auto"/>
        <w:ind w:firstLine="567"/>
        <w:jc w:val="both"/>
        <w:rPr>
          <w:rFonts w:ascii="Times New Roman" w:hAnsi="Times New Roman" w:cs="Times New Roman"/>
          <w:i/>
          <w:sz w:val="28"/>
          <w:szCs w:val="28"/>
        </w:rPr>
      </w:pPr>
      <w:r w:rsidRPr="00EE6F29">
        <w:rPr>
          <w:rFonts w:ascii="Times New Roman" w:hAnsi="Times New Roman" w:cs="Times New Roman"/>
          <w:i/>
          <w:sz w:val="28"/>
          <w:szCs w:val="28"/>
        </w:rPr>
        <w:t>- адміністративні комісії при виконавчих комітетах сільських, селищних, міських рад;</w:t>
      </w:r>
    </w:p>
    <w:p w:rsidR="00394FE9" w:rsidRPr="00EE6F29" w:rsidRDefault="00394FE9" w:rsidP="007474D9">
      <w:pPr>
        <w:spacing w:after="0" w:line="360" w:lineRule="auto"/>
        <w:ind w:firstLine="567"/>
        <w:jc w:val="both"/>
        <w:rPr>
          <w:rFonts w:ascii="Times New Roman" w:hAnsi="Times New Roman" w:cs="Times New Roman"/>
          <w:i/>
          <w:sz w:val="28"/>
          <w:szCs w:val="28"/>
        </w:rPr>
      </w:pPr>
      <w:r w:rsidRPr="00EE6F29">
        <w:rPr>
          <w:rFonts w:ascii="Times New Roman" w:hAnsi="Times New Roman" w:cs="Times New Roman"/>
          <w:i/>
          <w:sz w:val="28"/>
          <w:szCs w:val="28"/>
        </w:rPr>
        <w:t>- виконавчі комітети сільські, селищні, міські ради та їх посадові особи, уповноважені КУпАП;</w:t>
      </w:r>
    </w:p>
    <w:p w:rsidR="00394FE9" w:rsidRPr="00EE6F29" w:rsidRDefault="00394FE9" w:rsidP="007474D9">
      <w:pPr>
        <w:spacing w:after="0" w:line="360" w:lineRule="auto"/>
        <w:ind w:firstLine="567"/>
        <w:jc w:val="both"/>
        <w:rPr>
          <w:rFonts w:ascii="Times New Roman" w:hAnsi="Times New Roman" w:cs="Times New Roman"/>
          <w:i/>
          <w:sz w:val="28"/>
          <w:szCs w:val="28"/>
        </w:rPr>
      </w:pPr>
      <w:r w:rsidRPr="00EE6F29">
        <w:rPr>
          <w:rFonts w:ascii="Times New Roman" w:hAnsi="Times New Roman" w:cs="Times New Roman"/>
          <w:i/>
          <w:sz w:val="28"/>
          <w:szCs w:val="28"/>
        </w:rPr>
        <w:t>- районні, районні у місті, міські чи міськрайонні суди (судді), місці адміністративні та господарські суди, апеляційні суди, вищі спеціалізовані суди, Верховний Суд;</w:t>
      </w:r>
    </w:p>
    <w:p w:rsidR="00394FE9" w:rsidRPr="00EE6F29" w:rsidRDefault="00394FE9" w:rsidP="007474D9">
      <w:pPr>
        <w:spacing w:after="0" w:line="360" w:lineRule="auto"/>
        <w:ind w:firstLine="567"/>
        <w:jc w:val="both"/>
        <w:rPr>
          <w:rFonts w:ascii="Times New Roman" w:hAnsi="Times New Roman" w:cs="Times New Roman"/>
          <w:i/>
          <w:sz w:val="28"/>
          <w:szCs w:val="28"/>
        </w:rPr>
      </w:pPr>
      <w:r w:rsidRPr="00EE6F29">
        <w:rPr>
          <w:rFonts w:ascii="Times New Roman" w:hAnsi="Times New Roman" w:cs="Times New Roman"/>
          <w:i/>
          <w:sz w:val="28"/>
          <w:szCs w:val="28"/>
        </w:rPr>
        <w:t>- органи Національні поліції, органи державних інспекцій та інші органи (посадові особи), уповноважені КУпАП.</w:t>
      </w:r>
    </w:p>
    <w:p w:rsidR="00394FE9" w:rsidRPr="00EE6F29" w:rsidRDefault="00394FE9" w:rsidP="007474D9">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Вважаємо, що особливість розгляду публічно-правових спорів, які випливають внаслідок оскарження рішень СВП про притягнення до адміністративної відповідальності зосереджено на підсудності, строках, суб’єктному складі, порядку оскарження.</w:t>
      </w:r>
    </w:p>
    <w:p w:rsidR="00394FE9" w:rsidRPr="00EE6F29" w:rsidRDefault="00394FE9" w:rsidP="007474D9">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Відносно підсудності нами було встановлено, що основна мета впровадження підсудності адміністративної справи полягає у забезпеченні: доступності; рівномірного розподілу спорів; об’єктивного, кваліфікованого, неупередженого, оперативного, зручного розгляду та вирішення адміністративними судами справ, при цьому, з поміж однотипного визначення для розмежування між судами тієї чи іншої справи фундаментальне значення займає предметна підсудність, яка має наступні особливості:</w:t>
      </w:r>
    </w:p>
    <w:p w:rsidR="00394FE9" w:rsidRPr="00EE6F29" w:rsidRDefault="00394FE9" w:rsidP="007474D9">
      <w:pPr>
        <w:spacing w:after="0" w:line="360" w:lineRule="auto"/>
        <w:ind w:firstLine="567"/>
        <w:jc w:val="both"/>
        <w:rPr>
          <w:rFonts w:ascii="Times New Roman" w:hAnsi="Times New Roman" w:cs="Times New Roman"/>
          <w:i/>
          <w:sz w:val="28"/>
          <w:szCs w:val="28"/>
        </w:rPr>
      </w:pPr>
      <w:r w:rsidRPr="00EE6F29">
        <w:rPr>
          <w:rFonts w:ascii="Times New Roman" w:hAnsi="Times New Roman" w:cs="Times New Roman"/>
          <w:i/>
          <w:sz w:val="28"/>
          <w:szCs w:val="28"/>
        </w:rPr>
        <w:t>- характер розподілу справ;</w:t>
      </w:r>
    </w:p>
    <w:p w:rsidR="00394FE9" w:rsidRPr="00EE6F29" w:rsidRDefault="00394FE9" w:rsidP="007474D9">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i/>
          <w:sz w:val="28"/>
          <w:szCs w:val="28"/>
        </w:rPr>
        <w:t>- має першочергове значення для суду при визначенні компетентності на розгляд справи адміністративної юрисдикції</w:t>
      </w:r>
      <w:r w:rsidRPr="00EE6F29">
        <w:rPr>
          <w:rFonts w:ascii="Times New Roman" w:hAnsi="Times New Roman" w:cs="Times New Roman"/>
          <w:sz w:val="28"/>
          <w:szCs w:val="28"/>
        </w:rPr>
        <w:t>.</w:t>
      </w:r>
    </w:p>
    <w:p w:rsidR="00394FE9" w:rsidRPr="00EE6F29" w:rsidRDefault="00394FE9" w:rsidP="007474D9">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Проте, важливим в межах даної дипломної роботи було зосередження уваги на ст. 286 КАС України. Досліджувану категорію справ компетентний розглядати місцевий загальний суд, відповідно до правил, передбачених ст. 19 КАС України (</w:t>
      </w:r>
      <w:r w:rsidRPr="00EE6F29">
        <w:rPr>
          <w:rFonts w:ascii="Times New Roman" w:hAnsi="Times New Roman" w:cs="Times New Roman"/>
          <w:i/>
          <w:sz w:val="28"/>
          <w:szCs w:val="28"/>
        </w:rPr>
        <w:t>предметної юрисдикції</w:t>
      </w:r>
      <w:r w:rsidRPr="00EE6F29">
        <w:rPr>
          <w:rFonts w:ascii="Times New Roman" w:hAnsi="Times New Roman" w:cs="Times New Roman"/>
          <w:sz w:val="28"/>
          <w:szCs w:val="28"/>
        </w:rPr>
        <w:t>) та в залежності від ст. 25-27 КАС України (</w:t>
      </w:r>
      <w:r w:rsidRPr="00EE6F29">
        <w:rPr>
          <w:rFonts w:ascii="Times New Roman" w:hAnsi="Times New Roman" w:cs="Times New Roman"/>
          <w:i/>
          <w:sz w:val="28"/>
          <w:szCs w:val="28"/>
        </w:rPr>
        <w:t>територіальної юрисдикції</w:t>
      </w:r>
      <w:r w:rsidRPr="00EE6F29">
        <w:rPr>
          <w:rFonts w:ascii="Times New Roman" w:hAnsi="Times New Roman" w:cs="Times New Roman"/>
          <w:sz w:val="28"/>
          <w:szCs w:val="28"/>
        </w:rPr>
        <w:t xml:space="preserve">). </w:t>
      </w:r>
    </w:p>
    <w:p w:rsidR="00394FE9" w:rsidRPr="00EE6F29" w:rsidRDefault="00394FE9" w:rsidP="007474D9">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Особливу увагу слід приділити також особливостям розмежування загальних (6 місяців, передбачених ст. 122 КАС України) та спеціальних (10 днів, передбачених ст. 286 КАС України) строків. </w:t>
      </w:r>
    </w:p>
    <w:p w:rsidR="00394FE9" w:rsidRPr="00EE6F29" w:rsidRDefault="00394FE9" w:rsidP="007474D9">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Особливість, покладена законодавцем у розмежуванні публічно-правових та приватно-правових строках зумовлена відмінністю від передбаченої мети звернення до суду. Строк звернення до суду у КАС України відображає презумпцію правомірності адміністративного акту суб’єкта владних повноважень (принцип належного врядування), тобто, за цією концепцією держава внаслідок пропуску строку залишає за собою правомірність прийнятого акту, натомість внаслідок пропуску строку позовної давності за ЦК України, особа, як приклад, залишає за собою правомірність набутого майна внаслідок вчиненого правочину. По при це, чисельна практика КАС ВС вказує на те, що пропуск строку звернення до адміністративного суду з позовною заявою про оскарження рішень СВП не є безумовним наслідком повернення такого позову або залишення його без розгляду.</w:t>
      </w:r>
    </w:p>
    <w:p w:rsidR="00394FE9" w:rsidRPr="00EE6F29" w:rsidRDefault="00394FE9" w:rsidP="007474D9">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Крім того, варто звернути увагу, що КАС України передбачає розгляд досліджуваної категорії справ, з огляду на пріоритет у швидкості вирішення (терміновості) справи та їх незначної складності за правилами спрощеного позовного провадження з викликом сторін.</w:t>
      </w:r>
    </w:p>
    <w:p w:rsidR="00394FE9" w:rsidRPr="00EE6F29" w:rsidRDefault="00394FE9" w:rsidP="007474D9">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При цьому, у справах, визначених ст. 285-289 КАС України, заявами по суті є лише позовна заява та відзив на позовну заяву, що обмежує всіх учасників процесу у викладі своїх доводів та міркувань в даній категорії справ та супроводжує процесуальний недолік у передбаченому ч. 3 ст. 163 КАС України щодо застосування дискреційного повноваження судом – встановити строк на подання «відповіді на відзив» - позивачу, або «заперечення» - відповідачу. </w:t>
      </w:r>
    </w:p>
    <w:p w:rsidR="00394FE9" w:rsidRPr="00EE6F29" w:rsidRDefault="00394FE9" w:rsidP="007474D9">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З огляду на що, нами було також виявлено недолік, пов'язаний з нечітким врегулюванням спеціальної норми - ч. 1 ст. 269 КАС України та загальної - ч. 3 ст. 163 КАС України адміністративного судочинства за змістом права на подання всіх заяв по суту в межах досліджуваної категорії справ.</w:t>
      </w:r>
    </w:p>
    <w:p w:rsidR="00394FE9" w:rsidRPr="00EE6F29" w:rsidRDefault="00394FE9" w:rsidP="00464E97">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 xml:space="preserve">Окрім того, нами було виявлено проблемний аспект врегулювання процедури оскарження даної категорії справ в контексті доступу учасників процесу до суду касаційної інстанції. Відносно викладеного, нами було зосереджено увагу на проблематику національного законодавства, в частині положення статті 286 КАС України щодо абсолютної відсутності в учасників процесу можливості реалізувати право на касаційне оскарження судових рішень в окремих категоріях термінових справ на відміну від аналізу досвіду зарубіжних міжнародних-партнерів. Апеляційна інстанція у національному праві з приводу оскарження протиправності рішень щодо притягнення до адміністративної відповідальності є кінцевою, а її рішення – остаточними. </w:t>
      </w:r>
    </w:p>
    <w:p w:rsidR="00394FE9" w:rsidRPr="00EE6F29" w:rsidRDefault="00394FE9" w:rsidP="007474D9">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З проведеного аналізу порушення права особи на доступ до касаційної інстанції, зумовлює також наслідок відсутності єдності думок в судовій практиці з тих чи інших фактичних обставин справ як наслідок призводить до різного «суб’єктивного» тлумачення норми права серед учасників процесу, а також, безпосередньо суду.</w:t>
      </w:r>
    </w:p>
    <w:p w:rsidR="00394FE9" w:rsidRPr="00EE6F29" w:rsidRDefault="00394FE9" w:rsidP="007474D9">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Таким чином, можемо констатувати про необхідність вжиття заходу щодо приведення у відповідність національного законодавства у сфері адміністративного судочинства із нормами та стандартами ЄС.</w:t>
      </w:r>
    </w:p>
    <w:p w:rsidR="00394FE9" w:rsidRPr="00EE6F29" w:rsidRDefault="00394FE9" w:rsidP="005848C6">
      <w:pPr>
        <w:spacing w:after="0" w:line="360" w:lineRule="auto"/>
        <w:ind w:firstLine="567"/>
        <w:jc w:val="both"/>
        <w:rPr>
          <w:rFonts w:ascii="Times New Roman" w:hAnsi="Times New Roman" w:cs="Times New Roman"/>
          <w:sz w:val="28"/>
          <w:szCs w:val="28"/>
        </w:rPr>
      </w:pPr>
      <w:r w:rsidRPr="00EE6F29">
        <w:rPr>
          <w:rFonts w:ascii="Times New Roman" w:hAnsi="Times New Roman" w:cs="Times New Roman"/>
          <w:sz w:val="28"/>
          <w:szCs w:val="28"/>
        </w:rPr>
        <w:t>За наявністю встановлених нами факультативних недоліків, які були виявлені під час дослідження даної проблематики вважаємо за необхідне запровадження участі органів суддівського самоврядування у підготовці та узгодженні державного бюджету в частині фінансування судів і контролю за розподілом цих коштів.</w:t>
      </w:r>
    </w:p>
    <w:p w:rsidR="00394FE9" w:rsidRPr="00EE6F29" w:rsidRDefault="00394FE9" w:rsidP="007474D9">
      <w:pPr>
        <w:spacing w:after="0" w:line="360" w:lineRule="auto"/>
        <w:ind w:firstLine="567"/>
        <w:jc w:val="both"/>
        <w:rPr>
          <w:rFonts w:ascii="Times New Roman" w:hAnsi="Times New Roman" w:cs="Times New Roman"/>
          <w:sz w:val="28"/>
          <w:szCs w:val="28"/>
        </w:rPr>
      </w:pPr>
    </w:p>
    <w:p w:rsidR="00394FE9" w:rsidRPr="00EE6F29" w:rsidRDefault="00394FE9" w:rsidP="007474D9">
      <w:pPr>
        <w:spacing w:after="0" w:line="360" w:lineRule="auto"/>
        <w:ind w:firstLine="567"/>
        <w:jc w:val="both"/>
        <w:rPr>
          <w:rFonts w:ascii="Times New Roman" w:hAnsi="Times New Roman" w:cs="Times New Roman"/>
          <w:sz w:val="28"/>
          <w:szCs w:val="28"/>
        </w:rPr>
      </w:pPr>
    </w:p>
    <w:p w:rsidR="00394FE9" w:rsidRPr="00EE6F29" w:rsidRDefault="00394FE9" w:rsidP="007474D9">
      <w:pPr>
        <w:spacing w:after="0" w:line="360" w:lineRule="auto"/>
        <w:ind w:firstLine="567"/>
        <w:jc w:val="center"/>
        <w:rPr>
          <w:rFonts w:ascii="Times New Roman" w:hAnsi="Times New Roman" w:cs="Times New Roman"/>
          <w:b/>
          <w:bCs/>
          <w:sz w:val="28"/>
          <w:szCs w:val="28"/>
        </w:rPr>
      </w:pPr>
      <w:bookmarkStart w:id="15" w:name="_GoBack"/>
      <w:bookmarkEnd w:id="15"/>
    </w:p>
    <w:sectPr w:rsidR="00394FE9" w:rsidRPr="00EE6F29" w:rsidSect="007F6982">
      <w:headerReference w:type="default" r:id="rId7"/>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94FE9" w:rsidRDefault="00394FE9" w:rsidP="001D2758">
      <w:pPr>
        <w:spacing w:after="0" w:line="240" w:lineRule="auto"/>
      </w:pPr>
      <w:r>
        <w:separator/>
      </w:r>
    </w:p>
  </w:endnote>
  <w:endnote w:type="continuationSeparator" w:id="1">
    <w:p w:rsidR="00394FE9" w:rsidRDefault="00394FE9" w:rsidP="001D275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libri Light">
    <w:panose1 w:val="00000000000000000000"/>
    <w:charset w:val="CC"/>
    <w:family w:val="swiss"/>
    <w:notTrueType/>
    <w:pitch w:val="variable"/>
    <w:sig w:usb0="00000203" w:usb1="00000000" w:usb2="00000000" w:usb3="00000000" w:csb0="00000005"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94FE9" w:rsidRDefault="00394FE9" w:rsidP="001D2758">
      <w:pPr>
        <w:spacing w:after="0" w:line="240" w:lineRule="auto"/>
      </w:pPr>
      <w:r>
        <w:separator/>
      </w:r>
    </w:p>
  </w:footnote>
  <w:footnote w:type="continuationSeparator" w:id="1">
    <w:p w:rsidR="00394FE9" w:rsidRDefault="00394FE9" w:rsidP="001D275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4FE9" w:rsidRPr="00A84E9B" w:rsidRDefault="00394FE9">
    <w:pPr>
      <w:pStyle w:val="Header"/>
      <w:jc w:val="right"/>
      <w:rPr>
        <w:rFonts w:ascii="Times New Roman" w:hAnsi="Times New Roman" w:cs="Times New Roman"/>
      </w:rPr>
    </w:pPr>
    <w:r w:rsidRPr="00A84E9B">
      <w:rPr>
        <w:rFonts w:ascii="Times New Roman" w:hAnsi="Times New Roman" w:cs="Times New Roman"/>
      </w:rPr>
      <w:fldChar w:fldCharType="begin"/>
    </w:r>
    <w:r w:rsidRPr="00A84E9B">
      <w:rPr>
        <w:rFonts w:ascii="Times New Roman" w:hAnsi="Times New Roman" w:cs="Times New Roman"/>
      </w:rPr>
      <w:instrText>PAGE   \* MERGEFORMAT</w:instrText>
    </w:r>
    <w:r w:rsidRPr="00A84E9B">
      <w:rPr>
        <w:rFonts w:ascii="Times New Roman" w:hAnsi="Times New Roman" w:cs="Times New Roman"/>
      </w:rPr>
      <w:fldChar w:fldCharType="separate"/>
    </w:r>
    <w:r w:rsidRPr="009966D1">
      <w:rPr>
        <w:rFonts w:ascii="Times New Roman" w:hAnsi="Times New Roman" w:cs="Times New Roman"/>
        <w:noProof/>
        <w:lang w:val="ru-RU"/>
      </w:rPr>
      <w:t>5</w:t>
    </w:r>
    <w:r w:rsidRPr="00A84E9B">
      <w:rPr>
        <w:rFonts w:ascii="Times New Roman" w:hAnsi="Times New Roman" w:cs="Times New Roman"/>
      </w:rPr>
      <w:fldChar w:fldCharType="end"/>
    </w:r>
  </w:p>
  <w:p w:rsidR="00394FE9" w:rsidRPr="00A84E9B" w:rsidRDefault="00394FE9">
    <w:pPr>
      <w:pStyle w:val="Header"/>
      <w:rPr>
        <w:rFonts w:ascii="Times New Roman" w:hAnsi="Times New Roman" w:cs="Times New Roman"/>
        <w:lang w:val="en-US"/>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C651AA"/>
    <w:multiLevelType w:val="hybridMultilevel"/>
    <w:tmpl w:val="CBDA1F68"/>
    <w:lvl w:ilvl="0" w:tplc="21925C2E">
      <w:start w:val="1"/>
      <w:numFmt w:val="decimal"/>
      <w:lvlText w:val="%1.)"/>
      <w:lvlJc w:val="left"/>
      <w:pPr>
        <w:ind w:left="927" w:hanging="360"/>
      </w:pPr>
      <w:rPr>
        <w:rFonts w:cs="Times New Roman" w:hint="default"/>
        <w:b w:val="0"/>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1">
    <w:nsid w:val="0ECC62A2"/>
    <w:multiLevelType w:val="hybridMultilevel"/>
    <w:tmpl w:val="6A8631DA"/>
    <w:lvl w:ilvl="0" w:tplc="F4760C00">
      <w:start w:val="2"/>
      <w:numFmt w:val="decimal"/>
      <w:lvlText w:val="%1."/>
      <w:lvlJc w:val="left"/>
      <w:pPr>
        <w:tabs>
          <w:tab w:val="num" w:pos="0"/>
        </w:tabs>
        <w:ind w:hanging="360"/>
      </w:pPr>
      <w:rPr>
        <w:rFonts w:cs="Times New Roman" w:hint="default"/>
        <w:b w:val="0"/>
      </w:rPr>
    </w:lvl>
    <w:lvl w:ilvl="1" w:tplc="04190019">
      <w:start w:val="1"/>
      <w:numFmt w:val="lowerLetter"/>
      <w:lvlText w:val="%2."/>
      <w:lvlJc w:val="left"/>
      <w:pPr>
        <w:tabs>
          <w:tab w:val="num" w:pos="720"/>
        </w:tabs>
        <w:ind w:left="720" w:hanging="360"/>
      </w:pPr>
      <w:rPr>
        <w:rFonts w:cs="Times New Roman"/>
      </w:rPr>
    </w:lvl>
    <w:lvl w:ilvl="2" w:tplc="0419001B">
      <w:start w:val="1"/>
      <w:numFmt w:val="lowerRoman"/>
      <w:lvlText w:val="%3."/>
      <w:lvlJc w:val="right"/>
      <w:pPr>
        <w:tabs>
          <w:tab w:val="num" w:pos="1440"/>
        </w:tabs>
        <w:ind w:left="1440" w:hanging="180"/>
      </w:pPr>
      <w:rPr>
        <w:rFonts w:cs="Times New Roman"/>
      </w:rPr>
    </w:lvl>
    <w:lvl w:ilvl="3" w:tplc="0419000F">
      <w:start w:val="1"/>
      <w:numFmt w:val="decimal"/>
      <w:lvlText w:val="%4."/>
      <w:lvlJc w:val="left"/>
      <w:pPr>
        <w:tabs>
          <w:tab w:val="num" w:pos="2160"/>
        </w:tabs>
        <w:ind w:left="2160" w:hanging="360"/>
      </w:pPr>
      <w:rPr>
        <w:rFonts w:cs="Times New Roman"/>
      </w:rPr>
    </w:lvl>
    <w:lvl w:ilvl="4" w:tplc="04190019">
      <w:start w:val="1"/>
      <w:numFmt w:val="lowerLetter"/>
      <w:lvlText w:val="%5."/>
      <w:lvlJc w:val="left"/>
      <w:pPr>
        <w:tabs>
          <w:tab w:val="num" w:pos="2880"/>
        </w:tabs>
        <w:ind w:left="2880" w:hanging="360"/>
      </w:pPr>
      <w:rPr>
        <w:rFonts w:cs="Times New Roman"/>
      </w:rPr>
    </w:lvl>
    <w:lvl w:ilvl="5" w:tplc="0419001B">
      <w:start w:val="1"/>
      <w:numFmt w:val="lowerRoman"/>
      <w:lvlText w:val="%6."/>
      <w:lvlJc w:val="right"/>
      <w:pPr>
        <w:tabs>
          <w:tab w:val="num" w:pos="3600"/>
        </w:tabs>
        <w:ind w:left="3600" w:hanging="180"/>
      </w:pPr>
      <w:rPr>
        <w:rFonts w:cs="Times New Roman"/>
      </w:rPr>
    </w:lvl>
    <w:lvl w:ilvl="6" w:tplc="0419000F">
      <w:start w:val="1"/>
      <w:numFmt w:val="decimal"/>
      <w:lvlText w:val="%7."/>
      <w:lvlJc w:val="left"/>
      <w:pPr>
        <w:tabs>
          <w:tab w:val="num" w:pos="4320"/>
        </w:tabs>
        <w:ind w:left="4320" w:hanging="360"/>
      </w:pPr>
      <w:rPr>
        <w:rFonts w:cs="Times New Roman"/>
      </w:rPr>
    </w:lvl>
    <w:lvl w:ilvl="7" w:tplc="04190019">
      <w:start w:val="1"/>
      <w:numFmt w:val="lowerLetter"/>
      <w:lvlText w:val="%8."/>
      <w:lvlJc w:val="left"/>
      <w:pPr>
        <w:tabs>
          <w:tab w:val="num" w:pos="5040"/>
        </w:tabs>
        <w:ind w:left="5040" w:hanging="360"/>
      </w:pPr>
      <w:rPr>
        <w:rFonts w:cs="Times New Roman"/>
      </w:rPr>
    </w:lvl>
    <w:lvl w:ilvl="8" w:tplc="0419001B">
      <w:start w:val="1"/>
      <w:numFmt w:val="lowerRoman"/>
      <w:lvlText w:val="%9."/>
      <w:lvlJc w:val="right"/>
      <w:pPr>
        <w:tabs>
          <w:tab w:val="num" w:pos="5760"/>
        </w:tabs>
        <w:ind w:left="5760" w:hanging="180"/>
      </w:pPr>
      <w:rPr>
        <w:rFonts w:cs="Times New Roman"/>
      </w:rPr>
    </w:lvl>
  </w:abstractNum>
  <w:abstractNum w:abstractNumId="2">
    <w:nsid w:val="22165020"/>
    <w:multiLevelType w:val="hybridMultilevel"/>
    <w:tmpl w:val="783CFF3C"/>
    <w:lvl w:ilvl="0" w:tplc="C914C232">
      <w:numFmt w:val="bullet"/>
      <w:lvlText w:val="–"/>
      <w:lvlJc w:val="left"/>
      <w:pPr>
        <w:ind w:left="502" w:hanging="360"/>
      </w:pPr>
      <w:rPr>
        <w:rFonts w:ascii="Times New Roman" w:eastAsia="Times New Roman" w:hAnsi="Times New Roman" w:hint="default"/>
      </w:rPr>
    </w:lvl>
    <w:lvl w:ilvl="1" w:tplc="04190003" w:tentative="1">
      <w:start w:val="1"/>
      <w:numFmt w:val="bullet"/>
      <w:lvlText w:val="o"/>
      <w:lvlJc w:val="left"/>
      <w:pPr>
        <w:ind w:left="1222" w:hanging="360"/>
      </w:pPr>
      <w:rPr>
        <w:rFonts w:ascii="Courier New" w:hAnsi="Courier New" w:hint="default"/>
      </w:rPr>
    </w:lvl>
    <w:lvl w:ilvl="2" w:tplc="04190005" w:tentative="1">
      <w:start w:val="1"/>
      <w:numFmt w:val="bullet"/>
      <w:lvlText w:val=""/>
      <w:lvlJc w:val="left"/>
      <w:pPr>
        <w:ind w:left="1942" w:hanging="360"/>
      </w:pPr>
      <w:rPr>
        <w:rFonts w:ascii="Wingdings" w:hAnsi="Wingdings" w:hint="default"/>
      </w:rPr>
    </w:lvl>
    <w:lvl w:ilvl="3" w:tplc="04190001" w:tentative="1">
      <w:start w:val="1"/>
      <w:numFmt w:val="bullet"/>
      <w:lvlText w:val=""/>
      <w:lvlJc w:val="left"/>
      <w:pPr>
        <w:ind w:left="2662" w:hanging="360"/>
      </w:pPr>
      <w:rPr>
        <w:rFonts w:ascii="Symbol" w:hAnsi="Symbol" w:hint="default"/>
      </w:rPr>
    </w:lvl>
    <w:lvl w:ilvl="4" w:tplc="04190003" w:tentative="1">
      <w:start w:val="1"/>
      <w:numFmt w:val="bullet"/>
      <w:lvlText w:val="o"/>
      <w:lvlJc w:val="left"/>
      <w:pPr>
        <w:ind w:left="3382" w:hanging="360"/>
      </w:pPr>
      <w:rPr>
        <w:rFonts w:ascii="Courier New" w:hAnsi="Courier New" w:hint="default"/>
      </w:rPr>
    </w:lvl>
    <w:lvl w:ilvl="5" w:tplc="04190005" w:tentative="1">
      <w:start w:val="1"/>
      <w:numFmt w:val="bullet"/>
      <w:lvlText w:val=""/>
      <w:lvlJc w:val="left"/>
      <w:pPr>
        <w:ind w:left="4102" w:hanging="360"/>
      </w:pPr>
      <w:rPr>
        <w:rFonts w:ascii="Wingdings" w:hAnsi="Wingdings" w:hint="default"/>
      </w:rPr>
    </w:lvl>
    <w:lvl w:ilvl="6" w:tplc="04190001" w:tentative="1">
      <w:start w:val="1"/>
      <w:numFmt w:val="bullet"/>
      <w:lvlText w:val=""/>
      <w:lvlJc w:val="left"/>
      <w:pPr>
        <w:ind w:left="4822" w:hanging="360"/>
      </w:pPr>
      <w:rPr>
        <w:rFonts w:ascii="Symbol" w:hAnsi="Symbol" w:hint="default"/>
      </w:rPr>
    </w:lvl>
    <w:lvl w:ilvl="7" w:tplc="04190003" w:tentative="1">
      <w:start w:val="1"/>
      <w:numFmt w:val="bullet"/>
      <w:lvlText w:val="o"/>
      <w:lvlJc w:val="left"/>
      <w:pPr>
        <w:ind w:left="5542" w:hanging="360"/>
      </w:pPr>
      <w:rPr>
        <w:rFonts w:ascii="Courier New" w:hAnsi="Courier New" w:hint="default"/>
      </w:rPr>
    </w:lvl>
    <w:lvl w:ilvl="8" w:tplc="04190005" w:tentative="1">
      <w:start w:val="1"/>
      <w:numFmt w:val="bullet"/>
      <w:lvlText w:val=""/>
      <w:lvlJc w:val="left"/>
      <w:pPr>
        <w:ind w:left="6262" w:hanging="360"/>
      </w:pPr>
      <w:rPr>
        <w:rFonts w:ascii="Wingdings" w:hAnsi="Wingdings" w:hint="default"/>
      </w:rPr>
    </w:lvl>
  </w:abstractNum>
  <w:abstractNum w:abstractNumId="3">
    <w:nsid w:val="2F906D10"/>
    <w:multiLevelType w:val="hybridMultilevel"/>
    <w:tmpl w:val="F8766620"/>
    <w:lvl w:ilvl="0" w:tplc="45DA0F72">
      <w:start w:val="1"/>
      <w:numFmt w:val="decimal"/>
      <w:lvlText w:val="%1."/>
      <w:lvlJc w:val="left"/>
      <w:pPr>
        <w:ind w:left="927" w:hanging="36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4">
    <w:nsid w:val="7FBA4C56"/>
    <w:multiLevelType w:val="hybridMultilevel"/>
    <w:tmpl w:val="B3401200"/>
    <w:lvl w:ilvl="0" w:tplc="5BAC46F6">
      <w:start w:val="1"/>
      <w:numFmt w:val="decimal"/>
      <w:lvlText w:val="%1."/>
      <w:lvlJc w:val="left"/>
      <w:pPr>
        <w:ind w:left="927" w:hanging="36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num w:numId="1">
    <w:abstractNumId w:val="1"/>
  </w:num>
  <w:num w:numId="2">
    <w:abstractNumId w:val="4"/>
  </w:num>
  <w:num w:numId="3">
    <w:abstractNumId w:val="0"/>
  </w:num>
  <w:num w:numId="4">
    <w:abstractNumId w:val="3"/>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EB3926"/>
    <w:rsid w:val="00000477"/>
    <w:rsid w:val="00001E0C"/>
    <w:rsid w:val="000022A7"/>
    <w:rsid w:val="000037EB"/>
    <w:rsid w:val="00003B0F"/>
    <w:rsid w:val="00003E70"/>
    <w:rsid w:val="00004456"/>
    <w:rsid w:val="00005015"/>
    <w:rsid w:val="0000552F"/>
    <w:rsid w:val="000061C8"/>
    <w:rsid w:val="00006216"/>
    <w:rsid w:val="00006897"/>
    <w:rsid w:val="00006E77"/>
    <w:rsid w:val="0000735A"/>
    <w:rsid w:val="000073BD"/>
    <w:rsid w:val="0000770D"/>
    <w:rsid w:val="00007E9B"/>
    <w:rsid w:val="000101B9"/>
    <w:rsid w:val="00010966"/>
    <w:rsid w:val="00010C35"/>
    <w:rsid w:val="000111E0"/>
    <w:rsid w:val="00011D74"/>
    <w:rsid w:val="00011F80"/>
    <w:rsid w:val="00012279"/>
    <w:rsid w:val="000128E0"/>
    <w:rsid w:val="00013212"/>
    <w:rsid w:val="00013A42"/>
    <w:rsid w:val="0001439E"/>
    <w:rsid w:val="000144F3"/>
    <w:rsid w:val="000147E9"/>
    <w:rsid w:val="000149D1"/>
    <w:rsid w:val="0001661B"/>
    <w:rsid w:val="00016FDF"/>
    <w:rsid w:val="0001785D"/>
    <w:rsid w:val="000178D4"/>
    <w:rsid w:val="00017C84"/>
    <w:rsid w:val="00017EBA"/>
    <w:rsid w:val="00020D91"/>
    <w:rsid w:val="0002154E"/>
    <w:rsid w:val="000216D1"/>
    <w:rsid w:val="00021B6E"/>
    <w:rsid w:val="00022041"/>
    <w:rsid w:val="00022843"/>
    <w:rsid w:val="00022CE4"/>
    <w:rsid w:val="00022F8C"/>
    <w:rsid w:val="00022FCE"/>
    <w:rsid w:val="0002305D"/>
    <w:rsid w:val="000234D0"/>
    <w:rsid w:val="000235F4"/>
    <w:rsid w:val="0002396E"/>
    <w:rsid w:val="00023A83"/>
    <w:rsid w:val="00023B1A"/>
    <w:rsid w:val="0002468B"/>
    <w:rsid w:val="0002513B"/>
    <w:rsid w:val="0002546B"/>
    <w:rsid w:val="00025513"/>
    <w:rsid w:val="000266E7"/>
    <w:rsid w:val="00026E19"/>
    <w:rsid w:val="0002708A"/>
    <w:rsid w:val="00027149"/>
    <w:rsid w:val="000273DA"/>
    <w:rsid w:val="000278F9"/>
    <w:rsid w:val="00027909"/>
    <w:rsid w:val="00030106"/>
    <w:rsid w:val="00030867"/>
    <w:rsid w:val="00030E0D"/>
    <w:rsid w:val="000311AE"/>
    <w:rsid w:val="000311B5"/>
    <w:rsid w:val="00031DF9"/>
    <w:rsid w:val="000322E3"/>
    <w:rsid w:val="000336F1"/>
    <w:rsid w:val="000338D6"/>
    <w:rsid w:val="00033C10"/>
    <w:rsid w:val="00033EBC"/>
    <w:rsid w:val="00033F28"/>
    <w:rsid w:val="00034E23"/>
    <w:rsid w:val="0003502B"/>
    <w:rsid w:val="0003542F"/>
    <w:rsid w:val="000356A1"/>
    <w:rsid w:val="000361C0"/>
    <w:rsid w:val="00036327"/>
    <w:rsid w:val="00036AA2"/>
    <w:rsid w:val="00036AD7"/>
    <w:rsid w:val="00036DAC"/>
    <w:rsid w:val="00036E56"/>
    <w:rsid w:val="0003713B"/>
    <w:rsid w:val="0003773D"/>
    <w:rsid w:val="000431E2"/>
    <w:rsid w:val="000432BF"/>
    <w:rsid w:val="0004357C"/>
    <w:rsid w:val="00043CA7"/>
    <w:rsid w:val="00043E4D"/>
    <w:rsid w:val="000440A9"/>
    <w:rsid w:val="0004467A"/>
    <w:rsid w:val="0004477B"/>
    <w:rsid w:val="000451F3"/>
    <w:rsid w:val="000465AA"/>
    <w:rsid w:val="000468B4"/>
    <w:rsid w:val="00046BD4"/>
    <w:rsid w:val="00046CA1"/>
    <w:rsid w:val="0004765E"/>
    <w:rsid w:val="00047F9C"/>
    <w:rsid w:val="000508FA"/>
    <w:rsid w:val="00050A22"/>
    <w:rsid w:val="00051B6A"/>
    <w:rsid w:val="0005203A"/>
    <w:rsid w:val="00052723"/>
    <w:rsid w:val="0005276A"/>
    <w:rsid w:val="00053867"/>
    <w:rsid w:val="00054E9B"/>
    <w:rsid w:val="00055046"/>
    <w:rsid w:val="00055AA7"/>
    <w:rsid w:val="00055BFF"/>
    <w:rsid w:val="00055FB9"/>
    <w:rsid w:val="000567D1"/>
    <w:rsid w:val="0005727A"/>
    <w:rsid w:val="0005797C"/>
    <w:rsid w:val="00057BC0"/>
    <w:rsid w:val="000605D5"/>
    <w:rsid w:val="000606BA"/>
    <w:rsid w:val="00061399"/>
    <w:rsid w:val="00062141"/>
    <w:rsid w:val="00062C18"/>
    <w:rsid w:val="00063726"/>
    <w:rsid w:val="00063F30"/>
    <w:rsid w:val="000645F9"/>
    <w:rsid w:val="000649B4"/>
    <w:rsid w:val="000652B5"/>
    <w:rsid w:val="00066FDA"/>
    <w:rsid w:val="00067581"/>
    <w:rsid w:val="00067625"/>
    <w:rsid w:val="00067EB0"/>
    <w:rsid w:val="0007078D"/>
    <w:rsid w:val="00070798"/>
    <w:rsid w:val="0007166A"/>
    <w:rsid w:val="00071B1A"/>
    <w:rsid w:val="00071BE9"/>
    <w:rsid w:val="00072F76"/>
    <w:rsid w:val="00073A02"/>
    <w:rsid w:val="00074642"/>
    <w:rsid w:val="00074716"/>
    <w:rsid w:val="000755A8"/>
    <w:rsid w:val="000755C9"/>
    <w:rsid w:val="000760A6"/>
    <w:rsid w:val="0007640A"/>
    <w:rsid w:val="000769BC"/>
    <w:rsid w:val="00080BE6"/>
    <w:rsid w:val="000822A7"/>
    <w:rsid w:val="00082643"/>
    <w:rsid w:val="000828FD"/>
    <w:rsid w:val="00082BE9"/>
    <w:rsid w:val="0008372F"/>
    <w:rsid w:val="00083757"/>
    <w:rsid w:val="00083AE8"/>
    <w:rsid w:val="00083E21"/>
    <w:rsid w:val="00084CAA"/>
    <w:rsid w:val="00084EC2"/>
    <w:rsid w:val="00085707"/>
    <w:rsid w:val="00085D4D"/>
    <w:rsid w:val="00086959"/>
    <w:rsid w:val="00086FC0"/>
    <w:rsid w:val="00087B33"/>
    <w:rsid w:val="00087DAF"/>
    <w:rsid w:val="0009024C"/>
    <w:rsid w:val="0009165F"/>
    <w:rsid w:val="00091DFB"/>
    <w:rsid w:val="00092933"/>
    <w:rsid w:val="00092B73"/>
    <w:rsid w:val="00092DA8"/>
    <w:rsid w:val="00092F47"/>
    <w:rsid w:val="00093AB9"/>
    <w:rsid w:val="0009516C"/>
    <w:rsid w:val="00095348"/>
    <w:rsid w:val="00095D90"/>
    <w:rsid w:val="00096E13"/>
    <w:rsid w:val="000971E9"/>
    <w:rsid w:val="0009797A"/>
    <w:rsid w:val="00097C6D"/>
    <w:rsid w:val="00097DAF"/>
    <w:rsid w:val="000A0264"/>
    <w:rsid w:val="000A05F0"/>
    <w:rsid w:val="000A067B"/>
    <w:rsid w:val="000A06E7"/>
    <w:rsid w:val="000A0B46"/>
    <w:rsid w:val="000A1DFA"/>
    <w:rsid w:val="000A31C4"/>
    <w:rsid w:val="000A32F1"/>
    <w:rsid w:val="000A3C54"/>
    <w:rsid w:val="000A42A9"/>
    <w:rsid w:val="000A4719"/>
    <w:rsid w:val="000A61E5"/>
    <w:rsid w:val="000A62D2"/>
    <w:rsid w:val="000A7172"/>
    <w:rsid w:val="000A7257"/>
    <w:rsid w:val="000A7289"/>
    <w:rsid w:val="000A7FC0"/>
    <w:rsid w:val="000B04FD"/>
    <w:rsid w:val="000B0D29"/>
    <w:rsid w:val="000B0F60"/>
    <w:rsid w:val="000B146E"/>
    <w:rsid w:val="000B200C"/>
    <w:rsid w:val="000B22D6"/>
    <w:rsid w:val="000B27FA"/>
    <w:rsid w:val="000B2C8C"/>
    <w:rsid w:val="000B38B2"/>
    <w:rsid w:val="000B512E"/>
    <w:rsid w:val="000B5A4F"/>
    <w:rsid w:val="000B667E"/>
    <w:rsid w:val="000B6AA1"/>
    <w:rsid w:val="000B72AA"/>
    <w:rsid w:val="000B7434"/>
    <w:rsid w:val="000B77C7"/>
    <w:rsid w:val="000B7C49"/>
    <w:rsid w:val="000C0762"/>
    <w:rsid w:val="000C07CD"/>
    <w:rsid w:val="000C0F24"/>
    <w:rsid w:val="000C100A"/>
    <w:rsid w:val="000C1ADF"/>
    <w:rsid w:val="000C1EA9"/>
    <w:rsid w:val="000C1F1C"/>
    <w:rsid w:val="000C2EDC"/>
    <w:rsid w:val="000C33FD"/>
    <w:rsid w:val="000C36B3"/>
    <w:rsid w:val="000C3754"/>
    <w:rsid w:val="000C3EBA"/>
    <w:rsid w:val="000C3EC7"/>
    <w:rsid w:val="000C5183"/>
    <w:rsid w:val="000C6C4B"/>
    <w:rsid w:val="000C6ED3"/>
    <w:rsid w:val="000C75EF"/>
    <w:rsid w:val="000D0C7B"/>
    <w:rsid w:val="000D0E6E"/>
    <w:rsid w:val="000D1C42"/>
    <w:rsid w:val="000D20E6"/>
    <w:rsid w:val="000D4196"/>
    <w:rsid w:val="000D4242"/>
    <w:rsid w:val="000D4B4B"/>
    <w:rsid w:val="000D68D2"/>
    <w:rsid w:val="000D6BCD"/>
    <w:rsid w:val="000D720A"/>
    <w:rsid w:val="000D7989"/>
    <w:rsid w:val="000E0187"/>
    <w:rsid w:val="000E173B"/>
    <w:rsid w:val="000E179F"/>
    <w:rsid w:val="000E1E6E"/>
    <w:rsid w:val="000E21F2"/>
    <w:rsid w:val="000E2939"/>
    <w:rsid w:val="000E2DCB"/>
    <w:rsid w:val="000E323D"/>
    <w:rsid w:val="000E3A3C"/>
    <w:rsid w:val="000E3D99"/>
    <w:rsid w:val="000E3D9C"/>
    <w:rsid w:val="000E4677"/>
    <w:rsid w:val="000E4A1A"/>
    <w:rsid w:val="000E5E63"/>
    <w:rsid w:val="000E5EA3"/>
    <w:rsid w:val="000E613E"/>
    <w:rsid w:val="000E6AD7"/>
    <w:rsid w:val="000E7015"/>
    <w:rsid w:val="000E785C"/>
    <w:rsid w:val="000F01C0"/>
    <w:rsid w:val="000F01CB"/>
    <w:rsid w:val="000F0F91"/>
    <w:rsid w:val="000F17FA"/>
    <w:rsid w:val="000F1EDB"/>
    <w:rsid w:val="000F2274"/>
    <w:rsid w:val="000F3D18"/>
    <w:rsid w:val="000F4A29"/>
    <w:rsid w:val="000F4C97"/>
    <w:rsid w:val="000F59D5"/>
    <w:rsid w:val="000F62CC"/>
    <w:rsid w:val="000F7050"/>
    <w:rsid w:val="000F70B8"/>
    <w:rsid w:val="0010028A"/>
    <w:rsid w:val="001002FE"/>
    <w:rsid w:val="00100384"/>
    <w:rsid w:val="0010049A"/>
    <w:rsid w:val="00100B19"/>
    <w:rsid w:val="00101985"/>
    <w:rsid w:val="0010198E"/>
    <w:rsid w:val="0010253B"/>
    <w:rsid w:val="00102C81"/>
    <w:rsid w:val="00105854"/>
    <w:rsid w:val="00105D59"/>
    <w:rsid w:val="001062AF"/>
    <w:rsid w:val="001068DC"/>
    <w:rsid w:val="00106AFF"/>
    <w:rsid w:val="001072FB"/>
    <w:rsid w:val="00107647"/>
    <w:rsid w:val="0011091F"/>
    <w:rsid w:val="00111652"/>
    <w:rsid w:val="00111BC1"/>
    <w:rsid w:val="00111EBE"/>
    <w:rsid w:val="0011205B"/>
    <w:rsid w:val="00113654"/>
    <w:rsid w:val="00113F30"/>
    <w:rsid w:val="00114012"/>
    <w:rsid w:val="00114280"/>
    <w:rsid w:val="00114C81"/>
    <w:rsid w:val="00115724"/>
    <w:rsid w:val="00115D15"/>
    <w:rsid w:val="00116423"/>
    <w:rsid w:val="00116767"/>
    <w:rsid w:val="001169A7"/>
    <w:rsid w:val="00116B0D"/>
    <w:rsid w:val="001175A5"/>
    <w:rsid w:val="00117704"/>
    <w:rsid w:val="00117C89"/>
    <w:rsid w:val="00117E6D"/>
    <w:rsid w:val="00120A4D"/>
    <w:rsid w:val="00121150"/>
    <w:rsid w:val="00121B62"/>
    <w:rsid w:val="00121B73"/>
    <w:rsid w:val="00122C7E"/>
    <w:rsid w:val="0012324E"/>
    <w:rsid w:val="0012355E"/>
    <w:rsid w:val="001235FB"/>
    <w:rsid w:val="0012377C"/>
    <w:rsid w:val="00123DFE"/>
    <w:rsid w:val="001247E2"/>
    <w:rsid w:val="00124F96"/>
    <w:rsid w:val="00126123"/>
    <w:rsid w:val="0012613F"/>
    <w:rsid w:val="00126A3F"/>
    <w:rsid w:val="0012748F"/>
    <w:rsid w:val="0012760F"/>
    <w:rsid w:val="001278CA"/>
    <w:rsid w:val="00127CD4"/>
    <w:rsid w:val="00127DBE"/>
    <w:rsid w:val="00130C8D"/>
    <w:rsid w:val="00130DEA"/>
    <w:rsid w:val="00131806"/>
    <w:rsid w:val="00131DEC"/>
    <w:rsid w:val="001321E0"/>
    <w:rsid w:val="001327E8"/>
    <w:rsid w:val="0013309A"/>
    <w:rsid w:val="0013378A"/>
    <w:rsid w:val="00133859"/>
    <w:rsid w:val="00133A63"/>
    <w:rsid w:val="00134BF2"/>
    <w:rsid w:val="00134BFA"/>
    <w:rsid w:val="00134FC8"/>
    <w:rsid w:val="00135EE2"/>
    <w:rsid w:val="0013604B"/>
    <w:rsid w:val="001374F6"/>
    <w:rsid w:val="00137BE1"/>
    <w:rsid w:val="001403DE"/>
    <w:rsid w:val="0014051B"/>
    <w:rsid w:val="00141728"/>
    <w:rsid w:val="001419A4"/>
    <w:rsid w:val="00141FC0"/>
    <w:rsid w:val="0014200F"/>
    <w:rsid w:val="00142730"/>
    <w:rsid w:val="00142D21"/>
    <w:rsid w:val="00142EC6"/>
    <w:rsid w:val="001430AB"/>
    <w:rsid w:val="001433FB"/>
    <w:rsid w:val="00144035"/>
    <w:rsid w:val="0014521B"/>
    <w:rsid w:val="00145B02"/>
    <w:rsid w:val="00145CE3"/>
    <w:rsid w:val="00145D21"/>
    <w:rsid w:val="00145F59"/>
    <w:rsid w:val="00146102"/>
    <w:rsid w:val="00146306"/>
    <w:rsid w:val="0014679D"/>
    <w:rsid w:val="00146C89"/>
    <w:rsid w:val="001472F6"/>
    <w:rsid w:val="00147F0D"/>
    <w:rsid w:val="0015040D"/>
    <w:rsid w:val="00151073"/>
    <w:rsid w:val="00151672"/>
    <w:rsid w:val="00151BBF"/>
    <w:rsid w:val="00152B50"/>
    <w:rsid w:val="00153356"/>
    <w:rsid w:val="0015383C"/>
    <w:rsid w:val="00153AA9"/>
    <w:rsid w:val="00154276"/>
    <w:rsid w:val="001560B9"/>
    <w:rsid w:val="00156540"/>
    <w:rsid w:val="00156835"/>
    <w:rsid w:val="00156AAD"/>
    <w:rsid w:val="00156DC0"/>
    <w:rsid w:val="0015725A"/>
    <w:rsid w:val="00161B99"/>
    <w:rsid w:val="00163202"/>
    <w:rsid w:val="00163609"/>
    <w:rsid w:val="00163E86"/>
    <w:rsid w:val="00164000"/>
    <w:rsid w:val="00164333"/>
    <w:rsid w:val="001646D9"/>
    <w:rsid w:val="00164B49"/>
    <w:rsid w:val="00165084"/>
    <w:rsid w:val="00165ADF"/>
    <w:rsid w:val="00165EC2"/>
    <w:rsid w:val="00166137"/>
    <w:rsid w:val="001668A9"/>
    <w:rsid w:val="00166999"/>
    <w:rsid w:val="0016780D"/>
    <w:rsid w:val="0017055C"/>
    <w:rsid w:val="00170884"/>
    <w:rsid w:val="001712F7"/>
    <w:rsid w:val="001727DE"/>
    <w:rsid w:val="00173C00"/>
    <w:rsid w:val="00174832"/>
    <w:rsid w:val="00175586"/>
    <w:rsid w:val="00175693"/>
    <w:rsid w:val="001777A8"/>
    <w:rsid w:val="001802B2"/>
    <w:rsid w:val="00180E50"/>
    <w:rsid w:val="00181FD7"/>
    <w:rsid w:val="0018285A"/>
    <w:rsid w:val="001830B9"/>
    <w:rsid w:val="0018345C"/>
    <w:rsid w:val="001837E5"/>
    <w:rsid w:val="00184C10"/>
    <w:rsid w:val="00185BE6"/>
    <w:rsid w:val="00185FB0"/>
    <w:rsid w:val="00186D93"/>
    <w:rsid w:val="001876FE"/>
    <w:rsid w:val="00187C7F"/>
    <w:rsid w:val="00190667"/>
    <w:rsid w:val="001916E5"/>
    <w:rsid w:val="00191DD2"/>
    <w:rsid w:val="00191EC3"/>
    <w:rsid w:val="001925C9"/>
    <w:rsid w:val="00192DA7"/>
    <w:rsid w:val="0019316D"/>
    <w:rsid w:val="001934FD"/>
    <w:rsid w:val="001935BB"/>
    <w:rsid w:val="001939C5"/>
    <w:rsid w:val="00194182"/>
    <w:rsid w:val="00194B63"/>
    <w:rsid w:val="001954B9"/>
    <w:rsid w:val="001963B6"/>
    <w:rsid w:val="00196AFF"/>
    <w:rsid w:val="001973CB"/>
    <w:rsid w:val="00197458"/>
    <w:rsid w:val="0019754F"/>
    <w:rsid w:val="001978C4"/>
    <w:rsid w:val="001A0145"/>
    <w:rsid w:val="001A02ED"/>
    <w:rsid w:val="001A05A5"/>
    <w:rsid w:val="001A0FAE"/>
    <w:rsid w:val="001A1A65"/>
    <w:rsid w:val="001A1EA0"/>
    <w:rsid w:val="001A22E4"/>
    <w:rsid w:val="001A2803"/>
    <w:rsid w:val="001A4882"/>
    <w:rsid w:val="001A5100"/>
    <w:rsid w:val="001A6B52"/>
    <w:rsid w:val="001A6BC6"/>
    <w:rsid w:val="001A6FE5"/>
    <w:rsid w:val="001A7187"/>
    <w:rsid w:val="001A7603"/>
    <w:rsid w:val="001B03F1"/>
    <w:rsid w:val="001B13D3"/>
    <w:rsid w:val="001B1544"/>
    <w:rsid w:val="001B1A8B"/>
    <w:rsid w:val="001B1E22"/>
    <w:rsid w:val="001B23BA"/>
    <w:rsid w:val="001B313B"/>
    <w:rsid w:val="001B4366"/>
    <w:rsid w:val="001B4474"/>
    <w:rsid w:val="001B4E95"/>
    <w:rsid w:val="001B7249"/>
    <w:rsid w:val="001B79B2"/>
    <w:rsid w:val="001C0330"/>
    <w:rsid w:val="001C08DB"/>
    <w:rsid w:val="001C0E85"/>
    <w:rsid w:val="001C1A8E"/>
    <w:rsid w:val="001C1CF9"/>
    <w:rsid w:val="001C2409"/>
    <w:rsid w:val="001C2DDA"/>
    <w:rsid w:val="001C3210"/>
    <w:rsid w:val="001C377A"/>
    <w:rsid w:val="001C4ED3"/>
    <w:rsid w:val="001C5AD1"/>
    <w:rsid w:val="001C5DFD"/>
    <w:rsid w:val="001C74DA"/>
    <w:rsid w:val="001C7663"/>
    <w:rsid w:val="001D0C37"/>
    <w:rsid w:val="001D10A4"/>
    <w:rsid w:val="001D122C"/>
    <w:rsid w:val="001D2758"/>
    <w:rsid w:val="001D3A72"/>
    <w:rsid w:val="001D3CE5"/>
    <w:rsid w:val="001D41D6"/>
    <w:rsid w:val="001D537D"/>
    <w:rsid w:val="001D53DB"/>
    <w:rsid w:val="001D684D"/>
    <w:rsid w:val="001D6C71"/>
    <w:rsid w:val="001D7FA3"/>
    <w:rsid w:val="001E10A1"/>
    <w:rsid w:val="001E1204"/>
    <w:rsid w:val="001E15E8"/>
    <w:rsid w:val="001E164D"/>
    <w:rsid w:val="001E33DF"/>
    <w:rsid w:val="001E34E8"/>
    <w:rsid w:val="001E3E2F"/>
    <w:rsid w:val="001E41AE"/>
    <w:rsid w:val="001E50CB"/>
    <w:rsid w:val="001E5915"/>
    <w:rsid w:val="001E6620"/>
    <w:rsid w:val="001E7C78"/>
    <w:rsid w:val="001F1E19"/>
    <w:rsid w:val="001F28EE"/>
    <w:rsid w:val="001F29EA"/>
    <w:rsid w:val="001F2AA5"/>
    <w:rsid w:val="001F3593"/>
    <w:rsid w:val="001F3B30"/>
    <w:rsid w:val="001F3D11"/>
    <w:rsid w:val="001F4B97"/>
    <w:rsid w:val="001F5352"/>
    <w:rsid w:val="001F66BA"/>
    <w:rsid w:val="001F6819"/>
    <w:rsid w:val="001F6899"/>
    <w:rsid w:val="001F7BA6"/>
    <w:rsid w:val="00200AD4"/>
    <w:rsid w:val="00200D33"/>
    <w:rsid w:val="00201938"/>
    <w:rsid w:val="00201D4C"/>
    <w:rsid w:val="0020207E"/>
    <w:rsid w:val="002024FF"/>
    <w:rsid w:val="00202E7A"/>
    <w:rsid w:val="002034E0"/>
    <w:rsid w:val="0020380D"/>
    <w:rsid w:val="00204513"/>
    <w:rsid w:val="002045D2"/>
    <w:rsid w:val="00204667"/>
    <w:rsid w:val="00205B89"/>
    <w:rsid w:val="00205F5B"/>
    <w:rsid w:val="0020654A"/>
    <w:rsid w:val="00207638"/>
    <w:rsid w:val="0020770B"/>
    <w:rsid w:val="00207BEF"/>
    <w:rsid w:val="00207D8F"/>
    <w:rsid w:val="00211B03"/>
    <w:rsid w:val="0021222E"/>
    <w:rsid w:val="002124FF"/>
    <w:rsid w:val="0021255A"/>
    <w:rsid w:val="0021274F"/>
    <w:rsid w:val="00212BBD"/>
    <w:rsid w:val="002132BD"/>
    <w:rsid w:val="002132CB"/>
    <w:rsid w:val="002137AD"/>
    <w:rsid w:val="00213C5A"/>
    <w:rsid w:val="00214294"/>
    <w:rsid w:val="00214599"/>
    <w:rsid w:val="00214BC4"/>
    <w:rsid w:val="00214E66"/>
    <w:rsid w:val="00215212"/>
    <w:rsid w:val="00215A71"/>
    <w:rsid w:val="00216882"/>
    <w:rsid w:val="002168E4"/>
    <w:rsid w:val="00216D61"/>
    <w:rsid w:val="0021775A"/>
    <w:rsid w:val="00217F22"/>
    <w:rsid w:val="00221392"/>
    <w:rsid w:val="0022209C"/>
    <w:rsid w:val="0022216F"/>
    <w:rsid w:val="00222602"/>
    <w:rsid w:val="00222604"/>
    <w:rsid w:val="00222EAE"/>
    <w:rsid w:val="00225179"/>
    <w:rsid w:val="00225CFE"/>
    <w:rsid w:val="00225DBA"/>
    <w:rsid w:val="00226181"/>
    <w:rsid w:val="00226C17"/>
    <w:rsid w:val="00226CD5"/>
    <w:rsid w:val="00227B34"/>
    <w:rsid w:val="00230578"/>
    <w:rsid w:val="00231248"/>
    <w:rsid w:val="00232516"/>
    <w:rsid w:val="00232706"/>
    <w:rsid w:val="00232B28"/>
    <w:rsid w:val="00232C8B"/>
    <w:rsid w:val="00232E4C"/>
    <w:rsid w:val="002337B7"/>
    <w:rsid w:val="0023392F"/>
    <w:rsid w:val="00235047"/>
    <w:rsid w:val="002351D1"/>
    <w:rsid w:val="00235766"/>
    <w:rsid w:val="00235A52"/>
    <w:rsid w:val="00235CB4"/>
    <w:rsid w:val="002362B7"/>
    <w:rsid w:val="002364B4"/>
    <w:rsid w:val="00236590"/>
    <w:rsid w:val="00237097"/>
    <w:rsid w:val="00237CB9"/>
    <w:rsid w:val="002405BD"/>
    <w:rsid w:val="002407BF"/>
    <w:rsid w:val="00240A44"/>
    <w:rsid w:val="00240E5D"/>
    <w:rsid w:val="002413C8"/>
    <w:rsid w:val="00243E11"/>
    <w:rsid w:val="00243F67"/>
    <w:rsid w:val="00244313"/>
    <w:rsid w:val="0024480A"/>
    <w:rsid w:val="00244ADC"/>
    <w:rsid w:val="00244C57"/>
    <w:rsid w:val="00247E09"/>
    <w:rsid w:val="00250BEE"/>
    <w:rsid w:val="00251965"/>
    <w:rsid w:val="00252862"/>
    <w:rsid w:val="00253B5A"/>
    <w:rsid w:val="00254ED2"/>
    <w:rsid w:val="00255A99"/>
    <w:rsid w:val="00256B15"/>
    <w:rsid w:val="00257315"/>
    <w:rsid w:val="00260AD9"/>
    <w:rsid w:val="00260E3E"/>
    <w:rsid w:val="002627C3"/>
    <w:rsid w:val="00264935"/>
    <w:rsid w:val="002655CB"/>
    <w:rsid w:val="00266184"/>
    <w:rsid w:val="0026695F"/>
    <w:rsid w:val="00266E2C"/>
    <w:rsid w:val="002670AD"/>
    <w:rsid w:val="00267ED4"/>
    <w:rsid w:val="002705CB"/>
    <w:rsid w:val="002712A2"/>
    <w:rsid w:val="002713AB"/>
    <w:rsid w:val="00271A3A"/>
    <w:rsid w:val="00272A1B"/>
    <w:rsid w:val="002739C2"/>
    <w:rsid w:val="002742A9"/>
    <w:rsid w:val="0027474D"/>
    <w:rsid w:val="00274837"/>
    <w:rsid w:val="002769EF"/>
    <w:rsid w:val="00276DB1"/>
    <w:rsid w:val="00277346"/>
    <w:rsid w:val="00280A81"/>
    <w:rsid w:val="00280A89"/>
    <w:rsid w:val="0028143F"/>
    <w:rsid w:val="00281846"/>
    <w:rsid w:val="00281AC4"/>
    <w:rsid w:val="00282B1E"/>
    <w:rsid w:val="00282E5A"/>
    <w:rsid w:val="00283795"/>
    <w:rsid w:val="002838D6"/>
    <w:rsid w:val="002866BC"/>
    <w:rsid w:val="00286900"/>
    <w:rsid w:val="00286A93"/>
    <w:rsid w:val="00286BCB"/>
    <w:rsid w:val="00287A73"/>
    <w:rsid w:val="00290143"/>
    <w:rsid w:val="00290598"/>
    <w:rsid w:val="0029086B"/>
    <w:rsid w:val="00291B99"/>
    <w:rsid w:val="00292391"/>
    <w:rsid w:val="00292934"/>
    <w:rsid w:val="00293220"/>
    <w:rsid w:val="00293CAB"/>
    <w:rsid w:val="00293EBB"/>
    <w:rsid w:val="00295167"/>
    <w:rsid w:val="0029593F"/>
    <w:rsid w:val="002959B8"/>
    <w:rsid w:val="00295AC3"/>
    <w:rsid w:val="00295FCF"/>
    <w:rsid w:val="00296200"/>
    <w:rsid w:val="00296AFF"/>
    <w:rsid w:val="0029796C"/>
    <w:rsid w:val="00297D25"/>
    <w:rsid w:val="002A05A5"/>
    <w:rsid w:val="002A0967"/>
    <w:rsid w:val="002A23C5"/>
    <w:rsid w:val="002A2ED3"/>
    <w:rsid w:val="002A307B"/>
    <w:rsid w:val="002A3755"/>
    <w:rsid w:val="002A3DB8"/>
    <w:rsid w:val="002A3DD3"/>
    <w:rsid w:val="002A3E90"/>
    <w:rsid w:val="002A420C"/>
    <w:rsid w:val="002A4893"/>
    <w:rsid w:val="002A4928"/>
    <w:rsid w:val="002A4A75"/>
    <w:rsid w:val="002A4F6D"/>
    <w:rsid w:val="002A5137"/>
    <w:rsid w:val="002A58FD"/>
    <w:rsid w:val="002A5B22"/>
    <w:rsid w:val="002A621A"/>
    <w:rsid w:val="002A66A8"/>
    <w:rsid w:val="002A7407"/>
    <w:rsid w:val="002A78DB"/>
    <w:rsid w:val="002B00FE"/>
    <w:rsid w:val="002B09ED"/>
    <w:rsid w:val="002B0FCF"/>
    <w:rsid w:val="002B1069"/>
    <w:rsid w:val="002B17FB"/>
    <w:rsid w:val="002B1CAB"/>
    <w:rsid w:val="002B2CCC"/>
    <w:rsid w:val="002B310A"/>
    <w:rsid w:val="002B311C"/>
    <w:rsid w:val="002B317E"/>
    <w:rsid w:val="002B3F2E"/>
    <w:rsid w:val="002B4295"/>
    <w:rsid w:val="002B4728"/>
    <w:rsid w:val="002B4E2E"/>
    <w:rsid w:val="002B50B0"/>
    <w:rsid w:val="002B5B3C"/>
    <w:rsid w:val="002B5E73"/>
    <w:rsid w:val="002B7013"/>
    <w:rsid w:val="002B71CF"/>
    <w:rsid w:val="002B76DB"/>
    <w:rsid w:val="002C0758"/>
    <w:rsid w:val="002C15F9"/>
    <w:rsid w:val="002C1BD6"/>
    <w:rsid w:val="002C1D0B"/>
    <w:rsid w:val="002C30B2"/>
    <w:rsid w:val="002C30BC"/>
    <w:rsid w:val="002C3646"/>
    <w:rsid w:val="002C39E7"/>
    <w:rsid w:val="002C4AC1"/>
    <w:rsid w:val="002C5BB1"/>
    <w:rsid w:val="002C74E2"/>
    <w:rsid w:val="002C75B0"/>
    <w:rsid w:val="002D15C8"/>
    <w:rsid w:val="002D279B"/>
    <w:rsid w:val="002D355F"/>
    <w:rsid w:val="002D4870"/>
    <w:rsid w:val="002D4EA5"/>
    <w:rsid w:val="002D541B"/>
    <w:rsid w:val="002D6431"/>
    <w:rsid w:val="002D6D43"/>
    <w:rsid w:val="002D726A"/>
    <w:rsid w:val="002D7563"/>
    <w:rsid w:val="002D7E62"/>
    <w:rsid w:val="002E1E50"/>
    <w:rsid w:val="002E227F"/>
    <w:rsid w:val="002E2D11"/>
    <w:rsid w:val="002E3B9D"/>
    <w:rsid w:val="002E48BD"/>
    <w:rsid w:val="002E7665"/>
    <w:rsid w:val="002F084A"/>
    <w:rsid w:val="002F14AB"/>
    <w:rsid w:val="002F2E88"/>
    <w:rsid w:val="002F31DE"/>
    <w:rsid w:val="002F3B38"/>
    <w:rsid w:val="002F3B39"/>
    <w:rsid w:val="002F47DC"/>
    <w:rsid w:val="002F4B8F"/>
    <w:rsid w:val="002F506E"/>
    <w:rsid w:val="002F5BBA"/>
    <w:rsid w:val="002F62FF"/>
    <w:rsid w:val="003003C8"/>
    <w:rsid w:val="00300F56"/>
    <w:rsid w:val="00301056"/>
    <w:rsid w:val="003016B3"/>
    <w:rsid w:val="0030260E"/>
    <w:rsid w:val="003028C9"/>
    <w:rsid w:val="003029F3"/>
    <w:rsid w:val="00303192"/>
    <w:rsid w:val="00303446"/>
    <w:rsid w:val="00303F2F"/>
    <w:rsid w:val="0030431B"/>
    <w:rsid w:val="00304613"/>
    <w:rsid w:val="00304E98"/>
    <w:rsid w:val="00305876"/>
    <w:rsid w:val="00305D55"/>
    <w:rsid w:val="003067AF"/>
    <w:rsid w:val="003079AC"/>
    <w:rsid w:val="003079F8"/>
    <w:rsid w:val="00307DA8"/>
    <w:rsid w:val="00310F1E"/>
    <w:rsid w:val="00312B67"/>
    <w:rsid w:val="00312E88"/>
    <w:rsid w:val="00313167"/>
    <w:rsid w:val="00313473"/>
    <w:rsid w:val="003146B0"/>
    <w:rsid w:val="00315553"/>
    <w:rsid w:val="0031578D"/>
    <w:rsid w:val="00316321"/>
    <w:rsid w:val="00316C2C"/>
    <w:rsid w:val="003172F5"/>
    <w:rsid w:val="00317F6C"/>
    <w:rsid w:val="00320967"/>
    <w:rsid w:val="00321B08"/>
    <w:rsid w:val="0032211F"/>
    <w:rsid w:val="0032302D"/>
    <w:rsid w:val="003231CD"/>
    <w:rsid w:val="0032321B"/>
    <w:rsid w:val="00325A45"/>
    <w:rsid w:val="0032636C"/>
    <w:rsid w:val="00327170"/>
    <w:rsid w:val="00327452"/>
    <w:rsid w:val="00330081"/>
    <w:rsid w:val="0033026A"/>
    <w:rsid w:val="0033043C"/>
    <w:rsid w:val="00330AAC"/>
    <w:rsid w:val="00330AFD"/>
    <w:rsid w:val="00330D7A"/>
    <w:rsid w:val="00331231"/>
    <w:rsid w:val="0033152A"/>
    <w:rsid w:val="003315B4"/>
    <w:rsid w:val="00331C6B"/>
    <w:rsid w:val="00331F06"/>
    <w:rsid w:val="0033286D"/>
    <w:rsid w:val="003328E2"/>
    <w:rsid w:val="00333488"/>
    <w:rsid w:val="00333B34"/>
    <w:rsid w:val="00334738"/>
    <w:rsid w:val="0033612E"/>
    <w:rsid w:val="00336192"/>
    <w:rsid w:val="00336444"/>
    <w:rsid w:val="00336C80"/>
    <w:rsid w:val="00336EBC"/>
    <w:rsid w:val="003379EB"/>
    <w:rsid w:val="00337B6A"/>
    <w:rsid w:val="00340284"/>
    <w:rsid w:val="0034089A"/>
    <w:rsid w:val="003415CD"/>
    <w:rsid w:val="00341862"/>
    <w:rsid w:val="00342AE8"/>
    <w:rsid w:val="0034457B"/>
    <w:rsid w:val="00344E0B"/>
    <w:rsid w:val="0034580D"/>
    <w:rsid w:val="003463AA"/>
    <w:rsid w:val="00347B36"/>
    <w:rsid w:val="00350604"/>
    <w:rsid w:val="00350D47"/>
    <w:rsid w:val="00350DD9"/>
    <w:rsid w:val="00351A2A"/>
    <w:rsid w:val="00353342"/>
    <w:rsid w:val="00353535"/>
    <w:rsid w:val="00353A55"/>
    <w:rsid w:val="00353BE1"/>
    <w:rsid w:val="00354427"/>
    <w:rsid w:val="0035464E"/>
    <w:rsid w:val="003547A1"/>
    <w:rsid w:val="00354C57"/>
    <w:rsid w:val="00355207"/>
    <w:rsid w:val="00355E57"/>
    <w:rsid w:val="00356155"/>
    <w:rsid w:val="003565CB"/>
    <w:rsid w:val="003602E6"/>
    <w:rsid w:val="0036049D"/>
    <w:rsid w:val="00360785"/>
    <w:rsid w:val="0036087F"/>
    <w:rsid w:val="00360D3E"/>
    <w:rsid w:val="003613B2"/>
    <w:rsid w:val="003615E6"/>
    <w:rsid w:val="003630D8"/>
    <w:rsid w:val="00363360"/>
    <w:rsid w:val="003642B9"/>
    <w:rsid w:val="003643A3"/>
    <w:rsid w:val="00365293"/>
    <w:rsid w:val="003655F0"/>
    <w:rsid w:val="003658C1"/>
    <w:rsid w:val="00365A5A"/>
    <w:rsid w:val="00365B46"/>
    <w:rsid w:val="00365D5C"/>
    <w:rsid w:val="00365E11"/>
    <w:rsid w:val="00365EDE"/>
    <w:rsid w:val="003673D4"/>
    <w:rsid w:val="003676A3"/>
    <w:rsid w:val="003676F1"/>
    <w:rsid w:val="00367A8A"/>
    <w:rsid w:val="00370026"/>
    <w:rsid w:val="00370CE4"/>
    <w:rsid w:val="00370E9B"/>
    <w:rsid w:val="003711ED"/>
    <w:rsid w:val="003711F3"/>
    <w:rsid w:val="00372531"/>
    <w:rsid w:val="00372FFC"/>
    <w:rsid w:val="003732E8"/>
    <w:rsid w:val="0037361A"/>
    <w:rsid w:val="003739FA"/>
    <w:rsid w:val="00373B67"/>
    <w:rsid w:val="003756B8"/>
    <w:rsid w:val="0037693D"/>
    <w:rsid w:val="0037705D"/>
    <w:rsid w:val="003771E1"/>
    <w:rsid w:val="00381877"/>
    <w:rsid w:val="00382974"/>
    <w:rsid w:val="00383690"/>
    <w:rsid w:val="00383E91"/>
    <w:rsid w:val="0038456A"/>
    <w:rsid w:val="0038519B"/>
    <w:rsid w:val="003879F1"/>
    <w:rsid w:val="00387AC5"/>
    <w:rsid w:val="0039002E"/>
    <w:rsid w:val="00391A34"/>
    <w:rsid w:val="00391F99"/>
    <w:rsid w:val="003923BE"/>
    <w:rsid w:val="003927C1"/>
    <w:rsid w:val="003927C2"/>
    <w:rsid w:val="00392D2F"/>
    <w:rsid w:val="003948BB"/>
    <w:rsid w:val="00394B68"/>
    <w:rsid w:val="00394FE9"/>
    <w:rsid w:val="003954DF"/>
    <w:rsid w:val="00395F67"/>
    <w:rsid w:val="00396564"/>
    <w:rsid w:val="00396C58"/>
    <w:rsid w:val="00397009"/>
    <w:rsid w:val="003972B3"/>
    <w:rsid w:val="00397CAC"/>
    <w:rsid w:val="003A06E8"/>
    <w:rsid w:val="003A0A35"/>
    <w:rsid w:val="003A0E07"/>
    <w:rsid w:val="003A12D9"/>
    <w:rsid w:val="003A20BB"/>
    <w:rsid w:val="003A223D"/>
    <w:rsid w:val="003A24FC"/>
    <w:rsid w:val="003A3D97"/>
    <w:rsid w:val="003A50D2"/>
    <w:rsid w:val="003A527D"/>
    <w:rsid w:val="003A52A7"/>
    <w:rsid w:val="003A64FA"/>
    <w:rsid w:val="003A6767"/>
    <w:rsid w:val="003A693A"/>
    <w:rsid w:val="003A6EE2"/>
    <w:rsid w:val="003A7DD9"/>
    <w:rsid w:val="003A7FE9"/>
    <w:rsid w:val="003B05E5"/>
    <w:rsid w:val="003B09A5"/>
    <w:rsid w:val="003B13FE"/>
    <w:rsid w:val="003B14A2"/>
    <w:rsid w:val="003B1E4D"/>
    <w:rsid w:val="003B25F4"/>
    <w:rsid w:val="003B2D29"/>
    <w:rsid w:val="003B58DB"/>
    <w:rsid w:val="003B61F2"/>
    <w:rsid w:val="003B627B"/>
    <w:rsid w:val="003B73AB"/>
    <w:rsid w:val="003C0580"/>
    <w:rsid w:val="003C0647"/>
    <w:rsid w:val="003C0F52"/>
    <w:rsid w:val="003C142D"/>
    <w:rsid w:val="003C15F2"/>
    <w:rsid w:val="003C2D75"/>
    <w:rsid w:val="003C38F9"/>
    <w:rsid w:val="003C3DD0"/>
    <w:rsid w:val="003C4191"/>
    <w:rsid w:val="003C42F4"/>
    <w:rsid w:val="003C47D1"/>
    <w:rsid w:val="003C4801"/>
    <w:rsid w:val="003C4FBC"/>
    <w:rsid w:val="003C52E3"/>
    <w:rsid w:val="003C5C25"/>
    <w:rsid w:val="003C619B"/>
    <w:rsid w:val="003C6927"/>
    <w:rsid w:val="003C6C52"/>
    <w:rsid w:val="003C784F"/>
    <w:rsid w:val="003C7E36"/>
    <w:rsid w:val="003C7FD9"/>
    <w:rsid w:val="003D04F0"/>
    <w:rsid w:val="003D1393"/>
    <w:rsid w:val="003D1973"/>
    <w:rsid w:val="003D279E"/>
    <w:rsid w:val="003D3794"/>
    <w:rsid w:val="003D394B"/>
    <w:rsid w:val="003D3D16"/>
    <w:rsid w:val="003D4BC9"/>
    <w:rsid w:val="003E0822"/>
    <w:rsid w:val="003E131B"/>
    <w:rsid w:val="003E18D9"/>
    <w:rsid w:val="003E1E06"/>
    <w:rsid w:val="003E23AD"/>
    <w:rsid w:val="003E2540"/>
    <w:rsid w:val="003E29FD"/>
    <w:rsid w:val="003E4398"/>
    <w:rsid w:val="003E4DA7"/>
    <w:rsid w:val="003E54FA"/>
    <w:rsid w:val="003E66D0"/>
    <w:rsid w:val="003E711E"/>
    <w:rsid w:val="003E7EE5"/>
    <w:rsid w:val="003F085D"/>
    <w:rsid w:val="003F0B20"/>
    <w:rsid w:val="003F3395"/>
    <w:rsid w:val="003F3C5A"/>
    <w:rsid w:val="003F3E93"/>
    <w:rsid w:val="003F5A49"/>
    <w:rsid w:val="003F5E64"/>
    <w:rsid w:val="003F67CA"/>
    <w:rsid w:val="003F686D"/>
    <w:rsid w:val="003F7356"/>
    <w:rsid w:val="003F74EA"/>
    <w:rsid w:val="003F75B8"/>
    <w:rsid w:val="00401719"/>
    <w:rsid w:val="00401DF1"/>
    <w:rsid w:val="0040277D"/>
    <w:rsid w:val="004037C9"/>
    <w:rsid w:val="00403AA7"/>
    <w:rsid w:val="0040519C"/>
    <w:rsid w:val="00405AD3"/>
    <w:rsid w:val="00406459"/>
    <w:rsid w:val="004066EA"/>
    <w:rsid w:val="00406797"/>
    <w:rsid w:val="00410998"/>
    <w:rsid w:val="00410BD8"/>
    <w:rsid w:val="00410E18"/>
    <w:rsid w:val="00410FFA"/>
    <w:rsid w:val="00411C02"/>
    <w:rsid w:val="0041336A"/>
    <w:rsid w:val="004137E1"/>
    <w:rsid w:val="00414052"/>
    <w:rsid w:val="00414FF3"/>
    <w:rsid w:val="0041516B"/>
    <w:rsid w:val="00416E90"/>
    <w:rsid w:val="00416E9C"/>
    <w:rsid w:val="00417488"/>
    <w:rsid w:val="004174E6"/>
    <w:rsid w:val="00417D6C"/>
    <w:rsid w:val="00421372"/>
    <w:rsid w:val="00421D2E"/>
    <w:rsid w:val="00421D34"/>
    <w:rsid w:val="004236E2"/>
    <w:rsid w:val="00423E0A"/>
    <w:rsid w:val="00425615"/>
    <w:rsid w:val="00426EE3"/>
    <w:rsid w:val="00431718"/>
    <w:rsid w:val="00431B79"/>
    <w:rsid w:val="0043212F"/>
    <w:rsid w:val="00432AD2"/>
    <w:rsid w:val="00433AA2"/>
    <w:rsid w:val="00433B03"/>
    <w:rsid w:val="004343DB"/>
    <w:rsid w:val="004348C8"/>
    <w:rsid w:val="004351E1"/>
    <w:rsid w:val="0043733A"/>
    <w:rsid w:val="004373CC"/>
    <w:rsid w:val="00437E05"/>
    <w:rsid w:val="00440300"/>
    <w:rsid w:val="00440355"/>
    <w:rsid w:val="00440DF3"/>
    <w:rsid w:val="004418A9"/>
    <w:rsid w:val="00441FEA"/>
    <w:rsid w:val="00443039"/>
    <w:rsid w:val="0044424A"/>
    <w:rsid w:val="0044426F"/>
    <w:rsid w:val="00444B27"/>
    <w:rsid w:val="00444C65"/>
    <w:rsid w:val="00445509"/>
    <w:rsid w:val="00446740"/>
    <w:rsid w:val="004468FF"/>
    <w:rsid w:val="00446976"/>
    <w:rsid w:val="00446A0C"/>
    <w:rsid w:val="00447998"/>
    <w:rsid w:val="00450071"/>
    <w:rsid w:val="004500C2"/>
    <w:rsid w:val="00452B43"/>
    <w:rsid w:val="00452F6B"/>
    <w:rsid w:val="0045336A"/>
    <w:rsid w:val="00453C58"/>
    <w:rsid w:val="00453CD0"/>
    <w:rsid w:val="00453F4C"/>
    <w:rsid w:val="00455DB5"/>
    <w:rsid w:val="004560EB"/>
    <w:rsid w:val="004569C2"/>
    <w:rsid w:val="00456C11"/>
    <w:rsid w:val="004570CB"/>
    <w:rsid w:val="004574C9"/>
    <w:rsid w:val="00457731"/>
    <w:rsid w:val="00457D89"/>
    <w:rsid w:val="00460BC6"/>
    <w:rsid w:val="00461215"/>
    <w:rsid w:val="00461259"/>
    <w:rsid w:val="004617E6"/>
    <w:rsid w:val="00461BC1"/>
    <w:rsid w:val="00461C15"/>
    <w:rsid w:val="00462096"/>
    <w:rsid w:val="0046245E"/>
    <w:rsid w:val="004629DD"/>
    <w:rsid w:val="00464E97"/>
    <w:rsid w:val="004656B4"/>
    <w:rsid w:val="004658EB"/>
    <w:rsid w:val="00466106"/>
    <w:rsid w:val="0046761A"/>
    <w:rsid w:val="00467720"/>
    <w:rsid w:val="00470D16"/>
    <w:rsid w:val="00470F51"/>
    <w:rsid w:val="00471145"/>
    <w:rsid w:val="00473F60"/>
    <w:rsid w:val="004744F1"/>
    <w:rsid w:val="004746E0"/>
    <w:rsid w:val="00474920"/>
    <w:rsid w:val="0047513F"/>
    <w:rsid w:val="00475612"/>
    <w:rsid w:val="00475795"/>
    <w:rsid w:val="00475B25"/>
    <w:rsid w:val="00475D35"/>
    <w:rsid w:val="00480401"/>
    <w:rsid w:val="004804DD"/>
    <w:rsid w:val="00480C9B"/>
    <w:rsid w:val="004814E2"/>
    <w:rsid w:val="00481593"/>
    <w:rsid w:val="00481DC3"/>
    <w:rsid w:val="004837D3"/>
    <w:rsid w:val="004838A4"/>
    <w:rsid w:val="00483E87"/>
    <w:rsid w:val="004853B3"/>
    <w:rsid w:val="00485AAC"/>
    <w:rsid w:val="004863C6"/>
    <w:rsid w:val="00486A15"/>
    <w:rsid w:val="004870C4"/>
    <w:rsid w:val="004870EE"/>
    <w:rsid w:val="00487423"/>
    <w:rsid w:val="00487A2A"/>
    <w:rsid w:val="00487C1E"/>
    <w:rsid w:val="00490642"/>
    <w:rsid w:val="00490DBE"/>
    <w:rsid w:val="00491427"/>
    <w:rsid w:val="004922EC"/>
    <w:rsid w:val="00492304"/>
    <w:rsid w:val="004923FF"/>
    <w:rsid w:val="004933AB"/>
    <w:rsid w:val="00493502"/>
    <w:rsid w:val="00493F16"/>
    <w:rsid w:val="00495FDF"/>
    <w:rsid w:val="004969A1"/>
    <w:rsid w:val="00496FB9"/>
    <w:rsid w:val="004970ED"/>
    <w:rsid w:val="004A0472"/>
    <w:rsid w:val="004A0C60"/>
    <w:rsid w:val="004A0F5F"/>
    <w:rsid w:val="004A1235"/>
    <w:rsid w:val="004A16C1"/>
    <w:rsid w:val="004A1B8C"/>
    <w:rsid w:val="004A318F"/>
    <w:rsid w:val="004A5275"/>
    <w:rsid w:val="004A62BC"/>
    <w:rsid w:val="004A6635"/>
    <w:rsid w:val="004A6741"/>
    <w:rsid w:val="004A7C9E"/>
    <w:rsid w:val="004B0042"/>
    <w:rsid w:val="004B021F"/>
    <w:rsid w:val="004B0D3D"/>
    <w:rsid w:val="004B182D"/>
    <w:rsid w:val="004B2114"/>
    <w:rsid w:val="004B2B7C"/>
    <w:rsid w:val="004B32A6"/>
    <w:rsid w:val="004B356C"/>
    <w:rsid w:val="004B3F56"/>
    <w:rsid w:val="004B4F69"/>
    <w:rsid w:val="004B56F8"/>
    <w:rsid w:val="004B5A06"/>
    <w:rsid w:val="004B6043"/>
    <w:rsid w:val="004B62E1"/>
    <w:rsid w:val="004B70E1"/>
    <w:rsid w:val="004B7255"/>
    <w:rsid w:val="004B7365"/>
    <w:rsid w:val="004B7FB9"/>
    <w:rsid w:val="004C089C"/>
    <w:rsid w:val="004C0BDF"/>
    <w:rsid w:val="004C13EF"/>
    <w:rsid w:val="004C1814"/>
    <w:rsid w:val="004C22C8"/>
    <w:rsid w:val="004C2338"/>
    <w:rsid w:val="004C25C2"/>
    <w:rsid w:val="004C2AAC"/>
    <w:rsid w:val="004C2E0E"/>
    <w:rsid w:val="004C3028"/>
    <w:rsid w:val="004C3448"/>
    <w:rsid w:val="004C384F"/>
    <w:rsid w:val="004C41E7"/>
    <w:rsid w:val="004C430E"/>
    <w:rsid w:val="004C4845"/>
    <w:rsid w:val="004C4A12"/>
    <w:rsid w:val="004C4AB1"/>
    <w:rsid w:val="004C65EF"/>
    <w:rsid w:val="004C691E"/>
    <w:rsid w:val="004C7111"/>
    <w:rsid w:val="004C76D4"/>
    <w:rsid w:val="004C7CC9"/>
    <w:rsid w:val="004D0ADB"/>
    <w:rsid w:val="004D1385"/>
    <w:rsid w:val="004D14E3"/>
    <w:rsid w:val="004D1F2A"/>
    <w:rsid w:val="004D2404"/>
    <w:rsid w:val="004D26CB"/>
    <w:rsid w:val="004D376D"/>
    <w:rsid w:val="004D41D6"/>
    <w:rsid w:val="004D4631"/>
    <w:rsid w:val="004D486C"/>
    <w:rsid w:val="004D4FBF"/>
    <w:rsid w:val="004D50D5"/>
    <w:rsid w:val="004D5630"/>
    <w:rsid w:val="004D57B5"/>
    <w:rsid w:val="004D5996"/>
    <w:rsid w:val="004D6C3D"/>
    <w:rsid w:val="004D7E31"/>
    <w:rsid w:val="004E03CB"/>
    <w:rsid w:val="004E041D"/>
    <w:rsid w:val="004E0D27"/>
    <w:rsid w:val="004E135E"/>
    <w:rsid w:val="004E1CDE"/>
    <w:rsid w:val="004E2541"/>
    <w:rsid w:val="004E27D5"/>
    <w:rsid w:val="004E2AA8"/>
    <w:rsid w:val="004E32F7"/>
    <w:rsid w:val="004E3ECC"/>
    <w:rsid w:val="004E43C9"/>
    <w:rsid w:val="004E677C"/>
    <w:rsid w:val="004E686A"/>
    <w:rsid w:val="004E6BF5"/>
    <w:rsid w:val="004E7480"/>
    <w:rsid w:val="004E7DC3"/>
    <w:rsid w:val="004F0B51"/>
    <w:rsid w:val="004F1481"/>
    <w:rsid w:val="004F1CB3"/>
    <w:rsid w:val="004F1D7A"/>
    <w:rsid w:val="004F2A86"/>
    <w:rsid w:val="004F2E07"/>
    <w:rsid w:val="004F31DA"/>
    <w:rsid w:val="004F35B0"/>
    <w:rsid w:val="004F4AC0"/>
    <w:rsid w:val="004F4D65"/>
    <w:rsid w:val="004F6155"/>
    <w:rsid w:val="004F658D"/>
    <w:rsid w:val="004F7BC3"/>
    <w:rsid w:val="00500269"/>
    <w:rsid w:val="005013C8"/>
    <w:rsid w:val="00501642"/>
    <w:rsid w:val="005017CD"/>
    <w:rsid w:val="00501B6E"/>
    <w:rsid w:val="005023A6"/>
    <w:rsid w:val="005029E8"/>
    <w:rsid w:val="00502CAD"/>
    <w:rsid w:val="00503E7E"/>
    <w:rsid w:val="00503EA4"/>
    <w:rsid w:val="005040B0"/>
    <w:rsid w:val="005047C9"/>
    <w:rsid w:val="00504CBB"/>
    <w:rsid w:val="00505516"/>
    <w:rsid w:val="00505519"/>
    <w:rsid w:val="005060CD"/>
    <w:rsid w:val="005064A3"/>
    <w:rsid w:val="005065C1"/>
    <w:rsid w:val="00506CFF"/>
    <w:rsid w:val="00506F43"/>
    <w:rsid w:val="00507936"/>
    <w:rsid w:val="00507D70"/>
    <w:rsid w:val="005101DB"/>
    <w:rsid w:val="00510968"/>
    <w:rsid w:val="005109A9"/>
    <w:rsid w:val="00511341"/>
    <w:rsid w:val="0051284B"/>
    <w:rsid w:val="0051302C"/>
    <w:rsid w:val="00513139"/>
    <w:rsid w:val="0051424B"/>
    <w:rsid w:val="00515CA9"/>
    <w:rsid w:val="00515ED7"/>
    <w:rsid w:val="00516F0A"/>
    <w:rsid w:val="005173C9"/>
    <w:rsid w:val="00517F1E"/>
    <w:rsid w:val="00517FEB"/>
    <w:rsid w:val="00520795"/>
    <w:rsid w:val="005208BA"/>
    <w:rsid w:val="00521554"/>
    <w:rsid w:val="005225F7"/>
    <w:rsid w:val="0052475D"/>
    <w:rsid w:val="00525209"/>
    <w:rsid w:val="0052561E"/>
    <w:rsid w:val="00526F16"/>
    <w:rsid w:val="005274C1"/>
    <w:rsid w:val="00527650"/>
    <w:rsid w:val="00527FAD"/>
    <w:rsid w:val="005301DB"/>
    <w:rsid w:val="0053046F"/>
    <w:rsid w:val="00530A1F"/>
    <w:rsid w:val="00531D07"/>
    <w:rsid w:val="00532996"/>
    <w:rsid w:val="00532A72"/>
    <w:rsid w:val="00532D32"/>
    <w:rsid w:val="00533729"/>
    <w:rsid w:val="005338E7"/>
    <w:rsid w:val="00534561"/>
    <w:rsid w:val="00534921"/>
    <w:rsid w:val="005349D8"/>
    <w:rsid w:val="005353C1"/>
    <w:rsid w:val="0053582D"/>
    <w:rsid w:val="00535993"/>
    <w:rsid w:val="0053762E"/>
    <w:rsid w:val="0054000B"/>
    <w:rsid w:val="005401E2"/>
    <w:rsid w:val="0054135E"/>
    <w:rsid w:val="005422F5"/>
    <w:rsid w:val="00542B5F"/>
    <w:rsid w:val="00545378"/>
    <w:rsid w:val="005457F2"/>
    <w:rsid w:val="005458BD"/>
    <w:rsid w:val="00545CC8"/>
    <w:rsid w:val="00545CCF"/>
    <w:rsid w:val="00546B0C"/>
    <w:rsid w:val="005524D1"/>
    <w:rsid w:val="0055256A"/>
    <w:rsid w:val="00553589"/>
    <w:rsid w:val="00553E91"/>
    <w:rsid w:val="005550B4"/>
    <w:rsid w:val="00555349"/>
    <w:rsid w:val="00560155"/>
    <w:rsid w:val="005606A2"/>
    <w:rsid w:val="005608AD"/>
    <w:rsid w:val="005615CE"/>
    <w:rsid w:val="00561908"/>
    <w:rsid w:val="005637B5"/>
    <w:rsid w:val="00563C95"/>
    <w:rsid w:val="00563CDF"/>
    <w:rsid w:val="005640B5"/>
    <w:rsid w:val="0056460F"/>
    <w:rsid w:val="00564979"/>
    <w:rsid w:val="00564E30"/>
    <w:rsid w:val="00565388"/>
    <w:rsid w:val="00566437"/>
    <w:rsid w:val="00566A6E"/>
    <w:rsid w:val="00566F98"/>
    <w:rsid w:val="00567DAB"/>
    <w:rsid w:val="00570696"/>
    <w:rsid w:val="0057142A"/>
    <w:rsid w:val="00572F14"/>
    <w:rsid w:val="00574335"/>
    <w:rsid w:val="00574769"/>
    <w:rsid w:val="00574D9D"/>
    <w:rsid w:val="00574E64"/>
    <w:rsid w:val="005754C8"/>
    <w:rsid w:val="005759A1"/>
    <w:rsid w:val="00576402"/>
    <w:rsid w:val="00577154"/>
    <w:rsid w:val="005805C1"/>
    <w:rsid w:val="00581350"/>
    <w:rsid w:val="00581DAF"/>
    <w:rsid w:val="00582C70"/>
    <w:rsid w:val="00582CBA"/>
    <w:rsid w:val="00582F64"/>
    <w:rsid w:val="005832F5"/>
    <w:rsid w:val="00583903"/>
    <w:rsid w:val="00583C6B"/>
    <w:rsid w:val="00583F02"/>
    <w:rsid w:val="005848C6"/>
    <w:rsid w:val="00584DF4"/>
    <w:rsid w:val="00584F1F"/>
    <w:rsid w:val="00585B72"/>
    <w:rsid w:val="00585EAD"/>
    <w:rsid w:val="00586F2D"/>
    <w:rsid w:val="0058742E"/>
    <w:rsid w:val="005918D8"/>
    <w:rsid w:val="00592FA1"/>
    <w:rsid w:val="005930CE"/>
    <w:rsid w:val="005947EB"/>
    <w:rsid w:val="005958E8"/>
    <w:rsid w:val="0059697A"/>
    <w:rsid w:val="00596F56"/>
    <w:rsid w:val="0059706E"/>
    <w:rsid w:val="0059709F"/>
    <w:rsid w:val="005A016A"/>
    <w:rsid w:val="005A02E4"/>
    <w:rsid w:val="005A034F"/>
    <w:rsid w:val="005A0CEA"/>
    <w:rsid w:val="005A13C3"/>
    <w:rsid w:val="005A1723"/>
    <w:rsid w:val="005A235F"/>
    <w:rsid w:val="005A2C78"/>
    <w:rsid w:val="005A30AB"/>
    <w:rsid w:val="005A3C94"/>
    <w:rsid w:val="005A525E"/>
    <w:rsid w:val="005A5C78"/>
    <w:rsid w:val="005A6B61"/>
    <w:rsid w:val="005A6E68"/>
    <w:rsid w:val="005A76BE"/>
    <w:rsid w:val="005B00EC"/>
    <w:rsid w:val="005B033E"/>
    <w:rsid w:val="005B06B3"/>
    <w:rsid w:val="005B1311"/>
    <w:rsid w:val="005B214B"/>
    <w:rsid w:val="005B2418"/>
    <w:rsid w:val="005B2486"/>
    <w:rsid w:val="005B2567"/>
    <w:rsid w:val="005B3B0D"/>
    <w:rsid w:val="005B3C9E"/>
    <w:rsid w:val="005B3E8B"/>
    <w:rsid w:val="005B45DA"/>
    <w:rsid w:val="005B53E3"/>
    <w:rsid w:val="005B6A02"/>
    <w:rsid w:val="005B78B9"/>
    <w:rsid w:val="005B78D7"/>
    <w:rsid w:val="005C008E"/>
    <w:rsid w:val="005C0DEB"/>
    <w:rsid w:val="005C290D"/>
    <w:rsid w:val="005C2B01"/>
    <w:rsid w:val="005C318E"/>
    <w:rsid w:val="005C3469"/>
    <w:rsid w:val="005C3844"/>
    <w:rsid w:val="005C40DB"/>
    <w:rsid w:val="005C47C0"/>
    <w:rsid w:val="005C55FC"/>
    <w:rsid w:val="005C5D01"/>
    <w:rsid w:val="005C6E1A"/>
    <w:rsid w:val="005C6F69"/>
    <w:rsid w:val="005C77F9"/>
    <w:rsid w:val="005C7B60"/>
    <w:rsid w:val="005D0D69"/>
    <w:rsid w:val="005D164B"/>
    <w:rsid w:val="005D1E17"/>
    <w:rsid w:val="005D226E"/>
    <w:rsid w:val="005D2E20"/>
    <w:rsid w:val="005D3EC4"/>
    <w:rsid w:val="005D4F92"/>
    <w:rsid w:val="005D5113"/>
    <w:rsid w:val="005D544A"/>
    <w:rsid w:val="005D5624"/>
    <w:rsid w:val="005D5691"/>
    <w:rsid w:val="005D6D3E"/>
    <w:rsid w:val="005E0453"/>
    <w:rsid w:val="005E06E9"/>
    <w:rsid w:val="005E0B0F"/>
    <w:rsid w:val="005E12D8"/>
    <w:rsid w:val="005E15AA"/>
    <w:rsid w:val="005E3186"/>
    <w:rsid w:val="005E33F5"/>
    <w:rsid w:val="005E44C3"/>
    <w:rsid w:val="005E588F"/>
    <w:rsid w:val="005E5CF5"/>
    <w:rsid w:val="005E6921"/>
    <w:rsid w:val="005E6B2F"/>
    <w:rsid w:val="005E6F5F"/>
    <w:rsid w:val="005E74DD"/>
    <w:rsid w:val="005E7EDA"/>
    <w:rsid w:val="005F070C"/>
    <w:rsid w:val="005F0971"/>
    <w:rsid w:val="005F0F18"/>
    <w:rsid w:val="005F1377"/>
    <w:rsid w:val="005F18DA"/>
    <w:rsid w:val="005F2010"/>
    <w:rsid w:val="005F21A2"/>
    <w:rsid w:val="005F25EA"/>
    <w:rsid w:val="005F2B0D"/>
    <w:rsid w:val="005F2D32"/>
    <w:rsid w:val="005F331F"/>
    <w:rsid w:val="005F3552"/>
    <w:rsid w:val="005F39C4"/>
    <w:rsid w:val="005F477B"/>
    <w:rsid w:val="005F54E8"/>
    <w:rsid w:val="005F6A5B"/>
    <w:rsid w:val="005F6EFF"/>
    <w:rsid w:val="0060171A"/>
    <w:rsid w:val="006026BB"/>
    <w:rsid w:val="0060415D"/>
    <w:rsid w:val="006043EA"/>
    <w:rsid w:val="006050E0"/>
    <w:rsid w:val="0060632D"/>
    <w:rsid w:val="00606606"/>
    <w:rsid w:val="006067D7"/>
    <w:rsid w:val="00606C87"/>
    <w:rsid w:val="00607279"/>
    <w:rsid w:val="00607325"/>
    <w:rsid w:val="00607EBE"/>
    <w:rsid w:val="0061053D"/>
    <w:rsid w:val="0061155E"/>
    <w:rsid w:val="0061371E"/>
    <w:rsid w:val="0061402C"/>
    <w:rsid w:val="0061605D"/>
    <w:rsid w:val="00616193"/>
    <w:rsid w:val="0061659C"/>
    <w:rsid w:val="006172CD"/>
    <w:rsid w:val="00620D58"/>
    <w:rsid w:val="00620E2C"/>
    <w:rsid w:val="00621686"/>
    <w:rsid w:val="00622195"/>
    <w:rsid w:val="00622C1C"/>
    <w:rsid w:val="00623437"/>
    <w:rsid w:val="00625A3C"/>
    <w:rsid w:val="00626644"/>
    <w:rsid w:val="00626912"/>
    <w:rsid w:val="00626A91"/>
    <w:rsid w:val="006278B0"/>
    <w:rsid w:val="00630241"/>
    <w:rsid w:val="00631AF8"/>
    <w:rsid w:val="00631B67"/>
    <w:rsid w:val="00631EF2"/>
    <w:rsid w:val="00633415"/>
    <w:rsid w:val="0063365E"/>
    <w:rsid w:val="00633680"/>
    <w:rsid w:val="00633C02"/>
    <w:rsid w:val="00634471"/>
    <w:rsid w:val="00634D85"/>
    <w:rsid w:val="00635CA0"/>
    <w:rsid w:val="006367F2"/>
    <w:rsid w:val="00636BF8"/>
    <w:rsid w:val="00640781"/>
    <w:rsid w:val="0064208E"/>
    <w:rsid w:val="0064209C"/>
    <w:rsid w:val="006422D6"/>
    <w:rsid w:val="00642C77"/>
    <w:rsid w:val="00643307"/>
    <w:rsid w:val="00643EC7"/>
    <w:rsid w:val="0064436E"/>
    <w:rsid w:val="00645D1B"/>
    <w:rsid w:val="0064646A"/>
    <w:rsid w:val="00646F49"/>
    <w:rsid w:val="00650701"/>
    <w:rsid w:val="00651300"/>
    <w:rsid w:val="006514B6"/>
    <w:rsid w:val="00651A7A"/>
    <w:rsid w:val="00652213"/>
    <w:rsid w:val="00653746"/>
    <w:rsid w:val="00653D95"/>
    <w:rsid w:val="00655051"/>
    <w:rsid w:val="00655B25"/>
    <w:rsid w:val="00655D33"/>
    <w:rsid w:val="00655D55"/>
    <w:rsid w:val="00656554"/>
    <w:rsid w:val="006601FC"/>
    <w:rsid w:val="00660846"/>
    <w:rsid w:val="0066200F"/>
    <w:rsid w:val="0066302E"/>
    <w:rsid w:val="006633DB"/>
    <w:rsid w:val="006633EA"/>
    <w:rsid w:val="00663A19"/>
    <w:rsid w:val="00663FEC"/>
    <w:rsid w:val="00665C1D"/>
    <w:rsid w:val="00666EE7"/>
    <w:rsid w:val="00667703"/>
    <w:rsid w:val="006678B3"/>
    <w:rsid w:val="00667EC9"/>
    <w:rsid w:val="00670249"/>
    <w:rsid w:val="00670411"/>
    <w:rsid w:val="006709F2"/>
    <w:rsid w:val="00670C6C"/>
    <w:rsid w:val="0067245B"/>
    <w:rsid w:val="00672554"/>
    <w:rsid w:val="006735E5"/>
    <w:rsid w:val="006749D8"/>
    <w:rsid w:val="00674A07"/>
    <w:rsid w:val="00675430"/>
    <w:rsid w:val="00675749"/>
    <w:rsid w:val="006758C3"/>
    <w:rsid w:val="006766BA"/>
    <w:rsid w:val="00676B0A"/>
    <w:rsid w:val="00676F3F"/>
    <w:rsid w:val="0067756C"/>
    <w:rsid w:val="006800C7"/>
    <w:rsid w:val="00680864"/>
    <w:rsid w:val="00680997"/>
    <w:rsid w:val="0068100C"/>
    <w:rsid w:val="006810F6"/>
    <w:rsid w:val="00681377"/>
    <w:rsid w:val="00681428"/>
    <w:rsid w:val="00681562"/>
    <w:rsid w:val="00681843"/>
    <w:rsid w:val="0068230A"/>
    <w:rsid w:val="0068339D"/>
    <w:rsid w:val="006847AA"/>
    <w:rsid w:val="00684D13"/>
    <w:rsid w:val="006877CD"/>
    <w:rsid w:val="00687929"/>
    <w:rsid w:val="00691733"/>
    <w:rsid w:val="00691CEB"/>
    <w:rsid w:val="0069284E"/>
    <w:rsid w:val="00692CF6"/>
    <w:rsid w:val="00692DDA"/>
    <w:rsid w:val="00693EDF"/>
    <w:rsid w:val="00696E07"/>
    <w:rsid w:val="00697916"/>
    <w:rsid w:val="00697945"/>
    <w:rsid w:val="006A10FB"/>
    <w:rsid w:val="006A1399"/>
    <w:rsid w:val="006A174A"/>
    <w:rsid w:val="006A1E74"/>
    <w:rsid w:val="006A2135"/>
    <w:rsid w:val="006A346B"/>
    <w:rsid w:val="006A3764"/>
    <w:rsid w:val="006A47EC"/>
    <w:rsid w:val="006A4C03"/>
    <w:rsid w:val="006A4C6D"/>
    <w:rsid w:val="006A4F6C"/>
    <w:rsid w:val="006A64C1"/>
    <w:rsid w:val="006A729A"/>
    <w:rsid w:val="006A72B8"/>
    <w:rsid w:val="006A7318"/>
    <w:rsid w:val="006A75B9"/>
    <w:rsid w:val="006A7EDD"/>
    <w:rsid w:val="006B05E2"/>
    <w:rsid w:val="006B0C56"/>
    <w:rsid w:val="006B1463"/>
    <w:rsid w:val="006B1751"/>
    <w:rsid w:val="006B1A4A"/>
    <w:rsid w:val="006B1C3B"/>
    <w:rsid w:val="006B1CE9"/>
    <w:rsid w:val="006B1EF8"/>
    <w:rsid w:val="006B376B"/>
    <w:rsid w:val="006B3961"/>
    <w:rsid w:val="006B3AE2"/>
    <w:rsid w:val="006B501F"/>
    <w:rsid w:val="006B5075"/>
    <w:rsid w:val="006B5960"/>
    <w:rsid w:val="006B5EC8"/>
    <w:rsid w:val="006B5F70"/>
    <w:rsid w:val="006B60AF"/>
    <w:rsid w:val="006B6333"/>
    <w:rsid w:val="006B6CD1"/>
    <w:rsid w:val="006B7835"/>
    <w:rsid w:val="006C0321"/>
    <w:rsid w:val="006C0B4E"/>
    <w:rsid w:val="006C0B94"/>
    <w:rsid w:val="006C1181"/>
    <w:rsid w:val="006C181A"/>
    <w:rsid w:val="006C28E5"/>
    <w:rsid w:val="006C3DE3"/>
    <w:rsid w:val="006C6424"/>
    <w:rsid w:val="006C65AE"/>
    <w:rsid w:val="006C6DD5"/>
    <w:rsid w:val="006D0212"/>
    <w:rsid w:val="006D05E4"/>
    <w:rsid w:val="006D09D9"/>
    <w:rsid w:val="006D1863"/>
    <w:rsid w:val="006D1A44"/>
    <w:rsid w:val="006D1C9D"/>
    <w:rsid w:val="006D277C"/>
    <w:rsid w:val="006D3631"/>
    <w:rsid w:val="006D465F"/>
    <w:rsid w:val="006D4E8D"/>
    <w:rsid w:val="006D5376"/>
    <w:rsid w:val="006D56AF"/>
    <w:rsid w:val="006D5A0D"/>
    <w:rsid w:val="006D5F95"/>
    <w:rsid w:val="006D6487"/>
    <w:rsid w:val="006D6838"/>
    <w:rsid w:val="006D6FD0"/>
    <w:rsid w:val="006D74F0"/>
    <w:rsid w:val="006D76B0"/>
    <w:rsid w:val="006D7C2A"/>
    <w:rsid w:val="006E0095"/>
    <w:rsid w:val="006E0625"/>
    <w:rsid w:val="006E0697"/>
    <w:rsid w:val="006E0C2B"/>
    <w:rsid w:val="006E2D13"/>
    <w:rsid w:val="006E3654"/>
    <w:rsid w:val="006E39DF"/>
    <w:rsid w:val="006E5391"/>
    <w:rsid w:val="006E562D"/>
    <w:rsid w:val="006E73B0"/>
    <w:rsid w:val="006E7454"/>
    <w:rsid w:val="006F0B41"/>
    <w:rsid w:val="006F1606"/>
    <w:rsid w:val="006F2855"/>
    <w:rsid w:val="006F2AE4"/>
    <w:rsid w:val="006F2BEF"/>
    <w:rsid w:val="006F3067"/>
    <w:rsid w:val="006F3F69"/>
    <w:rsid w:val="006F4451"/>
    <w:rsid w:val="006F4509"/>
    <w:rsid w:val="006F469C"/>
    <w:rsid w:val="006F775E"/>
    <w:rsid w:val="00700208"/>
    <w:rsid w:val="00700469"/>
    <w:rsid w:val="00700D58"/>
    <w:rsid w:val="007012DB"/>
    <w:rsid w:val="00701726"/>
    <w:rsid w:val="007019FC"/>
    <w:rsid w:val="00702DD9"/>
    <w:rsid w:val="0070304D"/>
    <w:rsid w:val="0070318A"/>
    <w:rsid w:val="0070409C"/>
    <w:rsid w:val="0070425D"/>
    <w:rsid w:val="00704787"/>
    <w:rsid w:val="0070555D"/>
    <w:rsid w:val="00705914"/>
    <w:rsid w:val="00705915"/>
    <w:rsid w:val="00705D45"/>
    <w:rsid w:val="0070686B"/>
    <w:rsid w:val="00706D40"/>
    <w:rsid w:val="00707029"/>
    <w:rsid w:val="00707091"/>
    <w:rsid w:val="007077F6"/>
    <w:rsid w:val="00707B7F"/>
    <w:rsid w:val="00710189"/>
    <w:rsid w:val="007101A7"/>
    <w:rsid w:val="00710913"/>
    <w:rsid w:val="00710DF4"/>
    <w:rsid w:val="00711249"/>
    <w:rsid w:val="0071181D"/>
    <w:rsid w:val="007122BF"/>
    <w:rsid w:val="00712523"/>
    <w:rsid w:val="007131E0"/>
    <w:rsid w:val="0071385F"/>
    <w:rsid w:val="00714B18"/>
    <w:rsid w:val="0071542E"/>
    <w:rsid w:val="007156DD"/>
    <w:rsid w:val="00715BD5"/>
    <w:rsid w:val="00716090"/>
    <w:rsid w:val="00716FD8"/>
    <w:rsid w:val="007174BA"/>
    <w:rsid w:val="00717AB0"/>
    <w:rsid w:val="00717C95"/>
    <w:rsid w:val="007208C7"/>
    <w:rsid w:val="00720D0D"/>
    <w:rsid w:val="00721665"/>
    <w:rsid w:val="00721E77"/>
    <w:rsid w:val="00723093"/>
    <w:rsid w:val="0072412E"/>
    <w:rsid w:val="007243D8"/>
    <w:rsid w:val="00724858"/>
    <w:rsid w:val="00724CE4"/>
    <w:rsid w:val="00725DB4"/>
    <w:rsid w:val="0072701A"/>
    <w:rsid w:val="007276DC"/>
    <w:rsid w:val="00727BC8"/>
    <w:rsid w:val="00730529"/>
    <w:rsid w:val="00730EFC"/>
    <w:rsid w:val="0073150C"/>
    <w:rsid w:val="007315A3"/>
    <w:rsid w:val="007320A1"/>
    <w:rsid w:val="007321F3"/>
    <w:rsid w:val="0073340C"/>
    <w:rsid w:val="007365ED"/>
    <w:rsid w:val="00736F02"/>
    <w:rsid w:val="0073702A"/>
    <w:rsid w:val="007370F4"/>
    <w:rsid w:val="0073770C"/>
    <w:rsid w:val="00737A30"/>
    <w:rsid w:val="00737B50"/>
    <w:rsid w:val="0074046A"/>
    <w:rsid w:val="007409A5"/>
    <w:rsid w:val="007411C7"/>
    <w:rsid w:val="0074163C"/>
    <w:rsid w:val="00741796"/>
    <w:rsid w:val="007417B9"/>
    <w:rsid w:val="007424C9"/>
    <w:rsid w:val="00742C22"/>
    <w:rsid w:val="00742D6F"/>
    <w:rsid w:val="00742F2C"/>
    <w:rsid w:val="00743208"/>
    <w:rsid w:val="00743DA6"/>
    <w:rsid w:val="0074458D"/>
    <w:rsid w:val="007447C1"/>
    <w:rsid w:val="00745995"/>
    <w:rsid w:val="00745C30"/>
    <w:rsid w:val="00745D11"/>
    <w:rsid w:val="00746370"/>
    <w:rsid w:val="0074656B"/>
    <w:rsid w:val="00746640"/>
    <w:rsid w:val="00746E60"/>
    <w:rsid w:val="00746F06"/>
    <w:rsid w:val="007474D9"/>
    <w:rsid w:val="007504F2"/>
    <w:rsid w:val="00751489"/>
    <w:rsid w:val="007514AE"/>
    <w:rsid w:val="007519F9"/>
    <w:rsid w:val="00752D9D"/>
    <w:rsid w:val="007533CC"/>
    <w:rsid w:val="007538DE"/>
    <w:rsid w:val="007541A7"/>
    <w:rsid w:val="00754469"/>
    <w:rsid w:val="00754CA1"/>
    <w:rsid w:val="00754EC4"/>
    <w:rsid w:val="00756AF4"/>
    <w:rsid w:val="00757331"/>
    <w:rsid w:val="007574FB"/>
    <w:rsid w:val="00757CFE"/>
    <w:rsid w:val="007606EF"/>
    <w:rsid w:val="00760A9A"/>
    <w:rsid w:val="00760F79"/>
    <w:rsid w:val="0076146E"/>
    <w:rsid w:val="00761628"/>
    <w:rsid w:val="00762274"/>
    <w:rsid w:val="007637FD"/>
    <w:rsid w:val="007638D8"/>
    <w:rsid w:val="0076392A"/>
    <w:rsid w:val="00764772"/>
    <w:rsid w:val="00764D37"/>
    <w:rsid w:val="00764EBB"/>
    <w:rsid w:val="007653CE"/>
    <w:rsid w:val="00766E06"/>
    <w:rsid w:val="00767125"/>
    <w:rsid w:val="00767458"/>
    <w:rsid w:val="00767AFE"/>
    <w:rsid w:val="00767BF3"/>
    <w:rsid w:val="00767CCE"/>
    <w:rsid w:val="00771F5D"/>
    <w:rsid w:val="00773364"/>
    <w:rsid w:val="00773A95"/>
    <w:rsid w:val="00776381"/>
    <w:rsid w:val="0077761E"/>
    <w:rsid w:val="00777F4C"/>
    <w:rsid w:val="00780D11"/>
    <w:rsid w:val="00781A51"/>
    <w:rsid w:val="00782051"/>
    <w:rsid w:val="007825A1"/>
    <w:rsid w:val="007828C5"/>
    <w:rsid w:val="00782F48"/>
    <w:rsid w:val="007831B0"/>
    <w:rsid w:val="00783A22"/>
    <w:rsid w:val="00783A82"/>
    <w:rsid w:val="00783FD9"/>
    <w:rsid w:val="00785820"/>
    <w:rsid w:val="007858E2"/>
    <w:rsid w:val="00785A1A"/>
    <w:rsid w:val="007861C4"/>
    <w:rsid w:val="0078658C"/>
    <w:rsid w:val="00786CF1"/>
    <w:rsid w:val="00790E62"/>
    <w:rsid w:val="007919D5"/>
    <w:rsid w:val="007926C2"/>
    <w:rsid w:val="0079449C"/>
    <w:rsid w:val="00794830"/>
    <w:rsid w:val="00794FF1"/>
    <w:rsid w:val="00795959"/>
    <w:rsid w:val="00795CF8"/>
    <w:rsid w:val="00795F2D"/>
    <w:rsid w:val="00795FCD"/>
    <w:rsid w:val="0079696B"/>
    <w:rsid w:val="00796DAB"/>
    <w:rsid w:val="0079781C"/>
    <w:rsid w:val="007A0059"/>
    <w:rsid w:val="007A0130"/>
    <w:rsid w:val="007A0132"/>
    <w:rsid w:val="007A0581"/>
    <w:rsid w:val="007A45A7"/>
    <w:rsid w:val="007A5A41"/>
    <w:rsid w:val="007A63C4"/>
    <w:rsid w:val="007A6657"/>
    <w:rsid w:val="007A756B"/>
    <w:rsid w:val="007A76DE"/>
    <w:rsid w:val="007B0173"/>
    <w:rsid w:val="007B08CC"/>
    <w:rsid w:val="007B14DD"/>
    <w:rsid w:val="007B19BE"/>
    <w:rsid w:val="007B19CD"/>
    <w:rsid w:val="007B287E"/>
    <w:rsid w:val="007B28C5"/>
    <w:rsid w:val="007B2ABF"/>
    <w:rsid w:val="007B3004"/>
    <w:rsid w:val="007B4111"/>
    <w:rsid w:val="007B478C"/>
    <w:rsid w:val="007B55CD"/>
    <w:rsid w:val="007B6D6F"/>
    <w:rsid w:val="007B6E4D"/>
    <w:rsid w:val="007C030E"/>
    <w:rsid w:val="007C1283"/>
    <w:rsid w:val="007C1B46"/>
    <w:rsid w:val="007C1DFB"/>
    <w:rsid w:val="007C33C7"/>
    <w:rsid w:val="007C33CE"/>
    <w:rsid w:val="007C44A6"/>
    <w:rsid w:val="007C4EFA"/>
    <w:rsid w:val="007C5D0A"/>
    <w:rsid w:val="007C5E75"/>
    <w:rsid w:val="007C7068"/>
    <w:rsid w:val="007C7EB0"/>
    <w:rsid w:val="007C7FBC"/>
    <w:rsid w:val="007D08A0"/>
    <w:rsid w:val="007D213E"/>
    <w:rsid w:val="007D4864"/>
    <w:rsid w:val="007D5148"/>
    <w:rsid w:val="007D5255"/>
    <w:rsid w:val="007D5310"/>
    <w:rsid w:val="007D5512"/>
    <w:rsid w:val="007D65C4"/>
    <w:rsid w:val="007D6DF6"/>
    <w:rsid w:val="007E036F"/>
    <w:rsid w:val="007E0CE5"/>
    <w:rsid w:val="007E0ED5"/>
    <w:rsid w:val="007E0F52"/>
    <w:rsid w:val="007E1083"/>
    <w:rsid w:val="007E1A63"/>
    <w:rsid w:val="007E3380"/>
    <w:rsid w:val="007E4CB4"/>
    <w:rsid w:val="007E5147"/>
    <w:rsid w:val="007E589D"/>
    <w:rsid w:val="007E6D26"/>
    <w:rsid w:val="007E7424"/>
    <w:rsid w:val="007F0804"/>
    <w:rsid w:val="007F0DCA"/>
    <w:rsid w:val="007F1070"/>
    <w:rsid w:val="007F24A8"/>
    <w:rsid w:val="007F36C9"/>
    <w:rsid w:val="007F3848"/>
    <w:rsid w:val="007F44AE"/>
    <w:rsid w:val="007F4ADE"/>
    <w:rsid w:val="007F4EF0"/>
    <w:rsid w:val="007F6982"/>
    <w:rsid w:val="007F7B3B"/>
    <w:rsid w:val="007F7C40"/>
    <w:rsid w:val="0080118B"/>
    <w:rsid w:val="00801700"/>
    <w:rsid w:val="008024F5"/>
    <w:rsid w:val="00802741"/>
    <w:rsid w:val="00803436"/>
    <w:rsid w:val="00803D00"/>
    <w:rsid w:val="00804BF6"/>
    <w:rsid w:val="00804F9B"/>
    <w:rsid w:val="008058FE"/>
    <w:rsid w:val="00805B4C"/>
    <w:rsid w:val="00805EEB"/>
    <w:rsid w:val="00806DDA"/>
    <w:rsid w:val="00807610"/>
    <w:rsid w:val="00807E5B"/>
    <w:rsid w:val="00810170"/>
    <w:rsid w:val="00810CEA"/>
    <w:rsid w:val="00810E27"/>
    <w:rsid w:val="008112FE"/>
    <w:rsid w:val="008123AD"/>
    <w:rsid w:val="00813414"/>
    <w:rsid w:val="0081382C"/>
    <w:rsid w:val="008138AC"/>
    <w:rsid w:val="00813AFC"/>
    <w:rsid w:val="00814A1F"/>
    <w:rsid w:val="00815185"/>
    <w:rsid w:val="008152A9"/>
    <w:rsid w:val="00815D4D"/>
    <w:rsid w:val="00815F91"/>
    <w:rsid w:val="008169BA"/>
    <w:rsid w:val="00816D11"/>
    <w:rsid w:val="008177D9"/>
    <w:rsid w:val="008178EC"/>
    <w:rsid w:val="008205F8"/>
    <w:rsid w:val="008209F3"/>
    <w:rsid w:val="00820A66"/>
    <w:rsid w:val="00820C60"/>
    <w:rsid w:val="00821161"/>
    <w:rsid w:val="008227A0"/>
    <w:rsid w:val="008228F2"/>
    <w:rsid w:val="008233EC"/>
    <w:rsid w:val="00823983"/>
    <w:rsid w:val="008239F3"/>
    <w:rsid w:val="008246D7"/>
    <w:rsid w:val="008250DB"/>
    <w:rsid w:val="0082543E"/>
    <w:rsid w:val="00825ED7"/>
    <w:rsid w:val="00827AE1"/>
    <w:rsid w:val="00830B2F"/>
    <w:rsid w:val="0083188C"/>
    <w:rsid w:val="0083427A"/>
    <w:rsid w:val="00834485"/>
    <w:rsid w:val="008365DA"/>
    <w:rsid w:val="00836D97"/>
    <w:rsid w:val="0083730E"/>
    <w:rsid w:val="00840014"/>
    <w:rsid w:val="00840826"/>
    <w:rsid w:val="00841FF5"/>
    <w:rsid w:val="0084214A"/>
    <w:rsid w:val="00842B98"/>
    <w:rsid w:val="0084306C"/>
    <w:rsid w:val="00843A43"/>
    <w:rsid w:val="008449F9"/>
    <w:rsid w:val="00844B82"/>
    <w:rsid w:val="00844C0C"/>
    <w:rsid w:val="0084581A"/>
    <w:rsid w:val="00845F06"/>
    <w:rsid w:val="00846CF8"/>
    <w:rsid w:val="00846D2A"/>
    <w:rsid w:val="00847640"/>
    <w:rsid w:val="00850370"/>
    <w:rsid w:val="00851B20"/>
    <w:rsid w:val="00851B25"/>
    <w:rsid w:val="0085364F"/>
    <w:rsid w:val="00853B02"/>
    <w:rsid w:val="00854109"/>
    <w:rsid w:val="008542EC"/>
    <w:rsid w:val="00854C5F"/>
    <w:rsid w:val="00855339"/>
    <w:rsid w:val="0085579E"/>
    <w:rsid w:val="00855A91"/>
    <w:rsid w:val="008572F0"/>
    <w:rsid w:val="00857FE3"/>
    <w:rsid w:val="00860134"/>
    <w:rsid w:val="0086137A"/>
    <w:rsid w:val="0086183B"/>
    <w:rsid w:val="00862A39"/>
    <w:rsid w:val="00863C0E"/>
    <w:rsid w:val="008653A2"/>
    <w:rsid w:val="0086587E"/>
    <w:rsid w:val="00866A37"/>
    <w:rsid w:val="008672BA"/>
    <w:rsid w:val="00867937"/>
    <w:rsid w:val="008701E4"/>
    <w:rsid w:val="0087028B"/>
    <w:rsid w:val="0087323C"/>
    <w:rsid w:val="00873971"/>
    <w:rsid w:val="008739EF"/>
    <w:rsid w:val="00873B2F"/>
    <w:rsid w:val="00873C9F"/>
    <w:rsid w:val="0087438C"/>
    <w:rsid w:val="008758F8"/>
    <w:rsid w:val="00875A39"/>
    <w:rsid w:val="00875C95"/>
    <w:rsid w:val="0087604C"/>
    <w:rsid w:val="00876070"/>
    <w:rsid w:val="008778C4"/>
    <w:rsid w:val="00880130"/>
    <w:rsid w:val="00880463"/>
    <w:rsid w:val="00882445"/>
    <w:rsid w:val="00883768"/>
    <w:rsid w:val="0088398B"/>
    <w:rsid w:val="008843C3"/>
    <w:rsid w:val="008851A3"/>
    <w:rsid w:val="00885245"/>
    <w:rsid w:val="00885922"/>
    <w:rsid w:val="00886562"/>
    <w:rsid w:val="00886DA0"/>
    <w:rsid w:val="00890F88"/>
    <w:rsid w:val="008911C1"/>
    <w:rsid w:val="008913C5"/>
    <w:rsid w:val="00891DF6"/>
    <w:rsid w:val="00892203"/>
    <w:rsid w:val="008924D7"/>
    <w:rsid w:val="00892B8B"/>
    <w:rsid w:val="00892E3A"/>
    <w:rsid w:val="00893ED3"/>
    <w:rsid w:val="0089568B"/>
    <w:rsid w:val="00895AD4"/>
    <w:rsid w:val="00895C2B"/>
    <w:rsid w:val="00896B2B"/>
    <w:rsid w:val="008971F9"/>
    <w:rsid w:val="008A0C3F"/>
    <w:rsid w:val="008A1386"/>
    <w:rsid w:val="008A1401"/>
    <w:rsid w:val="008A18C2"/>
    <w:rsid w:val="008A1B15"/>
    <w:rsid w:val="008A270C"/>
    <w:rsid w:val="008A274F"/>
    <w:rsid w:val="008A29A2"/>
    <w:rsid w:val="008A3143"/>
    <w:rsid w:val="008A511F"/>
    <w:rsid w:val="008A6D1B"/>
    <w:rsid w:val="008A7FB1"/>
    <w:rsid w:val="008B1018"/>
    <w:rsid w:val="008B21D9"/>
    <w:rsid w:val="008B220F"/>
    <w:rsid w:val="008B2C8A"/>
    <w:rsid w:val="008B326A"/>
    <w:rsid w:val="008B3C9D"/>
    <w:rsid w:val="008B3D36"/>
    <w:rsid w:val="008B4062"/>
    <w:rsid w:val="008B4FC7"/>
    <w:rsid w:val="008B512E"/>
    <w:rsid w:val="008B5D54"/>
    <w:rsid w:val="008B7A31"/>
    <w:rsid w:val="008B7C2B"/>
    <w:rsid w:val="008B7D15"/>
    <w:rsid w:val="008C0522"/>
    <w:rsid w:val="008C12D9"/>
    <w:rsid w:val="008C16EF"/>
    <w:rsid w:val="008C3520"/>
    <w:rsid w:val="008C404A"/>
    <w:rsid w:val="008C431A"/>
    <w:rsid w:val="008C473D"/>
    <w:rsid w:val="008C4A20"/>
    <w:rsid w:val="008C4A47"/>
    <w:rsid w:val="008C54D4"/>
    <w:rsid w:val="008C5FE5"/>
    <w:rsid w:val="008C62CF"/>
    <w:rsid w:val="008C6B1B"/>
    <w:rsid w:val="008D0B9D"/>
    <w:rsid w:val="008D0FC5"/>
    <w:rsid w:val="008D12A4"/>
    <w:rsid w:val="008D1B19"/>
    <w:rsid w:val="008D29E0"/>
    <w:rsid w:val="008D370D"/>
    <w:rsid w:val="008D390E"/>
    <w:rsid w:val="008D3D3E"/>
    <w:rsid w:val="008D3D9B"/>
    <w:rsid w:val="008D404C"/>
    <w:rsid w:val="008D41F4"/>
    <w:rsid w:val="008D45AE"/>
    <w:rsid w:val="008D55FD"/>
    <w:rsid w:val="008D58C6"/>
    <w:rsid w:val="008D5CC6"/>
    <w:rsid w:val="008D715D"/>
    <w:rsid w:val="008D7720"/>
    <w:rsid w:val="008D7B44"/>
    <w:rsid w:val="008E07BE"/>
    <w:rsid w:val="008E145D"/>
    <w:rsid w:val="008E1470"/>
    <w:rsid w:val="008E185A"/>
    <w:rsid w:val="008E1B71"/>
    <w:rsid w:val="008E265B"/>
    <w:rsid w:val="008E29E6"/>
    <w:rsid w:val="008E357D"/>
    <w:rsid w:val="008E3B49"/>
    <w:rsid w:val="008E435F"/>
    <w:rsid w:val="008E4557"/>
    <w:rsid w:val="008E4A14"/>
    <w:rsid w:val="008E4B0F"/>
    <w:rsid w:val="008E4C3E"/>
    <w:rsid w:val="008E4EFC"/>
    <w:rsid w:val="008E6335"/>
    <w:rsid w:val="008E7C35"/>
    <w:rsid w:val="008E7C8B"/>
    <w:rsid w:val="008E7EBA"/>
    <w:rsid w:val="008F08E3"/>
    <w:rsid w:val="008F0F34"/>
    <w:rsid w:val="008F18FC"/>
    <w:rsid w:val="008F2ED3"/>
    <w:rsid w:val="008F346C"/>
    <w:rsid w:val="008F34FE"/>
    <w:rsid w:val="008F5A5E"/>
    <w:rsid w:val="008F5DC7"/>
    <w:rsid w:val="008F7421"/>
    <w:rsid w:val="008F7B4B"/>
    <w:rsid w:val="008F7BAD"/>
    <w:rsid w:val="008F7D2E"/>
    <w:rsid w:val="0090021C"/>
    <w:rsid w:val="0090028E"/>
    <w:rsid w:val="009007D4"/>
    <w:rsid w:val="0090087B"/>
    <w:rsid w:val="00900E0E"/>
    <w:rsid w:val="00901314"/>
    <w:rsid w:val="00901C1A"/>
    <w:rsid w:val="00902112"/>
    <w:rsid w:val="009027FF"/>
    <w:rsid w:val="00903183"/>
    <w:rsid w:val="00903593"/>
    <w:rsid w:val="009036D3"/>
    <w:rsid w:val="00903A1B"/>
    <w:rsid w:val="00903BE3"/>
    <w:rsid w:val="00903E41"/>
    <w:rsid w:val="00903EB3"/>
    <w:rsid w:val="00903FC0"/>
    <w:rsid w:val="0090436F"/>
    <w:rsid w:val="009045DA"/>
    <w:rsid w:val="009050A7"/>
    <w:rsid w:val="0090600B"/>
    <w:rsid w:val="0090629C"/>
    <w:rsid w:val="0090726D"/>
    <w:rsid w:val="00907AB7"/>
    <w:rsid w:val="00907B1E"/>
    <w:rsid w:val="0091000B"/>
    <w:rsid w:val="009100AB"/>
    <w:rsid w:val="009106A6"/>
    <w:rsid w:val="00910E36"/>
    <w:rsid w:val="00912C5C"/>
    <w:rsid w:val="00913271"/>
    <w:rsid w:val="00913C01"/>
    <w:rsid w:val="00915056"/>
    <w:rsid w:val="00915646"/>
    <w:rsid w:val="00915E6C"/>
    <w:rsid w:val="00916328"/>
    <w:rsid w:val="009168A5"/>
    <w:rsid w:val="00917190"/>
    <w:rsid w:val="009175CC"/>
    <w:rsid w:val="00917A2D"/>
    <w:rsid w:val="00917BF2"/>
    <w:rsid w:val="009201B1"/>
    <w:rsid w:val="009208AA"/>
    <w:rsid w:val="00920E3C"/>
    <w:rsid w:val="00921115"/>
    <w:rsid w:val="009221D5"/>
    <w:rsid w:val="009224DD"/>
    <w:rsid w:val="00922A39"/>
    <w:rsid w:val="00923277"/>
    <w:rsid w:val="00924C15"/>
    <w:rsid w:val="00924D6B"/>
    <w:rsid w:val="009252E5"/>
    <w:rsid w:val="0092631D"/>
    <w:rsid w:val="00926538"/>
    <w:rsid w:val="0092677F"/>
    <w:rsid w:val="00926A64"/>
    <w:rsid w:val="00927B2E"/>
    <w:rsid w:val="009308AA"/>
    <w:rsid w:val="00931CDC"/>
    <w:rsid w:val="00931E1B"/>
    <w:rsid w:val="009335B2"/>
    <w:rsid w:val="00933666"/>
    <w:rsid w:val="00933B91"/>
    <w:rsid w:val="009340F1"/>
    <w:rsid w:val="00935EF4"/>
    <w:rsid w:val="009361D4"/>
    <w:rsid w:val="00937007"/>
    <w:rsid w:val="00937F73"/>
    <w:rsid w:val="009411A1"/>
    <w:rsid w:val="009420A8"/>
    <w:rsid w:val="0094255E"/>
    <w:rsid w:val="0094296D"/>
    <w:rsid w:val="00943334"/>
    <w:rsid w:val="009439CF"/>
    <w:rsid w:val="009445C3"/>
    <w:rsid w:val="009448F2"/>
    <w:rsid w:val="00945BF2"/>
    <w:rsid w:val="00945E5E"/>
    <w:rsid w:val="009472A8"/>
    <w:rsid w:val="0094776E"/>
    <w:rsid w:val="0094792A"/>
    <w:rsid w:val="009507AA"/>
    <w:rsid w:val="00952169"/>
    <w:rsid w:val="00952BDA"/>
    <w:rsid w:val="0095316E"/>
    <w:rsid w:val="009540C0"/>
    <w:rsid w:val="00954301"/>
    <w:rsid w:val="00954745"/>
    <w:rsid w:val="00954B70"/>
    <w:rsid w:val="0095501C"/>
    <w:rsid w:val="00955576"/>
    <w:rsid w:val="009556A7"/>
    <w:rsid w:val="009573C3"/>
    <w:rsid w:val="00957FCE"/>
    <w:rsid w:val="00960969"/>
    <w:rsid w:val="00960C16"/>
    <w:rsid w:val="009614A5"/>
    <w:rsid w:val="00962AD5"/>
    <w:rsid w:val="00963497"/>
    <w:rsid w:val="00964394"/>
    <w:rsid w:val="0096463D"/>
    <w:rsid w:val="009648A5"/>
    <w:rsid w:val="00964BA2"/>
    <w:rsid w:val="009650CB"/>
    <w:rsid w:val="009657BD"/>
    <w:rsid w:val="0096588D"/>
    <w:rsid w:val="00966134"/>
    <w:rsid w:val="00966C55"/>
    <w:rsid w:val="009670C9"/>
    <w:rsid w:val="009672C2"/>
    <w:rsid w:val="0096730B"/>
    <w:rsid w:val="009709D7"/>
    <w:rsid w:val="00971EC7"/>
    <w:rsid w:val="00972053"/>
    <w:rsid w:val="00972A1C"/>
    <w:rsid w:val="00972A2B"/>
    <w:rsid w:val="00973ED3"/>
    <w:rsid w:val="00973F49"/>
    <w:rsid w:val="00973FA9"/>
    <w:rsid w:val="009753E1"/>
    <w:rsid w:val="00975A3F"/>
    <w:rsid w:val="00976397"/>
    <w:rsid w:val="00976563"/>
    <w:rsid w:val="00976E3B"/>
    <w:rsid w:val="009776BE"/>
    <w:rsid w:val="00977A1C"/>
    <w:rsid w:val="009806FE"/>
    <w:rsid w:val="00980F52"/>
    <w:rsid w:val="00981A9D"/>
    <w:rsid w:val="00981E50"/>
    <w:rsid w:val="0098243B"/>
    <w:rsid w:val="0098287E"/>
    <w:rsid w:val="00982F57"/>
    <w:rsid w:val="00983086"/>
    <w:rsid w:val="0098343B"/>
    <w:rsid w:val="009838FA"/>
    <w:rsid w:val="00983990"/>
    <w:rsid w:val="00984994"/>
    <w:rsid w:val="00985805"/>
    <w:rsid w:val="0098596E"/>
    <w:rsid w:val="009859D7"/>
    <w:rsid w:val="0098697A"/>
    <w:rsid w:val="009869D8"/>
    <w:rsid w:val="00986BF3"/>
    <w:rsid w:val="009870E4"/>
    <w:rsid w:val="0098768B"/>
    <w:rsid w:val="009876C3"/>
    <w:rsid w:val="00987ADF"/>
    <w:rsid w:val="009907CD"/>
    <w:rsid w:val="00990926"/>
    <w:rsid w:val="00990AEF"/>
    <w:rsid w:val="00992508"/>
    <w:rsid w:val="009927EB"/>
    <w:rsid w:val="009928C5"/>
    <w:rsid w:val="009930E5"/>
    <w:rsid w:val="009931FD"/>
    <w:rsid w:val="00993748"/>
    <w:rsid w:val="00993BE8"/>
    <w:rsid w:val="00993F69"/>
    <w:rsid w:val="0099455E"/>
    <w:rsid w:val="0099461E"/>
    <w:rsid w:val="0099665B"/>
    <w:rsid w:val="009966D1"/>
    <w:rsid w:val="009966F0"/>
    <w:rsid w:val="00997E65"/>
    <w:rsid w:val="009A1166"/>
    <w:rsid w:val="009A1588"/>
    <w:rsid w:val="009A2860"/>
    <w:rsid w:val="009A326D"/>
    <w:rsid w:val="009A3941"/>
    <w:rsid w:val="009A4077"/>
    <w:rsid w:val="009A53C4"/>
    <w:rsid w:val="009A56CB"/>
    <w:rsid w:val="009A6140"/>
    <w:rsid w:val="009A7D5C"/>
    <w:rsid w:val="009B0587"/>
    <w:rsid w:val="009B184C"/>
    <w:rsid w:val="009B2603"/>
    <w:rsid w:val="009B3C41"/>
    <w:rsid w:val="009B3EDB"/>
    <w:rsid w:val="009B4AD1"/>
    <w:rsid w:val="009B518E"/>
    <w:rsid w:val="009B51BC"/>
    <w:rsid w:val="009B5775"/>
    <w:rsid w:val="009B5BAF"/>
    <w:rsid w:val="009B61AC"/>
    <w:rsid w:val="009C0098"/>
    <w:rsid w:val="009C0F0A"/>
    <w:rsid w:val="009C17EE"/>
    <w:rsid w:val="009C2717"/>
    <w:rsid w:val="009C2828"/>
    <w:rsid w:val="009C2F00"/>
    <w:rsid w:val="009C3C3F"/>
    <w:rsid w:val="009C43EF"/>
    <w:rsid w:val="009C4DEE"/>
    <w:rsid w:val="009C4FEF"/>
    <w:rsid w:val="009C5129"/>
    <w:rsid w:val="009C5E10"/>
    <w:rsid w:val="009C689B"/>
    <w:rsid w:val="009D0BE0"/>
    <w:rsid w:val="009D1DFD"/>
    <w:rsid w:val="009D1DFE"/>
    <w:rsid w:val="009D1F0C"/>
    <w:rsid w:val="009D1F51"/>
    <w:rsid w:val="009D2A3A"/>
    <w:rsid w:val="009D36BE"/>
    <w:rsid w:val="009D3E18"/>
    <w:rsid w:val="009D4068"/>
    <w:rsid w:val="009D5364"/>
    <w:rsid w:val="009D559F"/>
    <w:rsid w:val="009D5D6B"/>
    <w:rsid w:val="009D6282"/>
    <w:rsid w:val="009D632E"/>
    <w:rsid w:val="009D67EC"/>
    <w:rsid w:val="009D6F18"/>
    <w:rsid w:val="009D76A6"/>
    <w:rsid w:val="009D7B4F"/>
    <w:rsid w:val="009E1124"/>
    <w:rsid w:val="009E1770"/>
    <w:rsid w:val="009E1F33"/>
    <w:rsid w:val="009E3776"/>
    <w:rsid w:val="009E47A4"/>
    <w:rsid w:val="009E515B"/>
    <w:rsid w:val="009E53FC"/>
    <w:rsid w:val="009E6523"/>
    <w:rsid w:val="009E68F4"/>
    <w:rsid w:val="009E7564"/>
    <w:rsid w:val="009E7881"/>
    <w:rsid w:val="009E7B20"/>
    <w:rsid w:val="009E7CA8"/>
    <w:rsid w:val="009F0F1B"/>
    <w:rsid w:val="009F1E25"/>
    <w:rsid w:val="009F1F7B"/>
    <w:rsid w:val="009F28A3"/>
    <w:rsid w:val="009F2A2C"/>
    <w:rsid w:val="009F3387"/>
    <w:rsid w:val="009F33F9"/>
    <w:rsid w:val="009F37ED"/>
    <w:rsid w:val="009F3CB5"/>
    <w:rsid w:val="009F4BE2"/>
    <w:rsid w:val="009F4DFA"/>
    <w:rsid w:val="009F570D"/>
    <w:rsid w:val="009F7B87"/>
    <w:rsid w:val="00A00410"/>
    <w:rsid w:val="00A00F45"/>
    <w:rsid w:val="00A0112F"/>
    <w:rsid w:val="00A011DB"/>
    <w:rsid w:val="00A0159A"/>
    <w:rsid w:val="00A016FC"/>
    <w:rsid w:val="00A027CA"/>
    <w:rsid w:val="00A02FCF"/>
    <w:rsid w:val="00A030AF"/>
    <w:rsid w:val="00A03633"/>
    <w:rsid w:val="00A04CDD"/>
    <w:rsid w:val="00A04E5C"/>
    <w:rsid w:val="00A05302"/>
    <w:rsid w:val="00A05422"/>
    <w:rsid w:val="00A064DF"/>
    <w:rsid w:val="00A06FFD"/>
    <w:rsid w:val="00A0759C"/>
    <w:rsid w:val="00A07BBD"/>
    <w:rsid w:val="00A10825"/>
    <w:rsid w:val="00A10A34"/>
    <w:rsid w:val="00A12251"/>
    <w:rsid w:val="00A14C29"/>
    <w:rsid w:val="00A14F8F"/>
    <w:rsid w:val="00A15068"/>
    <w:rsid w:val="00A1782A"/>
    <w:rsid w:val="00A17CB0"/>
    <w:rsid w:val="00A17F6E"/>
    <w:rsid w:val="00A20A28"/>
    <w:rsid w:val="00A20D64"/>
    <w:rsid w:val="00A2119F"/>
    <w:rsid w:val="00A21F12"/>
    <w:rsid w:val="00A22167"/>
    <w:rsid w:val="00A224B8"/>
    <w:rsid w:val="00A22E6F"/>
    <w:rsid w:val="00A23FDB"/>
    <w:rsid w:val="00A2506A"/>
    <w:rsid w:val="00A258C4"/>
    <w:rsid w:val="00A26124"/>
    <w:rsid w:val="00A261F5"/>
    <w:rsid w:val="00A2633F"/>
    <w:rsid w:val="00A26389"/>
    <w:rsid w:val="00A26A2E"/>
    <w:rsid w:val="00A3014E"/>
    <w:rsid w:val="00A311E2"/>
    <w:rsid w:val="00A313C7"/>
    <w:rsid w:val="00A31823"/>
    <w:rsid w:val="00A318AE"/>
    <w:rsid w:val="00A31943"/>
    <w:rsid w:val="00A31C47"/>
    <w:rsid w:val="00A32C1D"/>
    <w:rsid w:val="00A32C7B"/>
    <w:rsid w:val="00A33DCC"/>
    <w:rsid w:val="00A33E36"/>
    <w:rsid w:val="00A34AD9"/>
    <w:rsid w:val="00A34CEF"/>
    <w:rsid w:val="00A3564E"/>
    <w:rsid w:val="00A35BE7"/>
    <w:rsid w:val="00A35F54"/>
    <w:rsid w:val="00A360BA"/>
    <w:rsid w:val="00A37743"/>
    <w:rsid w:val="00A41303"/>
    <w:rsid w:val="00A413B2"/>
    <w:rsid w:val="00A41FA3"/>
    <w:rsid w:val="00A4283E"/>
    <w:rsid w:val="00A42FAF"/>
    <w:rsid w:val="00A4376E"/>
    <w:rsid w:val="00A441FD"/>
    <w:rsid w:val="00A442AF"/>
    <w:rsid w:val="00A44345"/>
    <w:rsid w:val="00A44662"/>
    <w:rsid w:val="00A449D4"/>
    <w:rsid w:val="00A44DC7"/>
    <w:rsid w:val="00A4694D"/>
    <w:rsid w:val="00A46B3B"/>
    <w:rsid w:val="00A473A2"/>
    <w:rsid w:val="00A47A81"/>
    <w:rsid w:val="00A47D80"/>
    <w:rsid w:val="00A5068A"/>
    <w:rsid w:val="00A50B2D"/>
    <w:rsid w:val="00A50BEC"/>
    <w:rsid w:val="00A50E61"/>
    <w:rsid w:val="00A511BE"/>
    <w:rsid w:val="00A51850"/>
    <w:rsid w:val="00A51F65"/>
    <w:rsid w:val="00A52511"/>
    <w:rsid w:val="00A5310A"/>
    <w:rsid w:val="00A53448"/>
    <w:rsid w:val="00A53CBB"/>
    <w:rsid w:val="00A53EF5"/>
    <w:rsid w:val="00A54371"/>
    <w:rsid w:val="00A545C5"/>
    <w:rsid w:val="00A55875"/>
    <w:rsid w:val="00A574EF"/>
    <w:rsid w:val="00A577A3"/>
    <w:rsid w:val="00A57D19"/>
    <w:rsid w:val="00A6087C"/>
    <w:rsid w:val="00A61425"/>
    <w:rsid w:val="00A61AF3"/>
    <w:rsid w:val="00A6220C"/>
    <w:rsid w:val="00A62D76"/>
    <w:rsid w:val="00A639BE"/>
    <w:rsid w:val="00A64FEA"/>
    <w:rsid w:val="00A6506D"/>
    <w:rsid w:val="00A6606C"/>
    <w:rsid w:val="00A66C8C"/>
    <w:rsid w:val="00A66DBF"/>
    <w:rsid w:val="00A670DA"/>
    <w:rsid w:val="00A70485"/>
    <w:rsid w:val="00A70AF2"/>
    <w:rsid w:val="00A7128B"/>
    <w:rsid w:val="00A71582"/>
    <w:rsid w:val="00A71F87"/>
    <w:rsid w:val="00A725F9"/>
    <w:rsid w:val="00A72DCE"/>
    <w:rsid w:val="00A746D0"/>
    <w:rsid w:val="00A75222"/>
    <w:rsid w:val="00A7536E"/>
    <w:rsid w:val="00A76BC1"/>
    <w:rsid w:val="00A77552"/>
    <w:rsid w:val="00A775EE"/>
    <w:rsid w:val="00A77896"/>
    <w:rsid w:val="00A8012E"/>
    <w:rsid w:val="00A80AC6"/>
    <w:rsid w:val="00A8148D"/>
    <w:rsid w:val="00A818ED"/>
    <w:rsid w:val="00A826E6"/>
    <w:rsid w:val="00A82F01"/>
    <w:rsid w:val="00A82F9D"/>
    <w:rsid w:val="00A83D2C"/>
    <w:rsid w:val="00A846C2"/>
    <w:rsid w:val="00A84C6E"/>
    <w:rsid w:val="00A84E5E"/>
    <w:rsid w:val="00A84E9B"/>
    <w:rsid w:val="00A864B4"/>
    <w:rsid w:val="00A86606"/>
    <w:rsid w:val="00A868A4"/>
    <w:rsid w:val="00A86C16"/>
    <w:rsid w:val="00A87486"/>
    <w:rsid w:val="00A878E1"/>
    <w:rsid w:val="00A87CB8"/>
    <w:rsid w:val="00A90744"/>
    <w:rsid w:val="00A90AA8"/>
    <w:rsid w:val="00A91723"/>
    <w:rsid w:val="00A91CE2"/>
    <w:rsid w:val="00A929FA"/>
    <w:rsid w:val="00A93704"/>
    <w:rsid w:val="00A93AA2"/>
    <w:rsid w:val="00A93BF9"/>
    <w:rsid w:val="00A93E26"/>
    <w:rsid w:val="00A94597"/>
    <w:rsid w:val="00A9593B"/>
    <w:rsid w:val="00AA049F"/>
    <w:rsid w:val="00AA1371"/>
    <w:rsid w:val="00AA2560"/>
    <w:rsid w:val="00AA2929"/>
    <w:rsid w:val="00AA2EB2"/>
    <w:rsid w:val="00AA32C7"/>
    <w:rsid w:val="00AA3F98"/>
    <w:rsid w:val="00AA40B4"/>
    <w:rsid w:val="00AA4789"/>
    <w:rsid w:val="00AA4FA9"/>
    <w:rsid w:val="00AA6B4C"/>
    <w:rsid w:val="00AA7248"/>
    <w:rsid w:val="00AA7863"/>
    <w:rsid w:val="00AB05A7"/>
    <w:rsid w:val="00AB1ABA"/>
    <w:rsid w:val="00AB1EC3"/>
    <w:rsid w:val="00AB2300"/>
    <w:rsid w:val="00AB3DA3"/>
    <w:rsid w:val="00AB491B"/>
    <w:rsid w:val="00AB4B67"/>
    <w:rsid w:val="00AB5AFB"/>
    <w:rsid w:val="00AB5EC2"/>
    <w:rsid w:val="00AB6AE9"/>
    <w:rsid w:val="00AB7D8A"/>
    <w:rsid w:val="00AC0327"/>
    <w:rsid w:val="00AC0350"/>
    <w:rsid w:val="00AC05C7"/>
    <w:rsid w:val="00AC0BF8"/>
    <w:rsid w:val="00AC165C"/>
    <w:rsid w:val="00AC3457"/>
    <w:rsid w:val="00AC3512"/>
    <w:rsid w:val="00AC48F0"/>
    <w:rsid w:val="00AC62B8"/>
    <w:rsid w:val="00AC62EB"/>
    <w:rsid w:val="00AC6E5A"/>
    <w:rsid w:val="00AC72FF"/>
    <w:rsid w:val="00AD0E67"/>
    <w:rsid w:val="00AD0EAE"/>
    <w:rsid w:val="00AD118D"/>
    <w:rsid w:val="00AD1CBB"/>
    <w:rsid w:val="00AD29A5"/>
    <w:rsid w:val="00AD29DD"/>
    <w:rsid w:val="00AD31BC"/>
    <w:rsid w:val="00AD4720"/>
    <w:rsid w:val="00AD67BA"/>
    <w:rsid w:val="00AD67EC"/>
    <w:rsid w:val="00AD6B59"/>
    <w:rsid w:val="00AD7395"/>
    <w:rsid w:val="00AD79BC"/>
    <w:rsid w:val="00AD7C0A"/>
    <w:rsid w:val="00AE07B9"/>
    <w:rsid w:val="00AE109D"/>
    <w:rsid w:val="00AE17A5"/>
    <w:rsid w:val="00AE187F"/>
    <w:rsid w:val="00AE1C80"/>
    <w:rsid w:val="00AE25F1"/>
    <w:rsid w:val="00AE2B69"/>
    <w:rsid w:val="00AE2BC0"/>
    <w:rsid w:val="00AE2C06"/>
    <w:rsid w:val="00AE474B"/>
    <w:rsid w:val="00AE54AA"/>
    <w:rsid w:val="00AE573D"/>
    <w:rsid w:val="00AE5A7E"/>
    <w:rsid w:val="00AE6CED"/>
    <w:rsid w:val="00AE7155"/>
    <w:rsid w:val="00AE7616"/>
    <w:rsid w:val="00AF016B"/>
    <w:rsid w:val="00AF019F"/>
    <w:rsid w:val="00AF0A41"/>
    <w:rsid w:val="00AF0D34"/>
    <w:rsid w:val="00AF0E85"/>
    <w:rsid w:val="00AF376B"/>
    <w:rsid w:val="00AF4484"/>
    <w:rsid w:val="00AF4B15"/>
    <w:rsid w:val="00AF508C"/>
    <w:rsid w:val="00AF5A62"/>
    <w:rsid w:val="00AF61B6"/>
    <w:rsid w:val="00AF63F0"/>
    <w:rsid w:val="00AF6733"/>
    <w:rsid w:val="00AF6DFA"/>
    <w:rsid w:val="00AF7496"/>
    <w:rsid w:val="00B004D7"/>
    <w:rsid w:val="00B0188C"/>
    <w:rsid w:val="00B02257"/>
    <w:rsid w:val="00B0254F"/>
    <w:rsid w:val="00B03A3E"/>
    <w:rsid w:val="00B03A81"/>
    <w:rsid w:val="00B050D1"/>
    <w:rsid w:val="00B05E11"/>
    <w:rsid w:val="00B06BFD"/>
    <w:rsid w:val="00B0732C"/>
    <w:rsid w:val="00B07A4F"/>
    <w:rsid w:val="00B10041"/>
    <w:rsid w:val="00B11CA8"/>
    <w:rsid w:val="00B11D69"/>
    <w:rsid w:val="00B13C06"/>
    <w:rsid w:val="00B13EA2"/>
    <w:rsid w:val="00B149EC"/>
    <w:rsid w:val="00B158B5"/>
    <w:rsid w:val="00B162F4"/>
    <w:rsid w:val="00B1671D"/>
    <w:rsid w:val="00B17161"/>
    <w:rsid w:val="00B17238"/>
    <w:rsid w:val="00B17C4E"/>
    <w:rsid w:val="00B17EAD"/>
    <w:rsid w:val="00B201B9"/>
    <w:rsid w:val="00B202F6"/>
    <w:rsid w:val="00B20699"/>
    <w:rsid w:val="00B20E79"/>
    <w:rsid w:val="00B220D2"/>
    <w:rsid w:val="00B242D6"/>
    <w:rsid w:val="00B24A24"/>
    <w:rsid w:val="00B250C6"/>
    <w:rsid w:val="00B25193"/>
    <w:rsid w:val="00B25294"/>
    <w:rsid w:val="00B27104"/>
    <w:rsid w:val="00B27494"/>
    <w:rsid w:val="00B276F8"/>
    <w:rsid w:val="00B27827"/>
    <w:rsid w:val="00B3123A"/>
    <w:rsid w:val="00B3229C"/>
    <w:rsid w:val="00B3282F"/>
    <w:rsid w:val="00B32E88"/>
    <w:rsid w:val="00B330BA"/>
    <w:rsid w:val="00B338AF"/>
    <w:rsid w:val="00B33EAC"/>
    <w:rsid w:val="00B33F41"/>
    <w:rsid w:val="00B3414E"/>
    <w:rsid w:val="00B36030"/>
    <w:rsid w:val="00B36C2B"/>
    <w:rsid w:val="00B36F8A"/>
    <w:rsid w:val="00B37384"/>
    <w:rsid w:val="00B3774B"/>
    <w:rsid w:val="00B3783E"/>
    <w:rsid w:val="00B37D1D"/>
    <w:rsid w:val="00B37F6B"/>
    <w:rsid w:val="00B402C9"/>
    <w:rsid w:val="00B40496"/>
    <w:rsid w:val="00B41034"/>
    <w:rsid w:val="00B41043"/>
    <w:rsid w:val="00B4210B"/>
    <w:rsid w:val="00B432E3"/>
    <w:rsid w:val="00B43ED9"/>
    <w:rsid w:val="00B44E14"/>
    <w:rsid w:val="00B45153"/>
    <w:rsid w:val="00B45689"/>
    <w:rsid w:val="00B45AB2"/>
    <w:rsid w:val="00B45DB5"/>
    <w:rsid w:val="00B4627F"/>
    <w:rsid w:val="00B466C1"/>
    <w:rsid w:val="00B46857"/>
    <w:rsid w:val="00B46EEF"/>
    <w:rsid w:val="00B47598"/>
    <w:rsid w:val="00B477A5"/>
    <w:rsid w:val="00B47E9E"/>
    <w:rsid w:val="00B501ED"/>
    <w:rsid w:val="00B5152E"/>
    <w:rsid w:val="00B51CA1"/>
    <w:rsid w:val="00B51CB3"/>
    <w:rsid w:val="00B51E38"/>
    <w:rsid w:val="00B52025"/>
    <w:rsid w:val="00B524AB"/>
    <w:rsid w:val="00B52769"/>
    <w:rsid w:val="00B540E5"/>
    <w:rsid w:val="00B548B7"/>
    <w:rsid w:val="00B55AB5"/>
    <w:rsid w:val="00B55F74"/>
    <w:rsid w:val="00B56D0E"/>
    <w:rsid w:val="00B57102"/>
    <w:rsid w:val="00B62717"/>
    <w:rsid w:val="00B6296D"/>
    <w:rsid w:val="00B63330"/>
    <w:rsid w:val="00B634E6"/>
    <w:rsid w:val="00B63B2A"/>
    <w:rsid w:val="00B65753"/>
    <w:rsid w:val="00B65766"/>
    <w:rsid w:val="00B6587B"/>
    <w:rsid w:val="00B65AB4"/>
    <w:rsid w:val="00B66E02"/>
    <w:rsid w:val="00B67184"/>
    <w:rsid w:val="00B676A8"/>
    <w:rsid w:val="00B677B1"/>
    <w:rsid w:val="00B67B89"/>
    <w:rsid w:val="00B70513"/>
    <w:rsid w:val="00B70A2E"/>
    <w:rsid w:val="00B711B2"/>
    <w:rsid w:val="00B7133E"/>
    <w:rsid w:val="00B717B0"/>
    <w:rsid w:val="00B72429"/>
    <w:rsid w:val="00B727AA"/>
    <w:rsid w:val="00B72C04"/>
    <w:rsid w:val="00B73DC1"/>
    <w:rsid w:val="00B741BF"/>
    <w:rsid w:val="00B7503F"/>
    <w:rsid w:val="00B753EB"/>
    <w:rsid w:val="00B767FC"/>
    <w:rsid w:val="00B775F5"/>
    <w:rsid w:val="00B777ED"/>
    <w:rsid w:val="00B77974"/>
    <w:rsid w:val="00B82538"/>
    <w:rsid w:val="00B8254B"/>
    <w:rsid w:val="00B826F0"/>
    <w:rsid w:val="00B82B58"/>
    <w:rsid w:val="00B82CC9"/>
    <w:rsid w:val="00B8310B"/>
    <w:rsid w:val="00B83414"/>
    <w:rsid w:val="00B83EF5"/>
    <w:rsid w:val="00B83FDC"/>
    <w:rsid w:val="00B840B3"/>
    <w:rsid w:val="00B847BA"/>
    <w:rsid w:val="00B849A7"/>
    <w:rsid w:val="00B84DB0"/>
    <w:rsid w:val="00B85F8E"/>
    <w:rsid w:val="00B871A5"/>
    <w:rsid w:val="00B87BC9"/>
    <w:rsid w:val="00B9117B"/>
    <w:rsid w:val="00B91886"/>
    <w:rsid w:val="00B93555"/>
    <w:rsid w:val="00B941DD"/>
    <w:rsid w:val="00B947F2"/>
    <w:rsid w:val="00B94A72"/>
    <w:rsid w:val="00B94D65"/>
    <w:rsid w:val="00B94F27"/>
    <w:rsid w:val="00B95197"/>
    <w:rsid w:val="00B97259"/>
    <w:rsid w:val="00BA04E4"/>
    <w:rsid w:val="00BA08B8"/>
    <w:rsid w:val="00BA0E0E"/>
    <w:rsid w:val="00BA17D0"/>
    <w:rsid w:val="00BA268B"/>
    <w:rsid w:val="00BA2AD6"/>
    <w:rsid w:val="00BA2E47"/>
    <w:rsid w:val="00BA2E62"/>
    <w:rsid w:val="00BA3425"/>
    <w:rsid w:val="00BA3EC4"/>
    <w:rsid w:val="00BA410E"/>
    <w:rsid w:val="00BA4ABD"/>
    <w:rsid w:val="00BA4C30"/>
    <w:rsid w:val="00BA5065"/>
    <w:rsid w:val="00BA5558"/>
    <w:rsid w:val="00BA6A48"/>
    <w:rsid w:val="00BA6A9D"/>
    <w:rsid w:val="00BA7078"/>
    <w:rsid w:val="00BA7A16"/>
    <w:rsid w:val="00BB161F"/>
    <w:rsid w:val="00BB162C"/>
    <w:rsid w:val="00BB1BEA"/>
    <w:rsid w:val="00BB1BF3"/>
    <w:rsid w:val="00BB238A"/>
    <w:rsid w:val="00BB2619"/>
    <w:rsid w:val="00BB2E6C"/>
    <w:rsid w:val="00BB2E89"/>
    <w:rsid w:val="00BB3DBC"/>
    <w:rsid w:val="00BB495B"/>
    <w:rsid w:val="00BB5EAF"/>
    <w:rsid w:val="00BB5EF4"/>
    <w:rsid w:val="00BB625B"/>
    <w:rsid w:val="00BB6269"/>
    <w:rsid w:val="00BB6C98"/>
    <w:rsid w:val="00BB72FB"/>
    <w:rsid w:val="00BB79B6"/>
    <w:rsid w:val="00BC0901"/>
    <w:rsid w:val="00BC0A76"/>
    <w:rsid w:val="00BC162A"/>
    <w:rsid w:val="00BC16D1"/>
    <w:rsid w:val="00BC20B3"/>
    <w:rsid w:val="00BC2367"/>
    <w:rsid w:val="00BC2411"/>
    <w:rsid w:val="00BC29A3"/>
    <w:rsid w:val="00BC29DC"/>
    <w:rsid w:val="00BC3CB0"/>
    <w:rsid w:val="00BC3E7C"/>
    <w:rsid w:val="00BC3F58"/>
    <w:rsid w:val="00BC495E"/>
    <w:rsid w:val="00BC5756"/>
    <w:rsid w:val="00BC60E9"/>
    <w:rsid w:val="00BC6F85"/>
    <w:rsid w:val="00BD1B57"/>
    <w:rsid w:val="00BD3292"/>
    <w:rsid w:val="00BD48E8"/>
    <w:rsid w:val="00BD51A5"/>
    <w:rsid w:val="00BD54B3"/>
    <w:rsid w:val="00BD59CB"/>
    <w:rsid w:val="00BD5B59"/>
    <w:rsid w:val="00BD6089"/>
    <w:rsid w:val="00BD62A1"/>
    <w:rsid w:val="00BD6669"/>
    <w:rsid w:val="00BD671B"/>
    <w:rsid w:val="00BD76E3"/>
    <w:rsid w:val="00BE00C6"/>
    <w:rsid w:val="00BE00D1"/>
    <w:rsid w:val="00BE080C"/>
    <w:rsid w:val="00BE1B46"/>
    <w:rsid w:val="00BE1C06"/>
    <w:rsid w:val="00BE284D"/>
    <w:rsid w:val="00BE30D3"/>
    <w:rsid w:val="00BE397E"/>
    <w:rsid w:val="00BE436A"/>
    <w:rsid w:val="00BE4DD5"/>
    <w:rsid w:val="00BE55F8"/>
    <w:rsid w:val="00BE5B62"/>
    <w:rsid w:val="00BE6455"/>
    <w:rsid w:val="00BE67CB"/>
    <w:rsid w:val="00BE774C"/>
    <w:rsid w:val="00BF0360"/>
    <w:rsid w:val="00BF080F"/>
    <w:rsid w:val="00BF191E"/>
    <w:rsid w:val="00BF21E1"/>
    <w:rsid w:val="00BF26B1"/>
    <w:rsid w:val="00BF2EC7"/>
    <w:rsid w:val="00BF2F22"/>
    <w:rsid w:val="00BF3248"/>
    <w:rsid w:val="00BF4D6B"/>
    <w:rsid w:val="00BF5193"/>
    <w:rsid w:val="00BF66AC"/>
    <w:rsid w:val="00BF6929"/>
    <w:rsid w:val="00BF709B"/>
    <w:rsid w:val="00BF7D8B"/>
    <w:rsid w:val="00C016DD"/>
    <w:rsid w:val="00C0236C"/>
    <w:rsid w:val="00C028F0"/>
    <w:rsid w:val="00C03405"/>
    <w:rsid w:val="00C037E4"/>
    <w:rsid w:val="00C03C6D"/>
    <w:rsid w:val="00C057E9"/>
    <w:rsid w:val="00C065A1"/>
    <w:rsid w:val="00C06714"/>
    <w:rsid w:val="00C07A07"/>
    <w:rsid w:val="00C07D65"/>
    <w:rsid w:val="00C10515"/>
    <w:rsid w:val="00C1144A"/>
    <w:rsid w:val="00C117A1"/>
    <w:rsid w:val="00C13011"/>
    <w:rsid w:val="00C1403F"/>
    <w:rsid w:val="00C1460A"/>
    <w:rsid w:val="00C14E49"/>
    <w:rsid w:val="00C15A75"/>
    <w:rsid w:val="00C16E3A"/>
    <w:rsid w:val="00C20DD1"/>
    <w:rsid w:val="00C2107C"/>
    <w:rsid w:val="00C21476"/>
    <w:rsid w:val="00C2150B"/>
    <w:rsid w:val="00C22476"/>
    <w:rsid w:val="00C22A30"/>
    <w:rsid w:val="00C23491"/>
    <w:rsid w:val="00C23740"/>
    <w:rsid w:val="00C2404E"/>
    <w:rsid w:val="00C24A96"/>
    <w:rsid w:val="00C26EFD"/>
    <w:rsid w:val="00C2703D"/>
    <w:rsid w:val="00C275B4"/>
    <w:rsid w:val="00C275D7"/>
    <w:rsid w:val="00C276BC"/>
    <w:rsid w:val="00C307E8"/>
    <w:rsid w:val="00C30D5D"/>
    <w:rsid w:val="00C324D9"/>
    <w:rsid w:val="00C32569"/>
    <w:rsid w:val="00C32971"/>
    <w:rsid w:val="00C32A9D"/>
    <w:rsid w:val="00C3327D"/>
    <w:rsid w:val="00C338D9"/>
    <w:rsid w:val="00C341C7"/>
    <w:rsid w:val="00C341F7"/>
    <w:rsid w:val="00C34A30"/>
    <w:rsid w:val="00C36E16"/>
    <w:rsid w:val="00C3724B"/>
    <w:rsid w:val="00C41072"/>
    <w:rsid w:val="00C41A90"/>
    <w:rsid w:val="00C41FFD"/>
    <w:rsid w:val="00C420AC"/>
    <w:rsid w:val="00C433B1"/>
    <w:rsid w:val="00C43C75"/>
    <w:rsid w:val="00C4479A"/>
    <w:rsid w:val="00C44F25"/>
    <w:rsid w:val="00C45608"/>
    <w:rsid w:val="00C46FD6"/>
    <w:rsid w:val="00C5080F"/>
    <w:rsid w:val="00C51270"/>
    <w:rsid w:val="00C51305"/>
    <w:rsid w:val="00C51598"/>
    <w:rsid w:val="00C52953"/>
    <w:rsid w:val="00C52E4F"/>
    <w:rsid w:val="00C5320C"/>
    <w:rsid w:val="00C54B2F"/>
    <w:rsid w:val="00C54EAE"/>
    <w:rsid w:val="00C55AE7"/>
    <w:rsid w:val="00C57246"/>
    <w:rsid w:val="00C57A19"/>
    <w:rsid w:val="00C6042F"/>
    <w:rsid w:val="00C61CC8"/>
    <w:rsid w:val="00C62684"/>
    <w:rsid w:val="00C628CB"/>
    <w:rsid w:val="00C63058"/>
    <w:rsid w:val="00C6322F"/>
    <w:rsid w:val="00C63539"/>
    <w:rsid w:val="00C6373F"/>
    <w:rsid w:val="00C64491"/>
    <w:rsid w:val="00C64C0A"/>
    <w:rsid w:val="00C65DD7"/>
    <w:rsid w:val="00C65FCD"/>
    <w:rsid w:val="00C6617C"/>
    <w:rsid w:val="00C66B8F"/>
    <w:rsid w:val="00C66BF1"/>
    <w:rsid w:val="00C671B5"/>
    <w:rsid w:val="00C705E1"/>
    <w:rsid w:val="00C711F1"/>
    <w:rsid w:val="00C7173E"/>
    <w:rsid w:val="00C718A8"/>
    <w:rsid w:val="00C71EDD"/>
    <w:rsid w:val="00C726D3"/>
    <w:rsid w:val="00C73205"/>
    <w:rsid w:val="00C736E7"/>
    <w:rsid w:val="00C73CA5"/>
    <w:rsid w:val="00C73D18"/>
    <w:rsid w:val="00C743DE"/>
    <w:rsid w:val="00C75626"/>
    <w:rsid w:val="00C75BB0"/>
    <w:rsid w:val="00C76A29"/>
    <w:rsid w:val="00C76D3D"/>
    <w:rsid w:val="00C80175"/>
    <w:rsid w:val="00C81CF2"/>
    <w:rsid w:val="00C81FA3"/>
    <w:rsid w:val="00C82413"/>
    <w:rsid w:val="00C82935"/>
    <w:rsid w:val="00C82D0D"/>
    <w:rsid w:val="00C8335D"/>
    <w:rsid w:val="00C84750"/>
    <w:rsid w:val="00C84754"/>
    <w:rsid w:val="00C847E0"/>
    <w:rsid w:val="00C848D9"/>
    <w:rsid w:val="00C85023"/>
    <w:rsid w:val="00C8622D"/>
    <w:rsid w:val="00C87350"/>
    <w:rsid w:val="00C8777A"/>
    <w:rsid w:val="00C8794E"/>
    <w:rsid w:val="00C910FA"/>
    <w:rsid w:val="00C911DC"/>
    <w:rsid w:val="00C913A0"/>
    <w:rsid w:val="00C93DEB"/>
    <w:rsid w:val="00C946CC"/>
    <w:rsid w:val="00C954F5"/>
    <w:rsid w:val="00C95587"/>
    <w:rsid w:val="00C95DA2"/>
    <w:rsid w:val="00C961E9"/>
    <w:rsid w:val="00C962A3"/>
    <w:rsid w:val="00C96DF2"/>
    <w:rsid w:val="00C97D78"/>
    <w:rsid w:val="00CA0619"/>
    <w:rsid w:val="00CA10CE"/>
    <w:rsid w:val="00CA206E"/>
    <w:rsid w:val="00CA2102"/>
    <w:rsid w:val="00CA25F5"/>
    <w:rsid w:val="00CA3DB8"/>
    <w:rsid w:val="00CA4D7E"/>
    <w:rsid w:val="00CA51DB"/>
    <w:rsid w:val="00CA752E"/>
    <w:rsid w:val="00CA7A73"/>
    <w:rsid w:val="00CB072B"/>
    <w:rsid w:val="00CB09DC"/>
    <w:rsid w:val="00CB0E85"/>
    <w:rsid w:val="00CB0F20"/>
    <w:rsid w:val="00CB1A1F"/>
    <w:rsid w:val="00CB303C"/>
    <w:rsid w:val="00CB3E66"/>
    <w:rsid w:val="00CB42A1"/>
    <w:rsid w:val="00CB5528"/>
    <w:rsid w:val="00CB5935"/>
    <w:rsid w:val="00CB5C1A"/>
    <w:rsid w:val="00CC1DF2"/>
    <w:rsid w:val="00CC1EC3"/>
    <w:rsid w:val="00CC2BF7"/>
    <w:rsid w:val="00CC7A9E"/>
    <w:rsid w:val="00CD0C0C"/>
    <w:rsid w:val="00CD2D89"/>
    <w:rsid w:val="00CD31CA"/>
    <w:rsid w:val="00CD333B"/>
    <w:rsid w:val="00CD3A44"/>
    <w:rsid w:val="00CD3CD6"/>
    <w:rsid w:val="00CD420E"/>
    <w:rsid w:val="00CD6883"/>
    <w:rsid w:val="00CD6BE5"/>
    <w:rsid w:val="00CD6DBE"/>
    <w:rsid w:val="00CE0D67"/>
    <w:rsid w:val="00CE1563"/>
    <w:rsid w:val="00CE1622"/>
    <w:rsid w:val="00CE25A2"/>
    <w:rsid w:val="00CE25C0"/>
    <w:rsid w:val="00CE27FB"/>
    <w:rsid w:val="00CE2A87"/>
    <w:rsid w:val="00CE3DEA"/>
    <w:rsid w:val="00CE3F8F"/>
    <w:rsid w:val="00CE4826"/>
    <w:rsid w:val="00CE4D83"/>
    <w:rsid w:val="00CE6C39"/>
    <w:rsid w:val="00CE7A08"/>
    <w:rsid w:val="00CE7CAE"/>
    <w:rsid w:val="00CE7E5D"/>
    <w:rsid w:val="00CF007B"/>
    <w:rsid w:val="00CF0324"/>
    <w:rsid w:val="00CF0A24"/>
    <w:rsid w:val="00CF1958"/>
    <w:rsid w:val="00CF2396"/>
    <w:rsid w:val="00CF3774"/>
    <w:rsid w:val="00CF3808"/>
    <w:rsid w:val="00CF399B"/>
    <w:rsid w:val="00CF475C"/>
    <w:rsid w:val="00CF49E4"/>
    <w:rsid w:val="00CF4ADB"/>
    <w:rsid w:val="00CF5C4F"/>
    <w:rsid w:val="00CF5E6B"/>
    <w:rsid w:val="00CF6129"/>
    <w:rsid w:val="00CF75D3"/>
    <w:rsid w:val="00CF7A2A"/>
    <w:rsid w:val="00D00D27"/>
    <w:rsid w:val="00D01512"/>
    <w:rsid w:val="00D01F43"/>
    <w:rsid w:val="00D021FA"/>
    <w:rsid w:val="00D022F8"/>
    <w:rsid w:val="00D04119"/>
    <w:rsid w:val="00D06666"/>
    <w:rsid w:val="00D0799B"/>
    <w:rsid w:val="00D07BA5"/>
    <w:rsid w:val="00D10E69"/>
    <w:rsid w:val="00D10E7A"/>
    <w:rsid w:val="00D11F8C"/>
    <w:rsid w:val="00D1357F"/>
    <w:rsid w:val="00D1390A"/>
    <w:rsid w:val="00D1541A"/>
    <w:rsid w:val="00D15613"/>
    <w:rsid w:val="00D157D1"/>
    <w:rsid w:val="00D17130"/>
    <w:rsid w:val="00D17CB8"/>
    <w:rsid w:val="00D20208"/>
    <w:rsid w:val="00D20EAC"/>
    <w:rsid w:val="00D21D7B"/>
    <w:rsid w:val="00D21F9B"/>
    <w:rsid w:val="00D22537"/>
    <w:rsid w:val="00D22541"/>
    <w:rsid w:val="00D23489"/>
    <w:rsid w:val="00D243E6"/>
    <w:rsid w:val="00D257B2"/>
    <w:rsid w:val="00D2599F"/>
    <w:rsid w:val="00D25DD4"/>
    <w:rsid w:val="00D25E78"/>
    <w:rsid w:val="00D25FC9"/>
    <w:rsid w:val="00D26F54"/>
    <w:rsid w:val="00D26FF7"/>
    <w:rsid w:val="00D27368"/>
    <w:rsid w:val="00D30289"/>
    <w:rsid w:val="00D30B13"/>
    <w:rsid w:val="00D30F5B"/>
    <w:rsid w:val="00D31E6D"/>
    <w:rsid w:val="00D327AD"/>
    <w:rsid w:val="00D32AB2"/>
    <w:rsid w:val="00D32ACD"/>
    <w:rsid w:val="00D32B81"/>
    <w:rsid w:val="00D332B8"/>
    <w:rsid w:val="00D33701"/>
    <w:rsid w:val="00D347CC"/>
    <w:rsid w:val="00D34C0F"/>
    <w:rsid w:val="00D35500"/>
    <w:rsid w:val="00D35857"/>
    <w:rsid w:val="00D36817"/>
    <w:rsid w:val="00D36823"/>
    <w:rsid w:val="00D36D53"/>
    <w:rsid w:val="00D3724B"/>
    <w:rsid w:val="00D378A3"/>
    <w:rsid w:val="00D37C85"/>
    <w:rsid w:val="00D40341"/>
    <w:rsid w:val="00D40DA2"/>
    <w:rsid w:val="00D41CF9"/>
    <w:rsid w:val="00D42ED6"/>
    <w:rsid w:val="00D431A8"/>
    <w:rsid w:val="00D4393F"/>
    <w:rsid w:val="00D44027"/>
    <w:rsid w:val="00D443D9"/>
    <w:rsid w:val="00D445C0"/>
    <w:rsid w:val="00D449E6"/>
    <w:rsid w:val="00D457BE"/>
    <w:rsid w:val="00D45A91"/>
    <w:rsid w:val="00D45EC9"/>
    <w:rsid w:val="00D462C0"/>
    <w:rsid w:val="00D470F0"/>
    <w:rsid w:val="00D50657"/>
    <w:rsid w:val="00D52E4E"/>
    <w:rsid w:val="00D52EA9"/>
    <w:rsid w:val="00D5317B"/>
    <w:rsid w:val="00D53ED9"/>
    <w:rsid w:val="00D5479A"/>
    <w:rsid w:val="00D5623B"/>
    <w:rsid w:val="00D562F1"/>
    <w:rsid w:val="00D56BCA"/>
    <w:rsid w:val="00D56EBB"/>
    <w:rsid w:val="00D60250"/>
    <w:rsid w:val="00D6147B"/>
    <w:rsid w:val="00D6151E"/>
    <w:rsid w:val="00D61DAC"/>
    <w:rsid w:val="00D628AC"/>
    <w:rsid w:val="00D63606"/>
    <w:rsid w:val="00D63E09"/>
    <w:rsid w:val="00D64FBF"/>
    <w:rsid w:val="00D65CD2"/>
    <w:rsid w:val="00D65D46"/>
    <w:rsid w:val="00D66108"/>
    <w:rsid w:val="00D66901"/>
    <w:rsid w:val="00D6746F"/>
    <w:rsid w:val="00D67D13"/>
    <w:rsid w:val="00D709CA"/>
    <w:rsid w:val="00D70FEE"/>
    <w:rsid w:val="00D71018"/>
    <w:rsid w:val="00D7322B"/>
    <w:rsid w:val="00D7408F"/>
    <w:rsid w:val="00D74621"/>
    <w:rsid w:val="00D75435"/>
    <w:rsid w:val="00D755CA"/>
    <w:rsid w:val="00D758FE"/>
    <w:rsid w:val="00D76BAA"/>
    <w:rsid w:val="00D779D6"/>
    <w:rsid w:val="00D77A16"/>
    <w:rsid w:val="00D77A8E"/>
    <w:rsid w:val="00D80604"/>
    <w:rsid w:val="00D80995"/>
    <w:rsid w:val="00D81651"/>
    <w:rsid w:val="00D82EFD"/>
    <w:rsid w:val="00D8324A"/>
    <w:rsid w:val="00D835E4"/>
    <w:rsid w:val="00D84B2C"/>
    <w:rsid w:val="00D84D3B"/>
    <w:rsid w:val="00D85866"/>
    <w:rsid w:val="00D8609A"/>
    <w:rsid w:val="00D861AD"/>
    <w:rsid w:val="00D86759"/>
    <w:rsid w:val="00D874EB"/>
    <w:rsid w:val="00D87DD2"/>
    <w:rsid w:val="00D900CD"/>
    <w:rsid w:val="00D909B6"/>
    <w:rsid w:val="00D90D28"/>
    <w:rsid w:val="00D916AF"/>
    <w:rsid w:val="00D91B1F"/>
    <w:rsid w:val="00D92406"/>
    <w:rsid w:val="00D92A8D"/>
    <w:rsid w:val="00D92E33"/>
    <w:rsid w:val="00D92F51"/>
    <w:rsid w:val="00D92F6E"/>
    <w:rsid w:val="00D9421E"/>
    <w:rsid w:val="00D946EE"/>
    <w:rsid w:val="00D947EF"/>
    <w:rsid w:val="00D957E5"/>
    <w:rsid w:val="00D9632D"/>
    <w:rsid w:val="00D96D2C"/>
    <w:rsid w:val="00D96EEC"/>
    <w:rsid w:val="00D97542"/>
    <w:rsid w:val="00DA021A"/>
    <w:rsid w:val="00DA02E1"/>
    <w:rsid w:val="00DA09A5"/>
    <w:rsid w:val="00DA1796"/>
    <w:rsid w:val="00DA1BB2"/>
    <w:rsid w:val="00DA1E72"/>
    <w:rsid w:val="00DA21B6"/>
    <w:rsid w:val="00DA2C41"/>
    <w:rsid w:val="00DA33D2"/>
    <w:rsid w:val="00DA39CE"/>
    <w:rsid w:val="00DA3BBE"/>
    <w:rsid w:val="00DA546C"/>
    <w:rsid w:val="00DA5FEF"/>
    <w:rsid w:val="00DA6CD6"/>
    <w:rsid w:val="00DA7B3B"/>
    <w:rsid w:val="00DA7B50"/>
    <w:rsid w:val="00DB01C2"/>
    <w:rsid w:val="00DB1207"/>
    <w:rsid w:val="00DB122B"/>
    <w:rsid w:val="00DB129F"/>
    <w:rsid w:val="00DB170B"/>
    <w:rsid w:val="00DB19F8"/>
    <w:rsid w:val="00DB2317"/>
    <w:rsid w:val="00DB2464"/>
    <w:rsid w:val="00DB25A6"/>
    <w:rsid w:val="00DB2ACD"/>
    <w:rsid w:val="00DB37C4"/>
    <w:rsid w:val="00DB3E32"/>
    <w:rsid w:val="00DB413B"/>
    <w:rsid w:val="00DB4626"/>
    <w:rsid w:val="00DB648A"/>
    <w:rsid w:val="00DB6518"/>
    <w:rsid w:val="00DB7302"/>
    <w:rsid w:val="00DB7E80"/>
    <w:rsid w:val="00DC0368"/>
    <w:rsid w:val="00DC07DD"/>
    <w:rsid w:val="00DC1E64"/>
    <w:rsid w:val="00DC1EC2"/>
    <w:rsid w:val="00DC222C"/>
    <w:rsid w:val="00DC2515"/>
    <w:rsid w:val="00DC2F9F"/>
    <w:rsid w:val="00DC311A"/>
    <w:rsid w:val="00DC3272"/>
    <w:rsid w:val="00DC3D17"/>
    <w:rsid w:val="00DC3D95"/>
    <w:rsid w:val="00DC3FED"/>
    <w:rsid w:val="00DC4AAC"/>
    <w:rsid w:val="00DC54C8"/>
    <w:rsid w:val="00DC59C3"/>
    <w:rsid w:val="00DC5D2A"/>
    <w:rsid w:val="00DC64DD"/>
    <w:rsid w:val="00DC6A2E"/>
    <w:rsid w:val="00DD082D"/>
    <w:rsid w:val="00DD0F75"/>
    <w:rsid w:val="00DD208A"/>
    <w:rsid w:val="00DD2286"/>
    <w:rsid w:val="00DD29D1"/>
    <w:rsid w:val="00DD58BA"/>
    <w:rsid w:val="00DD5A5B"/>
    <w:rsid w:val="00DD6B0A"/>
    <w:rsid w:val="00DD71CA"/>
    <w:rsid w:val="00DD74D5"/>
    <w:rsid w:val="00DD767F"/>
    <w:rsid w:val="00DD78A7"/>
    <w:rsid w:val="00DE0100"/>
    <w:rsid w:val="00DE0A88"/>
    <w:rsid w:val="00DE14F9"/>
    <w:rsid w:val="00DE17A1"/>
    <w:rsid w:val="00DE184A"/>
    <w:rsid w:val="00DE1D29"/>
    <w:rsid w:val="00DE2E46"/>
    <w:rsid w:val="00DE32FD"/>
    <w:rsid w:val="00DE392F"/>
    <w:rsid w:val="00DE4099"/>
    <w:rsid w:val="00DE454D"/>
    <w:rsid w:val="00DE4784"/>
    <w:rsid w:val="00DE5BE6"/>
    <w:rsid w:val="00DE61AB"/>
    <w:rsid w:val="00DE68DF"/>
    <w:rsid w:val="00DE7D55"/>
    <w:rsid w:val="00DF0D02"/>
    <w:rsid w:val="00DF19A6"/>
    <w:rsid w:val="00DF31E2"/>
    <w:rsid w:val="00DF32D5"/>
    <w:rsid w:val="00DF4790"/>
    <w:rsid w:val="00DF5B84"/>
    <w:rsid w:val="00DF653A"/>
    <w:rsid w:val="00DF6AA7"/>
    <w:rsid w:val="00DF6D1D"/>
    <w:rsid w:val="00DF7077"/>
    <w:rsid w:val="00DF7607"/>
    <w:rsid w:val="00E00B0E"/>
    <w:rsid w:val="00E01007"/>
    <w:rsid w:val="00E0111B"/>
    <w:rsid w:val="00E01881"/>
    <w:rsid w:val="00E023EF"/>
    <w:rsid w:val="00E02541"/>
    <w:rsid w:val="00E02A7E"/>
    <w:rsid w:val="00E03A15"/>
    <w:rsid w:val="00E03BAC"/>
    <w:rsid w:val="00E06811"/>
    <w:rsid w:val="00E06CC6"/>
    <w:rsid w:val="00E1033E"/>
    <w:rsid w:val="00E10F26"/>
    <w:rsid w:val="00E13EA6"/>
    <w:rsid w:val="00E1494E"/>
    <w:rsid w:val="00E14A62"/>
    <w:rsid w:val="00E14BE9"/>
    <w:rsid w:val="00E14EFB"/>
    <w:rsid w:val="00E154E1"/>
    <w:rsid w:val="00E16434"/>
    <w:rsid w:val="00E16F68"/>
    <w:rsid w:val="00E1717B"/>
    <w:rsid w:val="00E17712"/>
    <w:rsid w:val="00E17B97"/>
    <w:rsid w:val="00E17DB0"/>
    <w:rsid w:val="00E201ED"/>
    <w:rsid w:val="00E208C7"/>
    <w:rsid w:val="00E222A0"/>
    <w:rsid w:val="00E22F35"/>
    <w:rsid w:val="00E23FED"/>
    <w:rsid w:val="00E248AB"/>
    <w:rsid w:val="00E2544E"/>
    <w:rsid w:val="00E25F4D"/>
    <w:rsid w:val="00E265E5"/>
    <w:rsid w:val="00E26D8C"/>
    <w:rsid w:val="00E27130"/>
    <w:rsid w:val="00E27D0F"/>
    <w:rsid w:val="00E300B6"/>
    <w:rsid w:val="00E302AD"/>
    <w:rsid w:val="00E31660"/>
    <w:rsid w:val="00E3348B"/>
    <w:rsid w:val="00E34332"/>
    <w:rsid w:val="00E34733"/>
    <w:rsid w:val="00E34A17"/>
    <w:rsid w:val="00E350AE"/>
    <w:rsid w:val="00E35377"/>
    <w:rsid w:val="00E35D9B"/>
    <w:rsid w:val="00E3684E"/>
    <w:rsid w:val="00E373AD"/>
    <w:rsid w:val="00E3749D"/>
    <w:rsid w:val="00E40A51"/>
    <w:rsid w:val="00E40D70"/>
    <w:rsid w:val="00E4236B"/>
    <w:rsid w:val="00E42A6F"/>
    <w:rsid w:val="00E43A8F"/>
    <w:rsid w:val="00E45748"/>
    <w:rsid w:val="00E457C6"/>
    <w:rsid w:val="00E45A8D"/>
    <w:rsid w:val="00E47549"/>
    <w:rsid w:val="00E476B5"/>
    <w:rsid w:val="00E51271"/>
    <w:rsid w:val="00E515CE"/>
    <w:rsid w:val="00E5279F"/>
    <w:rsid w:val="00E53093"/>
    <w:rsid w:val="00E5320B"/>
    <w:rsid w:val="00E53B2A"/>
    <w:rsid w:val="00E54049"/>
    <w:rsid w:val="00E54365"/>
    <w:rsid w:val="00E547F6"/>
    <w:rsid w:val="00E5491A"/>
    <w:rsid w:val="00E54A4D"/>
    <w:rsid w:val="00E55556"/>
    <w:rsid w:val="00E55CA3"/>
    <w:rsid w:val="00E56C33"/>
    <w:rsid w:val="00E575C0"/>
    <w:rsid w:val="00E57632"/>
    <w:rsid w:val="00E57C84"/>
    <w:rsid w:val="00E60611"/>
    <w:rsid w:val="00E617CF"/>
    <w:rsid w:val="00E6216B"/>
    <w:rsid w:val="00E62B09"/>
    <w:rsid w:val="00E62B67"/>
    <w:rsid w:val="00E62F1E"/>
    <w:rsid w:val="00E6301A"/>
    <w:rsid w:val="00E63DDE"/>
    <w:rsid w:val="00E65793"/>
    <w:rsid w:val="00E668C1"/>
    <w:rsid w:val="00E67140"/>
    <w:rsid w:val="00E7057A"/>
    <w:rsid w:val="00E71A1B"/>
    <w:rsid w:val="00E72889"/>
    <w:rsid w:val="00E729F1"/>
    <w:rsid w:val="00E739FC"/>
    <w:rsid w:val="00E741BC"/>
    <w:rsid w:val="00E75C8F"/>
    <w:rsid w:val="00E7654A"/>
    <w:rsid w:val="00E76A11"/>
    <w:rsid w:val="00E770C0"/>
    <w:rsid w:val="00E77354"/>
    <w:rsid w:val="00E77F51"/>
    <w:rsid w:val="00E80EC3"/>
    <w:rsid w:val="00E8266A"/>
    <w:rsid w:val="00E82E5E"/>
    <w:rsid w:val="00E83D2F"/>
    <w:rsid w:val="00E84641"/>
    <w:rsid w:val="00E8473C"/>
    <w:rsid w:val="00E851A3"/>
    <w:rsid w:val="00E86113"/>
    <w:rsid w:val="00E86C8C"/>
    <w:rsid w:val="00E86FB1"/>
    <w:rsid w:val="00E874ED"/>
    <w:rsid w:val="00E90D8F"/>
    <w:rsid w:val="00E913B4"/>
    <w:rsid w:val="00E921C2"/>
    <w:rsid w:val="00E92EA1"/>
    <w:rsid w:val="00E93032"/>
    <w:rsid w:val="00E936AE"/>
    <w:rsid w:val="00E9560A"/>
    <w:rsid w:val="00E956A2"/>
    <w:rsid w:val="00E956C6"/>
    <w:rsid w:val="00E957B8"/>
    <w:rsid w:val="00E95CC7"/>
    <w:rsid w:val="00E95D71"/>
    <w:rsid w:val="00E96313"/>
    <w:rsid w:val="00E96ED5"/>
    <w:rsid w:val="00E978A4"/>
    <w:rsid w:val="00E979AE"/>
    <w:rsid w:val="00E97A6B"/>
    <w:rsid w:val="00E97D10"/>
    <w:rsid w:val="00EA038D"/>
    <w:rsid w:val="00EA04B3"/>
    <w:rsid w:val="00EA2EBE"/>
    <w:rsid w:val="00EA37AA"/>
    <w:rsid w:val="00EA4A70"/>
    <w:rsid w:val="00EA536D"/>
    <w:rsid w:val="00EA54ED"/>
    <w:rsid w:val="00EA5C2F"/>
    <w:rsid w:val="00EA5CC3"/>
    <w:rsid w:val="00EA6A2B"/>
    <w:rsid w:val="00EA72A6"/>
    <w:rsid w:val="00EA76F9"/>
    <w:rsid w:val="00EA77F5"/>
    <w:rsid w:val="00EA78DB"/>
    <w:rsid w:val="00EB0F57"/>
    <w:rsid w:val="00EB1DEE"/>
    <w:rsid w:val="00EB1EEF"/>
    <w:rsid w:val="00EB1F49"/>
    <w:rsid w:val="00EB354D"/>
    <w:rsid w:val="00EB3926"/>
    <w:rsid w:val="00EB3DBB"/>
    <w:rsid w:val="00EB48DA"/>
    <w:rsid w:val="00EB56F2"/>
    <w:rsid w:val="00EB5B70"/>
    <w:rsid w:val="00EB5DD3"/>
    <w:rsid w:val="00EB64AF"/>
    <w:rsid w:val="00EB78B2"/>
    <w:rsid w:val="00EB7EFD"/>
    <w:rsid w:val="00EC008E"/>
    <w:rsid w:val="00EC011E"/>
    <w:rsid w:val="00EC0F8A"/>
    <w:rsid w:val="00EC1AE2"/>
    <w:rsid w:val="00EC1C54"/>
    <w:rsid w:val="00EC3187"/>
    <w:rsid w:val="00EC35EF"/>
    <w:rsid w:val="00EC363A"/>
    <w:rsid w:val="00EC4A7E"/>
    <w:rsid w:val="00EC5581"/>
    <w:rsid w:val="00EC640B"/>
    <w:rsid w:val="00EC6DE6"/>
    <w:rsid w:val="00EC6FEE"/>
    <w:rsid w:val="00EC725B"/>
    <w:rsid w:val="00EC765D"/>
    <w:rsid w:val="00ED0A71"/>
    <w:rsid w:val="00ED0F43"/>
    <w:rsid w:val="00ED18F2"/>
    <w:rsid w:val="00ED1B76"/>
    <w:rsid w:val="00ED259A"/>
    <w:rsid w:val="00ED2731"/>
    <w:rsid w:val="00ED3101"/>
    <w:rsid w:val="00ED4391"/>
    <w:rsid w:val="00ED49FD"/>
    <w:rsid w:val="00ED4D93"/>
    <w:rsid w:val="00ED4E5D"/>
    <w:rsid w:val="00ED6672"/>
    <w:rsid w:val="00EE135D"/>
    <w:rsid w:val="00EE19BF"/>
    <w:rsid w:val="00EE20AE"/>
    <w:rsid w:val="00EE2813"/>
    <w:rsid w:val="00EE2AC5"/>
    <w:rsid w:val="00EE3B09"/>
    <w:rsid w:val="00EE42CC"/>
    <w:rsid w:val="00EE466C"/>
    <w:rsid w:val="00EE5093"/>
    <w:rsid w:val="00EE54A1"/>
    <w:rsid w:val="00EE54F2"/>
    <w:rsid w:val="00EE653F"/>
    <w:rsid w:val="00EE6F29"/>
    <w:rsid w:val="00EE797E"/>
    <w:rsid w:val="00EF02AC"/>
    <w:rsid w:val="00EF03B4"/>
    <w:rsid w:val="00EF149A"/>
    <w:rsid w:val="00EF245E"/>
    <w:rsid w:val="00EF257E"/>
    <w:rsid w:val="00EF28F8"/>
    <w:rsid w:val="00EF295D"/>
    <w:rsid w:val="00EF30B7"/>
    <w:rsid w:val="00EF33CC"/>
    <w:rsid w:val="00EF3941"/>
    <w:rsid w:val="00EF3C6C"/>
    <w:rsid w:val="00EF3D0D"/>
    <w:rsid w:val="00EF3E6A"/>
    <w:rsid w:val="00EF4077"/>
    <w:rsid w:val="00EF4C2D"/>
    <w:rsid w:val="00EF60BA"/>
    <w:rsid w:val="00EF63E4"/>
    <w:rsid w:val="00EF7029"/>
    <w:rsid w:val="00EF7A68"/>
    <w:rsid w:val="00EF7C23"/>
    <w:rsid w:val="00EF7DA2"/>
    <w:rsid w:val="00EF7F59"/>
    <w:rsid w:val="00F00855"/>
    <w:rsid w:val="00F01043"/>
    <w:rsid w:val="00F01542"/>
    <w:rsid w:val="00F01A3C"/>
    <w:rsid w:val="00F02F3C"/>
    <w:rsid w:val="00F03E05"/>
    <w:rsid w:val="00F04541"/>
    <w:rsid w:val="00F0515A"/>
    <w:rsid w:val="00F05269"/>
    <w:rsid w:val="00F068B6"/>
    <w:rsid w:val="00F0710A"/>
    <w:rsid w:val="00F072F5"/>
    <w:rsid w:val="00F07B6C"/>
    <w:rsid w:val="00F104C9"/>
    <w:rsid w:val="00F107F3"/>
    <w:rsid w:val="00F12573"/>
    <w:rsid w:val="00F12E3B"/>
    <w:rsid w:val="00F12FE3"/>
    <w:rsid w:val="00F13898"/>
    <w:rsid w:val="00F13B38"/>
    <w:rsid w:val="00F144DD"/>
    <w:rsid w:val="00F1519E"/>
    <w:rsid w:val="00F152EC"/>
    <w:rsid w:val="00F15F97"/>
    <w:rsid w:val="00F160CB"/>
    <w:rsid w:val="00F1610D"/>
    <w:rsid w:val="00F16DBA"/>
    <w:rsid w:val="00F171A4"/>
    <w:rsid w:val="00F17231"/>
    <w:rsid w:val="00F17B41"/>
    <w:rsid w:val="00F20AD0"/>
    <w:rsid w:val="00F214AB"/>
    <w:rsid w:val="00F21967"/>
    <w:rsid w:val="00F21A61"/>
    <w:rsid w:val="00F22895"/>
    <w:rsid w:val="00F23646"/>
    <w:rsid w:val="00F23676"/>
    <w:rsid w:val="00F23A85"/>
    <w:rsid w:val="00F2402B"/>
    <w:rsid w:val="00F24327"/>
    <w:rsid w:val="00F253A2"/>
    <w:rsid w:val="00F258A0"/>
    <w:rsid w:val="00F26004"/>
    <w:rsid w:val="00F2714A"/>
    <w:rsid w:val="00F2736A"/>
    <w:rsid w:val="00F27500"/>
    <w:rsid w:val="00F329E1"/>
    <w:rsid w:val="00F32B2F"/>
    <w:rsid w:val="00F33642"/>
    <w:rsid w:val="00F3382F"/>
    <w:rsid w:val="00F34C5E"/>
    <w:rsid w:val="00F35090"/>
    <w:rsid w:val="00F35694"/>
    <w:rsid w:val="00F35A73"/>
    <w:rsid w:val="00F35F6E"/>
    <w:rsid w:val="00F3624D"/>
    <w:rsid w:val="00F36AD9"/>
    <w:rsid w:val="00F37612"/>
    <w:rsid w:val="00F3770C"/>
    <w:rsid w:val="00F40785"/>
    <w:rsid w:val="00F40985"/>
    <w:rsid w:val="00F40E2B"/>
    <w:rsid w:val="00F4186A"/>
    <w:rsid w:val="00F41891"/>
    <w:rsid w:val="00F42E8D"/>
    <w:rsid w:val="00F439B4"/>
    <w:rsid w:val="00F43E88"/>
    <w:rsid w:val="00F44B57"/>
    <w:rsid w:val="00F44CEC"/>
    <w:rsid w:val="00F44E5D"/>
    <w:rsid w:val="00F450CA"/>
    <w:rsid w:val="00F451EE"/>
    <w:rsid w:val="00F45418"/>
    <w:rsid w:val="00F45797"/>
    <w:rsid w:val="00F45A9D"/>
    <w:rsid w:val="00F466BC"/>
    <w:rsid w:val="00F47AA1"/>
    <w:rsid w:val="00F52E89"/>
    <w:rsid w:val="00F53309"/>
    <w:rsid w:val="00F5348A"/>
    <w:rsid w:val="00F534A9"/>
    <w:rsid w:val="00F53B97"/>
    <w:rsid w:val="00F54B17"/>
    <w:rsid w:val="00F54E18"/>
    <w:rsid w:val="00F55AC4"/>
    <w:rsid w:val="00F567A1"/>
    <w:rsid w:val="00F573C9"/>
    <w:rsid w:val="00F603FB"/>
    <w:rsid w:val="00F6152E"/>
    <w:rsid w:val="00F62CFF"/>
    <w:rsid w:val="00F62F89"/>
    <w:rsid w:val="00F6300C"/>
    <w:rsid w:val="00F63801"/>
    <w:rsid w:val="00F64571"/>
    <w:rsid w:val="00F65973"/>
    <w:rsid w:val="00F660D3"/>
    <w:rsid w:val="00F665BB"/>
    <w:rsid w:val="00F66707"/>
    <w:rsid w:val="00F670C6"/>
    <w:rsid w:val="00F6760E"/>
    <w:rsid w:val="00F70774"/>
    <w:rsid w:val="00F71718"/>
    <w:rsid w:val="00F721B8"/>
    <w:rsid w:val="00F728D2"/>
    <w:rsid w:val="00F7318D"/>
    <w:rsid w:val="00F738C2"/>
    <w:rsid w:val="00F73CBE"/>
    <w:rsid w:val="00F73DEA"/>
    <w:rsid w:val="00F74378"/>
    <w:rsid w:val="00F74D5C"/>
    <w:rsid w:val="00F755F2"/>
    <w:rsid w:val="00F76158"/>
    <w:rsid w:val="00F762BF"/>
    <w:rsid w:val="00F76518"/>
    <w:rsid w:val="00F76872"/>
    <w:rsid w:val="00F76988"/>
    <w:rsid w:val="00F80DB5"/>
    <w:rsid w:val="00F80F93"/>
    <w:rsid w:val="00F8159C"/>
    <w:rsid w:val="00F81F9E"/>
    <w:rsid w:val="00F81FAE"/>
    <w:rsid w:val="00F822AF"/>
    <w:rsid w:val="00F82CDE"/>
    <w:rsid w:val="00F82EBC"/>
    <w:rsid w:val="00F8395B"/>
    <w:rsid w:val="00F8409D"/>
    <w:rsid w:val="00F84B5E"/>
    <w:rsid w:val="00F86D36"/>
    <w:rsid w:val="00F875D5"/>
    <w:rsid w:val="00F9007F"/>
    <w:rsid w:val="00F90CCD"/>
    <w:rsid w:val="00F92974"/>
    <w:rsid w:val="00F92C0B"/>
    <w:rsid w:val="00F92C2D"/>
    <w:rsid w:val="00F934EE"/>
    <w:rsid w:val="00F94F04"/>
    <w:rsid w:val="00F96324"/>
    <w:rsid w:val="00F96F89"/>
    <w:rsid w:val="00F974E1"/>
    <w:rsid w:val="00FA01C6"/>
    <w:rsid w:val="00FA14F5"/>
    <w:rsid w:val="00FA193C"/>
    <w:rsid w:val="00FA1AC2"/>
    <w:rsid w:val="00FA1DF1"/>
    <w:rsid w:val="00FA2054"/>
    <w:rsid w:val="00FA2120"/>
    <w:rsid w:val="00FA23AA"/>
    <w:rsid w:val="00FA250E"/>
    <w:rsid w:val="00FA4009"/>
    <w:rsid w:val="00FA4AB6"/>
    <w:rsid w:val="00FA71F0"/>
    <w:rsid w:val="00FB0248"/>
    <w:rsid w:val="00FB1759"/>
    <w:rsid w:val="00FB200F"/>
    <w:rsid w:val="00FB221A"/>
    <w:rsid w:val="00FB31CE"/>
    <w:rsid w:val="00FB44A8"/>
    <w:rsid w:val="00FB5161"/>
    <w:rsid w:val="00FB525F"/>
    <w:rsid w:val="00FB57AB"/>
    <w:rsid w:val="00FB7530"/>
    <w:rsid w:val="00FB79D9"/>
    <w:rsid w:val="00FC09E7"/>
    <w:rsid w:val="00FC1FCA"/>
    <w:rsid w:val="00FC217E"/>
    <w:rsid w:val="00FC2794"/>
    <w:rsid w:val="00FC29EE"/>
    <w:rsid w:val="00FC3564"/>
    <w:rsid w:val="00FC36A3"/>
    <w:rsid w:val="00FC387B"/>
    <w:rsid w:val="00FC438A"/>
    <w:rsid w:val="00FC56D7"/>
    <w:rsid w:val="00FC57A1"/>
    <w:rsid w:val="00FC5E67"/>
    <w:rsid w:val="00FC641F"/>
    <w:rsid w:val="00FC66E4"/>
    <w:rsid w:val="00FC688E"/>
    <w:rsid w:val="00FD1512"/>
    <w:rsid w:val="00FD1839"/>
    <w:rsid w:val="00FD1BA4"/>
    <w:rsid w:val="00FD2515"/>
    <w:rsid w:val="00FD269A"/>
    <w:rsid w:val="00FD346A"/>
    <w:rsid w:val="00FD4794"/>
    <w:rsid w:val="00FD77BA"/>
    <w:rsid w:val="00FE0F3E"/>
    <w:rsid w:val="00FE1088"/>
    <w:rsid w:val="00FE127D"/>
    <w:rsid w:val="00FE2347"/>
    <w:rsid w:val="00FE24CD"/>
    <w:rsid w:val="00FE28A1"/>
    <w:rsid w:val="00FE2F4A"/>
    <w:rsid w:val="00FE40E9"/>
    <w:rsid w:val="00FE4B77"/>
    <w:rsid w:val="00FE4C4D"/>
    <w:rsid w:val="00FE6B2A"/>
    <w:rsid w:val="00FE6DC8"/>
    <w:rsid w:val="00FE7544"/>
    <w:rsid w:val="00FE7968"/>
    <w:rsid w:val="00FF0259"/>
    <w:rsid w:val="00FF046F"/>
    <w:rsid w:val="00FF1165"/>
    <w:rsid w:val="00FF1510"/>
    <w:rsid w:val="00FF1CB1"/>
    <w:rsid w:val="00FF1E7B"/>
    <w:rsid w:val="00FF33D6"/>
    <w:rsid w:val="00FF373F"/>
    <w:rsid w:val="00FF3785"/>
    <w:rsid w:val="00FF3E9B"/>
    <w:rsid w:val="00FF4250"/>
    <w:rsid w:val="00FF74D3"/>
    <w:rsid w:val="00FF7534"/>
    <w:rsid w:val="00FF7723"/>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D2758"/>
    <w:pPr>
      <w:spacing w:after="200" w:line="276" w:lineRule="auto"/>
    </w:pPr>
    <w:rPr>
      <w:rFonts w:eastAsia="Times New Roman" w:cs="Calibri"/>
      <w:lang w:val="uk-UA" w:eastAsia="en-US"/>
    </w:rPr>
  </w:style>
  <w:style w:type="paragraph" w:styleId="Heading1">
    <w:name w:val="heading 1"/>
    <w:basedOn w:val="Normal"/>
    <w:next w:val="Normal"/>
    <w:link w:val="Heading1Char"/>
    <w:uiPriority w:val="99"/>
    <w:qFormat/>
    <w:rsid w:val="00634471"/>
    <w:pPr>
      <w:keepNext/>
      <w:keepLines/>
      <w:spacing w:before="240" w:after="0"/>
      <w:outlineLvl w:val="0"/>
    </w:pPr>
    <w:rPr>
      <w:rFonts w:ascii="Calibri Light" w:hAnsi="Calibri Light" w:cs="Times New Roman"/>
      <w:color w:val="2E74B5"/>
      <w:sz w:val="32"/>
      <w:szCs w:val="32"/>
    </w:rPr>
  </w:style>
  <w:style w:type="paragraph" w:styleId="Heading2">
    <w:name w:val="heading 2"/>
    <w:basedOn w:val="Normal"/>
    <w:next w:val="Normal"/>
    <w:link w:val="Heading2Char"/>
    <w:uiPriority w:val="99"/>
    <w:qFormat/>
    <w:rsid w:val="00634471"/>
    <w:pPr>
      <w:keepNext/>
      <w:keepLines/>
      <w:spacing w:before="40" w:after="0"/>
      <w:outlineLvl w:val="1"/>
    </w:pPr>
    <w:rPr>
      <w:rFonts w:ascii="Calibri Light" w:hAnsi="Calibri Light" w:cs="Times New Roman"/>
      <w:color w:val="2E74B5"/>
      <w:sz w:val="26"/>
      <w:szCs w:val="26"/>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634471"/>
    <w:rPr>
      <w:rFonts w:ascii="Calibri Light" w:hAnsi="Calibri Light" w:cs="Times New Roman"/>
      <w:color w:val="2E74B5"/>
      <w:sz w:val="32"/>
      <w:szCs w:val="32"/>
      <w:lang w:val="uk-UA"/>
    </w:rPr>
  </w:style>
  <w:style w:type="character" w:customStyle="1" w:styleId="Heading2Char">
    <w:name w:val="Heading 2 Char"/>
    <w:basedOn w:val="DefaultParagraphFont"/>
    <w:link w:val="Heading2"/>
    <w:uiPriority w:val="99"/>
    <w:semiHidden/>
    <w:locked/>
    <w:rsid w:val="00634471"/>
    <w:rPr>
      <w:rFonts w:ascii="Calibri Light" w:hAnsi="Calibri Light" w:cs="Times New Roman"/>
      <w:color w:val="2E74B5"/>
      <w:sz w:val="26"/>
      <w:szCs w:val="26"/>
      <w:lang w:val="uk-UA"/>
    </w:rPr>
  </w:style>
  <w:style w:type="paragraph" w:styleId="BodyText">
    <w:name w:val="Body Text"/>
    <w:aliases w:val="Знак Знак,Знак"/>
    <w:basedOn w:val="Normal"/>
    <w:link w:val="BodyTextChar"/>
    <w:uiPriority w:val="99"/>
    <w:rsid w:val="001D2758"/>
    <w:pPr>
      <w:widowControl w:val="0"/>
      <w:autoSpaceDE w:val="0"/>
      <w:autoSpaceDN w:val="0"/>
      <w:adjustRightInd w:val="0"/>
      <w:spacing w:after="0" w:line="360" w:lineRule="auto"/>
      <w:jc w:val="center"/>
    </w:pPr>
    <w:rPr>
      <w:rFonts w:cs="Times New Roman"/>
      <w:sz w:val="20"/>
      <w:szCs w:val="20"/>
    </w:rPr>
  </w:style>
  <w:style w:type="character" w:customStyle="1" w:styleId="BodyTextChar">
    <w:name w:val="Body Text Char"/>
    <w:aliases w:val="Знак Знак Char,Знак Char"/>
    <w:basedOn w:val="DefaultParagraphFont"/>
    <w:link w:val="BodyText"/>
    <w:uiPriority w:val="99"/>
    <w:locked/>
    <w:rsid w:val="001D2758"/>
    <w:rPr>
      <w:rFonts w:ascii="Calibri" w:hAnsi="Calibri" w:cs="Times New Roman"/>
      <w:sz w:val="20"/>
      <w:szCs w:val="20"/>
      <w:lang w:val="uk-UA"/>
    </w:rPr>
  </w:style>
  <w:style w:type="paragraph" w:styleId="FootnoteText">
    <w:name w:val="footnote text"/>
    <w:basedOn w:val="Normal"/>
    <w:link w:val="FootnoteTextChar"/>
    <w:uiPriority w:val="99"/>
    <w:semiHidden/>
    <w:rsid w:val="001D2758"/>
    <w:pPr>
      <w:spacing w:after="0" w:line="240" w:lineRule="auto"/>
    </w:pPr>
    <w:rPr>
      <w:rFonts w:eastAsia="Calibri" w:cs="Times New Roman"/>
      <w:sz w:val="20"/>
      <w:szCs w:val="20"/>
      <w:lang w:eastAsia="ru-RU"/>
    </w:rPr>
  </w:style>
  <w:style w:type="character" w:customStyle="1" w:styleId="FootnoteTextChar">
    <w:name w:val="Footnote Text Char"/>
    <w:basedOn w:val="DefaultParagraphFont"/>
    <w:link w:val="FootnoteText"/>
    <w:uiPriority w:val="99"/>
    <w:semiHidden/>
    <w:locked/>
    <w:rsid w:val="001D2758"/>
    <w:rPr>
      <w:rFonts w:ascii="Calibri" w:eastAsia="Times New Roman" w:hAnsi="Calibri" w:cs="Times New Roman"/>
      <w:sz w:val="20"/>
      <w:szCs w:val="20"/>
      <w:lang w:val="uk-UA"/>
    </w:rPr>
  </w:style>
  <w:style w:type="character" w:styleId="FootnoteReference">
    <w:name w:val="footnote reference"/>
    <w:basedOn w:val="DefaultParagraphFont"/>
    <w:uiPriority w:val="99"/>
    <w:semiHidden/>
    <w:rsid w:val="001D2758"/>
    <w:rPr>
      <w:rFonts w:cs="Times New Roman"/>
      <w:vertAlign w:val="superscript"/>
    </w:rPr>
  </w:style>
  <w:style w:type="paragraph" w:styleId="ListParagraph">
    <w:name w:val="List Paragraph"/>
    <w:basedOn w:val="Normal"/>
    <w:uiPriority w:val="99"/>
    <w:qFormat/>
    <w:rsid w:val="00DA021A"/>
    <w:pPr>
      <w:ind w:left="720"/>
    </w:pPr>
  </w:style>
  <w:style w:type="paragraph" w:styleId="Header">
    <w:name w:val="header"/>
    <w:basedOn w:val="Normal"/>
    <w:link w:val="HeaderChar"/>
    <w:uiPriority w:val="99"/>
    <w:rsid w:val="007F6982"/>
    <w:pPr>
      <w:tabs>
        <w:tab w:val="center" w:pos="4677"/>
        <w:tab w:val="right" w:pos="9355"/>
      </w:tabs>
      <w:spacing w:after="0" w:line="240" w:lineRule="auto"/>
    </w:pPr>
  </w:style>
  <w:style w:type="character" w:customStyle="1" w:styleId="HeaderChar">
    <w:name w:val="Header Char"/>
    <w:basedOn w:val="DefaultParagraphFont"/>
    <w:link w:val="Header"/>
    <w:uiPriority w:val="99"/>
    <w:locked/>
    <w:rsid w:val="007F6982"/>
    <w:rPr>
      <w:rFonts w:ascii="Calibri" w:hAnsi="Calibri" w:cs="Calibri"/>
      <w:lang w:val="uk-UA"/>
    </w:rPr>
  </w:style>
  <w:style w:type="paragraph" w:styleId="Footer">
    <w:name w:val="footer"/>
    <w:basedOn w:val="Normal"/>
    <w:link w:val="FooterChar"/>
    <w:uiPriority w:val="99"/>
    <w:rsid w:val="007F6982"/>
    <w:pPr>
      <w:tabs>
        <w:tab w:val="center" w:pos="4677"/>
        <w:tab w:val="right" w:pos="9355"/>
      </w:tabs>
      <w:spacing w:after="0" w:line="240" w:lineRule="auto"/>
    </w:pPr>
  </w:style>
  <w:style w:type="character" w:customStyle="1" w:styleId="FooterChar">
    <w:name w:val="Footer Char"/>
    <w:basedOn w:val="DefaultParagraphFont"/>
    <w:link w:val="Footer"/>
    <w:uiPriority w:val="99"/>
    <w:locked/>
    <w:rsid w:val="007F6982"/>
    <w:rPr>
      <w:rFonts w:ascii="Calibri" w:hAnsi="Calibri" w:cs="Calibri"/>
      <w:lang w:val="uk-UA"/>
    </w:rPr>
  </w:style>
  <w:style w:type="character" w:customStyle="1" w:styleId="fontstyle01">
    <w:name w:val="fontstyle01"/>
    <w:basedOn w:val="DefaultParagraphFont"/>
    <w:uiPriority w:val="99"/>
    <w:rsid w:val="006B6CD1"/>
    <w:rPr>
      <w:rFonts w:ascii="TimesNewRoman" w:hAnsi="TimesNewRoman" w:cs="Times New Roman"/>
      <w:color w:val="000000"/>
      <w:sz w:val="28"/>
      <w:szCs w:val="28"/>
    </w:rPr>
  </w:style>
  <w:style w:type="character" w:styleId="Hyperlink">
    <w:name w:val="Hyperlink"/>
    <w:basedOn w:val="DefaultParagraphFont"/>
    <w:uiPriority w:val="99"/>
    <w:rsid w:val="006F1606"/>
    <w:rPr>
      <w:rFonts w:cs="Times New Roman"/>
      <w:color w:val="0563C1"/>
      <w:u w:val="single"/>
    </w:rPr>
  </w:style>
  <w:style w:type="paragraph" w:customStyle="1" w:styleId="rvps2">
    <w:name w:val="rvps2"/>
    <w:basedOn w:val="Normal"/>
    <w:uiPriority w:val="99"/>
    <w:rsid w:val="000178D4"/>
    <w:pPr>
      <w:spacing w:before="100" w:beforeAutospacing="1" w:after="100" w:afterAutospacing="1" w:line="240" w:lineRule="auto"/>
    </w:pPr>
    <w:rPr>
      <w:rFonts w:ascii="Times New Roman" w:hAnsi="Times New Roman" w:cs="Times New Roman"/>
      <w:sz w:val="24"/>
      <w:szCs w:val="24"/>
      <w:lang w:val="ru-RU" w:eastAsia="ru-RU"/>
    </w:rPr>
  </w:style>
  <w:style w:type="character" w:customStyle="1" w:styleId="rvts9">
    <w:name w:val="rvts9"/>
    <w:basedOn w:val="DefaultParagraphFont"/>
    <w:uiPriority w:val="99"/>
    <w:rsid w:val="000178D4"/>
    <w:rPr>
      <w:rFonts w:cs="Times New Roman"/>
    </w:rPr>
  </w:style>
  <w:style w:type="character" w:customStyle="1" w:styleId="rvts46">
    <w:name w:val="rvts46"/>
    <w:basedOn w:val="DefaultParagraphFont"/>
    <w:uiPriority w:val="99"/>
    <w:rsid w:val="000178D4"/>
    <w:rPr>
      <w:rFonts w:cs="Times New Roman"/>
    </w:rPr>
  </w:style>
  <w:style w:type="character" w:customStyle="1" w:styleId="fontstyle21">
    <w:name w:val="fontstyle21"/>
    <w:basedOn w:val="DefaultParagraphFont"/>
    <w:uiPriority w:val="99"/>
    <w:rsid w:val="00232B28"/>
    <w:rPr>
      <w:rFonts w:ascii="TimesNewRoman" w:hAnsi="TimesNewRoman" w:cs="Times New Roman"/>
      <w:i/>
      <w:iCs/>
      <w:color w:val="000000"/>
      <w:sz w:val="28"/>
      <w:szCs w:val="28"/>
    </w:rPr>
  </w:style>
  <w:style w:type="paragraph" w:styleId="TOC1">
    <w:name w:val="toc 1"/>
    <w:basedOn w:val="Normal"/>
    <w:next w:val="Normal"/>
    <w:autoRedefine/>
    <w:uiPriority w:val="99"/>
    <w:rsid w:val="00634471"/>
    <w:pPr>
      <w:spacing w:after="100"/>
    </w:pPr>
  </w:style>
  <w:style w:type="paragraph" w:styleId="TOC2">
    <w:name w:val="toc 2"/>
    <w:basedOn w:val="Normal"/>
    <w:next w:val="Normal"/>
    <w:autoRedefine/>
    <w:uiPriority w:val="99"/>
    <w:rsid w:val="00634471"/>
    <w:pPr>
      <w:spacing w:after="100"/>
      <w:ind w:left="220"/>
    </w:pPr>
  </w:style>
  <w:style w:type="character" w:styleId="FollowedHyperlink">
    <w:name w:val="FollowedHyperlink"/>
    <w:basedOn w:val="DefaultParagraphFont"/>
    <w:uiPriority w:val="99"/>
    <w:semiHidden/>
    <w:rsid w:val="00251965"/>
    <w:rPr>
      <w:rFonts w:cs="Times New Roman"/>
      <w:color w:val="954F72"/>
      <w:u w:val="single"/>
    </w:rPr>
  </w:style>
</w:styles>
</file>

<file path=word/webSettings.xml><?xml version="1.0" encoding="utf-8"?>
<w:webSettings xmlns:r="http://schemas.openxmlformats.org/officeDocument/2006/relationships" xmlns:w="http://schemas.openxmlformats.org/wordprocessingml/2006/main">
  <w:divs>
    <w:div w:id="1155561610">
      <w:marLeft w:val="0"/>
      <w:marRight w:val="0"/>
      <w:marTop w:val="0"/>
      <w:marBottom w:val="0"/>
      <w:divBdr>
        <w:top w:val="none" w:sz="0" w:space="0" w:color="auto"/>
        <w:left w:val="none" w:sz="0" w:space="0" w:color="auto"/>
        <w:bottom w:val="none" w:sz="0" w:space="0" w:color="auto"/>
        <w:right w:val="none" w:sz="0" w:space="0" w:color="auto"/>
      </w:divBdr>
    </w:div>
    <w:div w:id="1155561611">
      <w:marLeft w:val="0"/>
      <w:marRight w:val="0"/>
      <w:marTop w:val="0"/>
      <w:marBottom w:val="0"/>
      <w:divBdr>
        <w:top w:val="none" w:sz="0" w:space="0" w:color="auto"/>
        <w:left w:val="none" w:sz="0" w:space="0" w:color="auto"/>
        <w:bottom w:val="none" w:sz="0" w:space="0" w:color="auto"/>
        <w:right w:val="none" w:sz="0" w:space="0" w:color="auto"/>
      </w:divBdr>
    </w:div>
    <w:div w:id="1155561612">
      <w:marLeft w:val="0"/>
      <w:marRight w:val="0"/>
      <w:marTop w:val="0"/>
      <w:marBottom w:val="0"/>
      <w:divBdr>
        <w:top w:val="none" w:sz="0" w:space="0" w:color="auto"/>
        <w:left w:val="none" w:sz="0" w:space="0" w:color="auto"/>
        <w:bottom w:val="none" w:sz="0" w:space="0" w:color="auto"/>
        <w:right w:val="none" w:sz="0" w:space="0" w:color="auto"/>
      </w:divBdr>
    </w:div>
    <w:div w:id="1155561613">
      <w:marLeft w:val="0"/>
      <w:marRight w:val="0"/>
      <w:marTop w:val="0"/>
      <w:marBottom w:val="0"/>
      <w:divBdr>
        <w:top w:val="none" w:sz="0" w:space="0" w:color="auto"/>
        <w:left w:val="none" w:sz="0" w:space="0" w:color="auto"/>
        <w:bottom w:val="none" w:sz="0" w:space="0" w:color="auto"/>
        <w:right w:val="none" w:sz="0" w:space="0" w:color="auto"/>
      </w:divBdr>
    </w:div>
    <w:div w:id="1155561614">
      <w:marLeft w:val="0"/>
      <w:marRight w:val="0"/>
      <w:marTop w:val="0"/>
      <w:marBottom w:val="0"/>
      <w:divBdr>
        <w:top w:val="none" w:sz="0" w:space="0" w:color="auto"/>
        <w:left w:val="none" w:sz="0" w:space="0" w:color="auto"/>
        <w:bottom w:val="none" w:sz="0" w:space="0" w:color="auto"/>
        <w:right w:val="none" w:sz="0" w:space="0" w:color="auto"/>
      </w:divBdr>
    </w:div>
    <w:div w:id="1155561615">
      <w:marLeft w:val="0"/>
      <w:marRight w:val="0"/>
      <w:marTop w:val="0"/>
      <w:marBottom w:val="0"/>
      <w:divBdr>
        <w:top w:val="none" w:sz="0" w:space="0" w:color="auto"/>
        <w:left w:val="none" w:sz="0" w:space="0" w:color="auto"/>
        <w:bottom w:val="none" w:sz="0" w:space="0" w:color="auto"/>
        <w:right w:val="none" w:sz="0" w:space="0" w:color="auto"/>
      </w:divBdr>
    </w:div>
    <w:div w:id="1155561616">
      <w:marLeft w:val="0"/>
      <w:marRight w:val="0"/>
      <w:marTop w:val="0"/>
      <w:marBottom w:val="0"/>
      <w:divBdr>
        <w:top w:val="none" w:sz="0" w:space="0" w:color="auto"/>
        <w:left w:val="none" w:sz="0" w:space="0" w:color="auto"/>
        <w:bottom w:val="none" w:sz="0" w:space="0" w:color="auto"/>
        <w:right w:val="none" w:sz="0" w:space="0" w:color="auto"/>
      </w:divBdr>
    </w:div>
    <w:div w:id="1155561617">
      <w:marLeft w:val="0"/>
      <w:marRight w:val="0"/>
      <w:marTop w:val="0"/>
      <w:marBottom w:val="0"/>
      <w:divBdr>
        <w:top w:val="none" w:sz="0" w:space="0" w:color="auto"/>
        <w:left w:val="none" w:sz="0" w:space="0" w:color="auto"/>
        <w:bottom w:val="none" w:sz="0" w:space="0" w:color="auto"/>
        <w:right w:val="none" w:sz="0" w:space="0" w:color="auto"/>
      </w:divBdr>
    </w:div>
    <w:div w:id="1155561618">
      <w:marLeft w:val="0"/>
      <w:marRight w:val="0"/>
      <w:marTop w:val="0"/>
      <w:marBottom w:val="0"/>
      <w:divBdr>
        <w:top w:val="none" w:sz="0" w:space="0" w:color="auto"/>
        <w:left w:val="none" w:sz="0" w:space="0" w:color="auto"/>
        <w:bottom w:val="none" w:sz="0" w:space="0" w:color="auto"/>
        <w:right w:val="none" w:sz="0" w:space="0" w:color="auto"/>
      </w:divBdr>
    </w:div>
    <w:div w:id="1155561619">
      <w:marLeft w:val="0"/>
      <w:marRight w:val="0"/>
      <w:marTop w:val="0"/>
      <w:marBottom w:val="0"/>
      <w:divBdr>
        <w:top w:val="none" w:sz="0" w:space="0" w:color="auto"/>
        <w:left w:val="none" w:sz="0" w:space="0" w:color="auto"/>
        <w:bottom w:val="none" w:sz="0" w:space="0" w:color="auto"/>
        <w:right w:val="none" w:sz="0" w:space="0" w:color="auto"/>
      </w:divBdr>
    </w:div>
    <w:div w:id="1155561620">
      <w:marLeft w:val="0"/>
      <w:marRight w:val="0"/>
      <w:marTop w:val="0"/>
      <w:marBottom w:val="0"/>
      <w:divBdr>
        <w:top w:val="none" w:sz="0" w:space="0" w:color="auto"/>
        <w:left w:val="none" w:sz="0" w:space="0" w:color="auto"/>
        <w:bottom w:val="none" w:sz="0" w:space="0" w:color="auto"/>
        <w:right w:val="none" w:sz="0" w:space="0" w:color="auto"/>
      </w:divBdr>
    </w:div>
    <w:div w:id="1155561621">
      <w:marLeft w:val="0"/>
      <w:marRight w:val="0"/>
      <w:marTop w:val="0"/>
      <w:marBottom w:val="0"/>
      <w:divBdr>
        <w:top w:val="none" w:sz="0" w:space="0" w:color="auto"/>
        <w:left w:val="none" w:sz="0" w:space="0" w:color="auto"/>
        <w:bottom w:val="none" w:sz="0" w:space="0" w:color="auto"/>
        <w:right w:val="none" w:sz="0" w:space="0" w:color="auto"/>
      </w:divBdr>
    </w:div>
    <w:div w:id="1155561622">
      <w:marLeft w:val="0"/>
      <w:marRight w:val="0"/>
      <w:marTop w:val="0"/>
      <w:marBottom w:val="0"/>
      <w:divBdr>
        <w:top w:val="none" w:sz="0" w:space="0" w:color="auto"/>
        <w:left w:val="none" w:sz="0" w:space="0" w:color="auto"/>
        <w:bottom w:val="none" w:sz="0" w:space="0" w:color="auto"/>
        <w:right w:val="none" w:sz="0" w:space="0" w:color="auto"/>
      </w:divBdr>
    </w:div>
    <w:div w:id="1155561623">
      <w:marLeft w:val="0"/>
      <w:marRight w:val="0"/>
      <w:marTop w:val="0"/>
      <w:marBottom w:val="0"/>
      <w:divBdr>
        <w:top w:val="none" w:sz="0" w:space="0" w:color="auto"/>
        <w:left w:val="none" w:sz="0" w:space="0" w:color="auto"/>
        <w:bottom w:val="none" w:sz="0" w:space="0" w:color="auto"/>
        <w:right w:val="none" w:sz="0" w:space="0" w:color="auto"/>
      </w:divBdr>
    </w:div>
    <w:div w:id="1155561624">
      <w:marLeft w:val="0"/>
      <w:marRight w:val="0"/>
      <w:marTop w:val="0"/>
      <w:marBottom w:val="0"/>
      <w:divBdr>
        <w:top w:val="none" w:sz="0" w:space="0" w:color="auto"/>
        <w:left w:val="none" w:sz="0" w:space="0" w:color="auto"/>
        <w:bottom w:val="none" w:sz="0" w:space="0" w:color="auto"/>
        <w:right w:val="none" w:sz="0" w:space="0" w:color="auto"/>
      </w:divBdr>
    </w:div>
    <w:div w:id="115556162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TotalTime>
  <Pages>89</Pages>
  <Words>23491</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ОДЕСЬКИЙ НАЦІОНАЛЬНИЙ УНІВЕРСИТЕТ ІМЕНІ І</dc:title>
  <dc:subject/>
  <dc:creator>libonu</dc:creator>
  <cp:keywords/>
  <dc:description/>
  <cp:lastModifiedBy>room-27</cp:lastModifiedBy>
  <cp:revision>3</cp:revision>
  <dcterms:created xsi:type="dcterms:W3CDTF">2024-12-03T09:12:00Z</dcterms:created>
  <dcterms:modified xsi:type="dcterms:W3CDTF">2024-12-03T09:13:00Z</dcterms:modified>
</cp:coreProperties>
</file>