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drawings/drawing1.xml" ContentType="application/vnd.openxmlformats-officedocument.drawingml.chartshapes+xml"/>
  <Override PartName="/word/charts/chart2.xml" ContentType="application/vnd.openxmlformats-officedocument.drawingml.chart+xml"/>
  <Override PartName="/word/theme/themeOverride2.xml" ContentType="application/vnd.openxmlformats-officedocument.themeOverride+xml"/>
  <Override PartName="/word/drawings/drawing2.xml" ContentType="application/vnd.openxmlformats-officedocument.drawingml.chartshapes+xml"/>
  <Override PartName="/word/charts/chart3.xml" ContentType="application/vnd.openxmlformats-officedocument.drawingml.chart+xml"/>
  <Override PartName="/word/theme/themeOverride3.xml" ContentType="application/vnd.openxmlformats-officedocument.themeOverride+xml"/>
  <Override PartName="/word/drawings/drawing3.xml" ContentType="application/vnd.openxmlformats-officedocument.drawingml.chartshapes+xml"/>
  <Override PartName="/word/charts/chart4.xml" ContentType="application/vnd.openxmlformats-officedocument.drawingml.chart+xml"/>
  <Override PartName="/word/theme/themeOverride4.xml" ContentType="application/vnd.openxmlformats-officedocument.themeOverride+xml"/>
  <Override PartName="/word/drawings/drawing4.xml" ContentType="application/vnd.openxmlformats-officedocument.drawingml.chartshapes+xml"/>
  <Override PartName="/word/charts/chart5.xml" ContentType="application/vnd.openxmlformats-officedocument.drawingml.chart+xml"/>
  <Override PartName="/word/theme/themeOverride5.xml" ContentType="application/vnd.openxmlformats-officedocument.themeOverride+xml"/>
  <Override PartName="/word/drawings/drawing5.xml" ContentType="application/vnd.openxmlformats-officedocument.drawingml.chartshapes+xml"/>
  <Override PartName="/word/charts/chart6.xml" ContentType="application/vnd.openxmlformats-officedocument.drawingml.chart+xml"/>
  <Override PartName="/word/theme/themeOverride6.xml" ContentType="application/vnd.openxmlformats-officedocument.themeOverride+xml"/>
  <Override PartName="/word/drawings/drawing6.xml" ContentType="application/vnd.openxmlformats-officedocument.drawingml.chartshapes+xml"/>
  <Override PartName="/word/charts/chart7.xml" ContentType="application/vnd.openxmlformats-officedocument.drawingml.chart+xml"/>
  <Override PartName="/word/drawings/drawing7.xml" ContentType="application/vnd.openxmlformats-officedocument.drawingml.chartshapes+xml"/>
  <Override PartName="/word/charts/chart8.xml" ContentType="application/vnd.openxmlformats-officedocument.drawingml.chart+xml"/>
  <Override PartName="/word/drawings/drawing8.xml" ContentType="application/vnd.openxmlformats-officedocument.drawingml.chartshapes+xml"/>
  <Override PartName="/word/charts/chart9.xml" ContentType="application/vnd.openxmlformats-officedocument.drawingml.chart+xml"/>
  <Override PartName="/word/theme/themeOverride7.xml" ContentType="application/vnd.openxmlformats-officedocument.themeOverride+xml"/>
  <Override PartName="/word/drawings/drawing9.xml" ContentType="application/vnd.openxmlformats-officedocument.drawingml.chartshapes+xml"/>
  <Override PartName="/word/charts/chart10.xml" ContentType="application/vnd.openxmlformats-officedocument.drawingml.chart+xml"/>
  <Override PartName="/word/theme/themeOverride8.xml" ContentType="application/vnd.openxmlformats-officedocument.themeOverride+xml"/>
  <Override PartName="/word/drawings/drawing10.xml" ContentType="application/vnd.openxmlformats-officedocument.drawingml.chartshapes+xml"/>
  <Override PartName="/word/charts/chart11.xml" ContentType="application/vnd.openxmlformats-officedocument.drawingml.chart+xml"/>
  <Override PartName="/word/theme/themeOverride9.xml" ContentType="application/vnd.openxmlformats-officedocument.themeOverride+xml"/>
  <Override PartName="/word/charts/chart12.xml" ContentType="application/vnd.openxmlformats-officedocument.drawingml.chart+xml"/>
  <Override PartName="/word/theme/themeOverride10.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423B8" w:rsidRPr="003F1573" w:rsidRDefault="008423B8" w:rsidP="008423B8">
      <w:pPr>
        <w:keepNext/>
        <w:spacing w:line="300" w:lineRule="auto"/>
        <w:jc w:val="center"/>
        <w:outlineLvl w:val="0"/>
        <w:rPr>
          <w:rFonts w:eastAsia="Calibri"/>
          <w:kern w:val="32"/>
          <w:sz w:val="28"/>
          <w:szCs w:val="28"/>
        </w:rPr>
      </w:pPr>
      <w:bookmarkStart w:id="0" w:name="_GoBack"/>
      <w:bookmarkEnd w:id="0"/>
      <w:r w:rsidRPr="003F1573">
        <w:rPr>
          <w:rFonts w:eastAsia="Calibri"/>
          <w:kern w:val="32"/>
          <w:sz w:val="28"/>
          <w:szCs w:val="28"/>
        </w:rPr>
        <w:t xml:space="preserve">Одеський національний університет імені </w:t>
      </w:r>
      <w:r w:rsidRPr="003F1573">
        <w:rPr>
          <w:rFonts w:eastAsia="Calibri"/>
          <w:caps/>
          <w:kern w:val="32"/>
          <w:sz w:val="28"/>
          <w:szCs w:val="28"/>
        </w:rPr>
        <w:t>і. і. м</w:t>
      </w:r>
      <w:r w:rsidRPr="003F1573">
        <w:rPr>
          <w:rFonts w:eastAsia="Calibri"/>
          <w:kern w:val="32"/>
          <w:sz w:val="28"/>
          <w:szCs w:val="28"/>
        </w:rPr>
        <w:t>ечникова</w:t>
      </w:r>
    </w:p>
    <w:p w:rsidR="008423B8" w:rsidRPr="003F1573" w:rsidRDefault="008423B8" w:rsidP="008423B8">
      <w:pPr>
        <w:widowControl w:val="0"/>
        <w:spacing w:line="300" w:lineRule="auto"/>
        <w:jc w:val="center"/>
        <w:rPr>
          <w:rFonts w:eastAsia="Calibri"/>
          <w:bCs/>
          <w:sz w:val="28"/>
          <w:szCs w:val="28"/>
        </w:rPr>
      </w:pPr>
      <w:r w:rsidRPr="003F1573">
        <w:rPr>
          <w:rFonts w:eastAsia="Calibri"/>
          <w:bCs/>
          <w:sz w:val="28"/>
          <w:szCs w:val="28"/>
        </w:rPr>
        <w:t>Факультет міжнародних відносин, політології та соціології</w:t>
      </w:r>
    </w:p>
    <w:p w:rsidR="008423B8" w:rsidRPr="003F1573" w:rsidRDefault="008423B8" w:rsidP="008423B8">
      <w:pPr>
        <w:widowControl w:val="0"/>
        <w:spacing w:line="300" w:lineRule="auto"/>
        <w:jc w:val="center"/>
        <w:rPr>
          <w:rFonts w:eastAsia="Calibri"/>
          <w:sz w:val="28"/>
          <w:szCs w:val="28"/>
        </w:rPr>
      </w:pPr>
      <w:r w:rsidRPr="003F1573">
        <w:rPr>
          <w:rFonts w:eastAsia="Calibri"/>
          <w:sz w:val="28"/>
          <w:szCs w:val="28"/>
        </w:rPr>
        <w:t>Кафедра світового господарства і міжнародних економічних відносин</w:t>
      </w:r>
    </w:p>
    <w:p w:rsidR="008423B8" w:rsidRPr="003F1573" w:rsidRDefault="008423B8" w:rsidP="008423B8">
      <w:pPr>
        <w:widowControl w:val="0"/>
        <w:autoSpaceDE w:val="0"/>
        <w:autoSpaceDN w:val="0"/>
        <w:adjustRightInd w:val="0"/>
        <w:jc w:val="both"/>
        <w:rPr>
          <w:rFonts w:eastAsia="Calibri"/>
          <w:color w:val="000000"/>
          <w:sz w:val="28"/>
          <w:szCs w:val="28"/>
        </w:rPr>
      </w:pPr>
    </w:p>
    <w:p w:rsidR="008423B8" w:rsidRPr="003F1573" w:rsidRDefault="008423B8" w:rsidP="008423B8">
      <w:pPr>
        <w:widowControl w:val="0"/>
        <w:autoSpaceDE w:val="0"/>
        <w:autoSpaceDN w:val="0"/>
        <w:adjustRightInd w:val="0"/>
        <w:jc w:val="both"/>
        <w:rPr>
          <w:rFonts w:eastAsia="Calibri"/>
          <w:b/>
          <w:color w:val="000000"/>
          <w:sz w:val="28"/>
          <w:szCs w:val="28"/>
        </w:rPr>
      </w:pPr>
    </w:p>
    <w:p w:rsidR="008423B8" w:rsidRPr="003F1573" w:rsidRDefault="008423B8" w:rsidP="008423B8">
      <w:pPr>
        <w:widowControl w:val="0"/>
        <w:autoSpaceDE w:val="0"/>
        <w:autoSpaceDN w:val="0"/>
        <w:adjustRightInd w:val="0"/>
        <w:jc w:val="both"/>
        <w:rPr>
          <w:rFonts w:eastAsia="Calibri"/>
          <w:b/>
          <w:color w:val="000000"/>
          <w:sz w:val="28"/>
          <w:szCs w:val="28"/>
        </w:rPr>
      </w:pPr>
    </w:p>
    <w:p w:rsidR="008423B8" w:rsidRPr="003F1573" w:rsidRDefault="008423B8" w:rsidP="008423B8">
      <w:pPr>
        <w:widowControl w:val="0"/>
        <w:autoSpaceDE w:val="0"/>
        <w:autoSpaceDN w:val="0"/>
        <w:adjustRightInd w:val="0"/>
        <w:jc w:val="both"/>
        <w:rPr>
          <w:rFonts w:eastAsia="Calibri"/>
          <w:b/>
          <w:color w:val="000000"/>
          <w:sz w:val="28"/>
          <w:szCs w:val="28"/>
        </w:rPr>
      </w:pPr>
    </w:p>
    <w:p w:rsidR="008423B8" w:rsidRPr="003F1573" w:rsidRDefault="008423B8" w:rsidP="008423B8">
      <w:pPr>
        <w:widowControl w:val="0"/>
        <w:autoSpaceDE w:val="0"/>
        <w:autoSpaceDN w:val="0"/>
        <w:adjustRightInd w:val="0"/>
        <w:jc w:val="both"/>
        <w:rPr>
          <w:rFonts w:eastAsia="Calibri"/>
          <w:b/>
          <w:color w:val="000000"/>
          <w:sz w:val="28"/>
          <w:szCs w:val="28"/>
        </w:rPr>
      </w:pPr>
    </w:p>
    <w:p w:rsidR="008423B8" w:rsidRPr="003F1573" w:rsidRDefault="008423B8" w:rsidP="008423B8">
      <w:pPr>
        <w:widowControl w:val="0"/>
        <w:autoSpaceDE w:val="0"/>
        <w:autoSpaceDN w:val="0"/>
        <w:adjustRightInd w:val="0"/>
        <w:spacing w:line="360" w:lineRule="auto"/>
        <w:jc w:val="center"/>
        <w:rPr>
          <w:rFonts w:eastAsia="Calibri"/>
          <w:b/>
          <w:color w:val="000000"/>
          <w:sz w:val="28"/>
          <w:szCs w:val="28"/>
        </w:rPr>
      </w:pPr>
      <w:r w:rsidRPr="003F1573">
        <w:rPr>
          <w:rFonts w:eastAsia="Calibri"/>
          <w:b/>
          <w:color w:val="000000"/>
          <w:sz w:val="28"/>
          <w:szCs w:val="28"/>
        </w:rPr>
        <w:t>ДИПЛОМНА РОБОТА</w:t>
      </w:r>
    </w:p>
    <w:p w:rsidR="008423B8" w:rsidRPr="003F1573" w:rsidRDefault="008423B8" w:rsidP="008423B8">
      <w:pPr>
        <w:widowControl w:val="0"/>
        <w:autoSpaceDE w:val="0"/>
        <w:autoSpaceDN w:val="0"/>
        <w:adjustRightInd w:val="0"/>
        <w:spacing w:line="360" w:lineRule="auto"/>
        <w:jc w:val="center"/>
        <w:rPr>
          <w:rFonts w:eastAsia="Calibri"/>
          <w:color w:val="000000"/>
          <w:sz w:val="28"/>
          <w:szCs w:val="28"/>
        </w:rPr>
      </w:pPr>
      <w:r w:rsidRPr="003F1573">
        <w:rPr>
          <w:rFonts w:eastAsia="Calibri"/>
          <w:color w:val="000000"/>
          <w:sz w:val="28"/>
          <w:szCs w:val="28"/>
        </w:rPr>
        <w:t>на здобуття ступеня вищої освіти «бакалавр»</w:t>
      </w:r>
    </w:p>
    <w:p w:rsidR="008423B8" w:rsidRPr="003F1573" w:rsidRDefault="008423B8" w:rsidP="008423B8">
      <w:pPr>
        <w:widowControl w:val="0"/>
        <w:autoSpaceDE w:val="0"/>
        <w:autoSpaceDN w:val="0"/>
        <w:adjustRightInd w:val="0"/>
        <w:spacing w:line="360" w:lineRule="auto"/>
        <w:jc w:val="center"/>
        <w:rPr>
          <w:rFonts w:eastAsia="Calibri"/>
          <w:b/>
          <w:color w:val="000000"/>
          <w:sz w:val="28"/>
          <w:szCs w:val="28"/>
        </w:rPr>
      </w:pPr>
      <w:r w:rsidRPr="003F1573">
        <w:rPr>
          <w:rFonts w:eastAsia="Calibri"/>
          <w:b/>
          <w:color w:val="000000"/>
          <w:sz w:val="28"/>
          <w:szCs w:val="28"/>
        </w:rPr>
        <w:t>на тему: «</w:t>
      </w:r>
      <w:r w:rsidR="00651CC3" w:rsidRPr="003F1573">
        <w:rPr>
          <w:rFonts w:eastAsia="Calibri"/>
          <w:b/>
          <w:color w:val="000000"/>
          <w:sz w:val="28"/>
          <w:szCs w:val="28"/>
        </w:rPr>
        <w:t>Трансформація зовнішньоекономічних позицій Японії та Китаю в умовах світової пандемії COVID-19</w:t>
      </w:r>
      <w:r w:rsidRPr="003F1573">
        <w:rPr>
          <w:rFonts w:eastAsia="Calibri"/>
          <w:b/>
          <w:color w:val="000000"/>
          <w:sz w:val="28"/>
          <w:szCs w:val="28"/>
        </w:rPr>
        <w:t>»</w:t>
      </w:r>
    </w:p>
    <w:p w:rsidR="008423B8" w:rsidRPr="003F1573" w:rsidRDefault="008423B8" w:rsidP="008423B8">
      <w:pPr>
        <w:widowControl w:val="0"/>
        <w:autoSpaceDE w:val="0"/>
        <w:autoSpaceDN w:val="0"/>
        <w:adjustRightInd w:val="0"/>
        <w:spacing w:line="360" w:lineRule="auto"/>
        <w:jc w:val="center"/>
        <w:rPr>
          <w:rFonts w:eastAsia="Calibri"/>
          <w:b/>
          <w:color w:val="000000"/>
          <w:sz w:val="18"/>
          <w:szCs w:val="18"/>
        </w:rPr>
      </w:pPr>
      <w:r w:rsidRPr="003F1573">
        <w:rPr>
          <w:rFonts w:eastAsia="Calibri"/>
          <w:b/>
          <w:color w:val="000000"/>
          <w:sz w:val="18"/>
          <w:szCs w:val="18"/>
        </w:rPr>
        <w:t xml:space="preserve">  </w:t>
      </w:r>
    </w:p>
    <w:p w:rsidR="008423B8" w:rsidRPr="003F1573" w:rsidRDefault="008423B8" w:rsidP="008423B8">
      <w:pPr>
        <w:widowControl w:val="0"/>
        <w:autoSpaceDE w:val="0"/>
        <w:autoSpaceDN w:val="0"/>
        <w:adjustRightInd w:val="0"/>
        <w:spacing w:line="360" w:lineRule="auto"/>
        <w:jc w:val="center"/>
        <w:rPr>
          <w:rFonts w:eastAsia="Calibri"/>
          <w:bCs/>
          <w:color w:val="000000"/>
          <w:sz w:val="24"/>
          <w:szCs w:val="24"/>
        </w:rPr>
      </w:pPr>
      <w:r w:rsidRPr="003F1573">
        <w:rPr>
          <w:rFonts w:eastAsia="Calibri"/>
          <w:bCs/>
          <w:color w:val="000000"/>
          <w:sz w:val="24"/>
          <w:szCs w:val="24"/>
        </w:rPr>
        <w:t>«</w:t>
      </w:r>
      <w:r w:rsidRPr="003F1573">
        <w:rPr>
          <w:sz w:val="24"/>
          <w:szCs w:val="24"/>
        </w:rPr>
        <w:t xml:space="preserve">Transformation of Foreign Economic Positions of </w:t>
      </w:r>
      <w:r w:rsidR="00651CC3" w:rsidRPr="003F1573">
        <w:rPr>
          <w:rFonts w:eastAsia="Calibri"/>
          <w:bCs/>
          <w:color w:val="000000"/>
          <w:sz w:val="24"/>
          <w:szCs w:val="24"/>
        </w:rPr>
        <w:t>Japan and China</w:t>
      </w:r>
      <w:r w:rsidRPr="003F1573">
        <w:rPr>
          <w:rFonts w:eastAsia="Calibri"/>
          <w:bCs/>
          <w:color w:val="000000"/>
          <w:sz w:val="24"/>
          <w:szCs w:val="24"/>
        </w:rPr>
        <w:t xml:space="preserve"> in the Conditions of Global Competition» </w:t>
      </w:r>
    </w:p>
    <w:p w:rsidR="008423B8" w:rsidRPr="003F1573" w:rsidRDefault="008423B8" w:rsidP="008423B8">
      <w:pPr>
        <w:widowControl w:val="0"/>
        <w:autoSpaceDE w:val="0"/>
        <w:autoSpaceDN w:val="0"/>
        <w:adjustRightInd w:val="0"/>
        <w:jc w:val="center"/>
        <w:rPr>
          <w:rFonts w:eastAsia="Calibri"/>
          <w:b/>
          <w:color w:val="000000"/>
          <w:sz w:val="28"/>
          <w:szCs w:val="28"/>
        </w:rPr>
      </w:pPr>
    </w:p>
    <w:p w:rsidR="008423B8" w:rsidRPr="003F1573" w:rsidRDefault="008423B8" w:rsidP="008423B8">
      <w:pPr>
        <w:widowControl w:val="0"/>
        <w:autoSpaceDE w:val="0"/>
        <w:autoSpaceDN w:val="0"/>
        <w:adjustRightInd w:val="0"/>
        <w:jc w:val="center"/>
        <w:rPr>
          <w:rFonts w:eastAsia="Calibri"/>
          <w:b/>
          <w:color w:val="000000"/>
          <w:sz w:val="28"/>
          <w:szCs w:val="28"/>
        </w:rPr>
      </w:pPr>
    </w:p>
    <w:tbl>
      <w:tblPr>
        <w:tblW w:w="8766" w:type="dxa"/>
        <w:tblInd w:w="1548" w:type="dxa"/>
        <w:tblLook w:val="0000" w:firstRow="0" w:lastRow="0" w:firstColumn="0" w:lastColumn="0" w:noHBand="0" w:noVBand="0"/>
      </w:tblPr>
      <w:tblGrid>
        <w:gridCol w:w="8766"/>
      </w:tblGrid>
      <w:tr w:rsidR="008423B8" w:rsidRPr="003F1573" w:rsidTr="00651CC3">
        <w:trPr>
          <w:trHeight w:val="3190"/>
        </w:trPr>
        <w:tc>
          <w:tcPr>
            <w:tcW w:w="8766" w:type="dxa"/>
          </w:tcPr>
          <w:p w:rsidR="008423B8" w:rsidRPr="003F1573" w:rsidRDefault="008423B8" w:rsidP="008423B8">
            <w:pPr>
              <w:widowControl w:val="0"/>
              <w:autoSpaceDE w:val="0"/>
              <w:autoSpaceDN w:val="0"/>
              <w:adjustRightInd w:val="0"/>
              <w:jc w:val="center"/>
              <w:rPr>
                <w:rFonts w:eastAsia="Calibri"/>
                <w:color w:val="000000"/>
                <w:sz w:val="28"/>
                <w:szCs w:val="28"/>
              </w:rPr>
            </w:pPr>
          </w:p>
          <w:p w:rsidR="008423B8" w:rsidRPr="003F1573" w:rsidRDefault="008423B8" w:rsidP="00651CC3">
            <w:pPr>
              <w:widowControl w:val="0"/>
              <w:autoSpaceDE w:val="0"/>
              <w:autoSpaceDN w:val="0"/>
              <w:adjustRightInd w:val="0"/>
              <w:spacing w:line="300" w:lineRule="auto"/>
              <w:rPr>
                <w:rFonts w:eastAsia="Calibri"/>
                <w:color w:val="000000"/>
                <w:sz w:val="28"/>
                <w:szCs w:val="28"/>
              </w:rPr>
            </w:pPr>
            <w:r w:rsidRPr="003F1573">
              <w:rPr>
                <w:rFonts w:eastAsia="Calibri"/>
                <w:color w:val="000000"/>
                <w:sz w:val="28"/>
                <w:szCs w:val="28"/>
              </w:rPr>
              <w:t xml:space="preserve">      </w:t>
            </w:r>
            <w:r w:rsidR="00651CC3" w:rsidRPr="003F1573">
              <w:rPr>
                <w:rFonts w:eastAsia="Calibri"/>
                <w:color w:val="000000"/>
                <w:sz w:val="28"/>
                <w:szCs w:val="28"/>
              </w:rPr>
              <w:t xml:space="preserve">       </w:t>
            </w:r>
            <w:r w:rsidRPr="003F1573">
              <w:rPr>
                <w:rFonts w:eastAsia="Calibri"/>
                <w:color w:val="000000"/>
                <w:sz w:val="28"/>
                <w:szCs w:val="28"/>
              </w:rPr>
              <w:t>Викона</w:t>
            </w:r>
            <w:r w:rsidR="00651CC3" w:rsidRPr="003F1573">
              <w:rPr>
                <w:rFonts w:eastAsia="Calibri"/>
                <w:color w:val="000000"/>
                <w:sz w:val="28"/>
                <w:szCs w:val="28"/>
              </w:rPr>
              <w:t>ла</w:t>
            </w:r>
            <w:r w:rsidRPr="003F1573">
              <w:rPr>
                <w:rFonts w:eastAsia="Calibri"/>
                <w:color w:val="000000"/>
                <w:sz w:val="28"/>
                <w:szCs w:val="28"/>
              </w:rPr>
              <w:t>: студент</w:t>
            </w:r>
            <w:r w:rsidR="00651CC3" w:rsidRPr="003F1573">
              <w:rPr>
                <w:rFonts w:eastAsia="Calibri"/>
                <w:color w:val="000000"/>
                <w:sz w:val="28"/>
                <w:szCs w:val="28"/>
              </w:rPr>
              <w:t>ка</w:t>
            </w:r>
            <w:r w:rsidRPr="003F1573">
              <w:rPr>
                <w:rFonts w:eastAsia="Calibri"/>
                <w:color w:val="000000"/>
                <w:sz w:val="28"/>
                <w:szCs w:val="28"/>
              </w:rPr>
              <w:t xml:space="preserve"> денної форми навчання</w:t>
            </w:r>
          </w:p>
          <w:p w:rsidR="008423B8" w:rsidRPr="003F1573" w:rsidRDefault="008423B8" w:rsidP="00651CC3">
            <w:pPr>
              <w:widowControl w:val="0"/>
              <w:autoSpaceDE w:val="0"/>
              <w:autoSpaceDN w:val="0"/>
              <w:adjustRightInd w:val="0"/>
              <w:spacing w:line="300" w:lineRule="auto"/>
              <w:rPr>
                <w:rFonts w:eastAsia="Calibri"/>
                <w:color w:val="000000"/>
                <w:sz w:val="28"/>
                <w:szCs w:val="28"/>
              </w:rPr>
            </w:pPr>
            <w:r w:rsidRPr="003F1573">
              <w:rPr>
                <w:rFonts w:eastAsia="Calibri"/>
                <w:color w:val="000000"/>
                <w:sz w:val="28"/>
                <w:szCs w:val="28"/>
              </w:rPr>
              <w:t xml:space="preserve">      </w:t>
            </w:r>
            <w:r w:rsidR="00651CC3" w:rsidRPr="003F1573">
              <w:rPr>
                <w:rFonts w:eastAsia="Calibri"/>
                <w:color w:val="000000"/>
                <w:sz w:val="28"/>
                <w:szCs w:val="28"/>
              </w:rPr>
              <w:t xml:space="preserve">       </w:t>
            </w:r>
            <w:r w:rsidRPr="003F1573">
              <w:rPr>
                <w:rFonts w:eastAsia="Calibri"/>
                <w:color w:val="000000"/>
                <w:sz w:val="28"/>
                <w:szCs w:val="28"/>
              </w:rPr>
              <w:t>Спеціальності 292 «Міжнародні економічні відносини</w:t>
            </w:r>
            <w:r w:rsidRPr="003F1573">
              <w:rPr>
                <w:rFonts w:eastAsia="Calibri"/>
                <w:color w:val="000000"/>
                <w:sz w:val="28"/>
                <w:szCs w:val="28"/>
                <w:lang w:eastAsia="uk-UA"/>
              </w:rPr>
              <w:t>»</w:t>
            </w:r>
          </w:p>
          <w:p w:rsidR="008423B8" w:rsidRPr="003F1573" w:rsidRDefault="008423B8" w:rsidP="00651CC3">
            <w:pPr>
              <w:widowControl w:val="0"/>
              <w:autoSpaceDE w:val="0"/>
              <w:autoSpaceDN w:val="0"/>
              <w:adjustRightInd w:val="0"/>
              <w:spacing w:line="300" w:lineRule="auto"/>
              <w:rPr>
                <w:rFonts w:eastAsia="Calibri"/>
                <w:color w:val="000000"/>
                <w:sz w:val="28"/>
                <w:szCs w:val="28"/>
              </w:rPr>
            </w:pPr>
            <w:r w:rsidRPr="003F1573">
              <w:rPr>
                <w:rFonts w:eastAsia="Calibri"/>
                <w:color w:val="000000"/>
                <w:sz w:val="28"/>
                <w:szCs w:val="28"/>
              </w:rPr>
              <w:t xml:space="preserve">      </w:t>
            </w:r>
            <w:r w:rsidR="00651CC3" w:rsidRPr="003F1573">
              <w:rPr>
                <w:rFonts w:eastAsia="Calibri"/>
                <w:color w:val="000000"/>
                <w:sz w:val="28"/>
                <w:szCs w:val="28"/>
              </w:rPr>
              <w:t xml:space="preserve">       Таран Олександра Ігорівна</w:t>
            </w:r>
          </w:p>
          <w:p w:rsidR="008423B8" w:rsidRPr="003F1573" w:rsidRDefault="008423B8" w:rsidP="00651CC3">
            <w:pPr>
              <w:widowControl w:val="0"/>
              <w:autoSpaceDE w:val="0"/>
              <w:autoSpaceDN w:val="0"/>
              <w:adjustRightInd w:val="0"/>
              <w:rPr>
                <w:rFonts w:eastAsia="Calibri"/>
                <w:color w:val="000000"/>
                <w:sz w:val="28"/>
                <w:szCs w:val="28"/>
              </w:rPr>
            </w:pPr>
            <w:r w:rsidRPr="003F1573">
              <w:rPr>
                <w:rFonts w:eastAsia="Calibri"/>
                <w:color w:val="000000"/>
                <w:sz w:val="28"/>
                <w:szCs w:val="28"/>
              </w:rPr>
              <w:t xml:space="preserve">      </w:t>
            </w:r>
            <w:r w:rsidR="00651CC3" w:rsidRPr="003F1573">
              <w:rPr>
                <w:rFonts w:eastAsia="Calibri"/>
                <w:color w:val="000000"/>
                <w:sz w:val="28"/>
                <w:szCs w:val="28"/>
              </w:rPr>
              <w:t xml:space="preserve">        </w:t>
            </w:r>
            <w:r w:rsidRPr="003F1573">
              <w:rPr>
                <w:rFonts w:eastAsia="Calibri"/>
                <w:color w:val="000000"/>
                <w:sz w:val="28"/>
                <w:szCs w:val="28"/>
              </w:rPr>
              <w:t xml:space="preserve">Науковий керівник – д.е.н., проф. </w:t>
            </w:r>
            <w:r w:rsidR="00651CC3" w:rsidRPr="003F1573">
              <w:rPr>
                <w:rFonts w:eastAsia="Calibri"/>
                <w:color w:val="000000"/>
                <w:sz w:val="28"/>
                <w:szCs w:val="28"/>
              </w:rPr>
              <w:t>Якубовський С. О. ______</w:t>
            </w:r>
            <w:r w:rsidRPr="003F1573">
              <w:rPr>
                <w:rFonts w:eastAsia="Calibri"/>
                <w:color w:val="000000"/>
                <w:sz w:val="28"/>
                <w:szCs w:val="28"/>
              </w:rPr>
              <w:t>_</w:t>
            </w:r>
          </w:p>
          <w:p w:rsidR="008423B8" w:rsidRPr="003F1573" w:rsidRDefault="00651CC3" w:rsidP="00651CC3">
            <w:pPr>
              <w:widowControl w:val="0"/>
              <w:autoSpaceDE w:val="0"/>
              <w:autoSpaceDN w:val="0"/>
              <w:adjustRightInd w:val="0"/>
              <w:rPr>
                <w:rFonts w:eastAsia="Calibri"/>
                <w:color w:val="000000"/>
                <w:sz w:val="2"/>
                <w:szCs w:val="2"/>
              </w:rPr>
            </w:pPr>
            <w:r w:rsidRPr="003F1573">
              <w:rPr>
                <w:rFonts w:eastAsia="Calibri"/>
                <w:color w:val="000000"/>
              </w:rPr>
              <w:t xml:space="preserve">  </w:t>
            </w:r>
            <w:r w:rsidRPr="003F1573">
              <w:rPr>
                <w:rFonts w:eastAsia="Calibri"/>
                <w:color w:val="000000"/>
                <w:sz w:val="2"/>
                <w:szCs w:val="2"/>
              </w:rPr>
              <w:t xml:space="preserve">       </w:t>
            </w:r>
            <w:r w:rsidR="008423B8" w:rsidRPr="003F1573">
              <w:rPr>
                <w:rFonts w:eastAsia="Calibri"/>
                <w:color w:val="000000"/>
                <w:sz w:val="2"/>
                <w:szCs w:val="2"/>
              </w:rPr>
              <w:t xml:space="preserve">                                                     </w:t>
            </w:r>
          </w:p>
          <w:p w:rsidR="008423B8" w:rsidRPr="003F1573" w:rsidRDefault="008423B8" w:rsidP="0001734A">
            <w:pPr>
              <w:widowControl w:val="0"/>
              <w:autoSpaceDE w:val="0"/>
              <w:autoSpaceDN w:val="0"/>
              <w:adjustRightInd w:val="0"/>
              <w:rPr>
                <w:rFonts w:eastAsia="Calibri"/>
                <w:color w:val="000000"/>
                <w:sz w:val="28"/>
                <w:szCs w:val="28"/>
              </w:rPr>
            </w:pPr>
            <w:r w:rsidRPr="003F1573">
              <w:rPr>
                <w:rFonts w:eastAsia="Calibri"/>
                <w:color w:val="000000"/>
                <w:sz w:val="28"/>
                <w:szCs w:val="28"/>
              </w:rPr>
              <w:t xml:space="preserve">      </w:t>
            </w:r>
            <w:r w:rsidR="00651CC3" w:rsidRPr="003F1573">
              <w:rPr>
                <w:rFonts w:eastAsia="Calibri"/>
                <w:color w:val="000000"/>
                <w:sz w:val="28"/>
                <w:szCs w:val="28"/>
              </w:rPr>
              <w:t xml:space="preserve">        </w:t>
            </w:r>
            <w:r w:rsidRPr="003F1573">
              <w:rPr>
                <w:rFonts w:eastAsia="Calibri"/>
                <w:color w:val="000000"/>
                <w:sz w:val="28"/>
                <w:szCs w:val="28"/>
              </w:rPr>
              <w:t xml:space="preserve">Рецензент – д.е.н., проф. </w:t>
            </w:r>
            <w:r w:rsidR="0001734A">
              <w:rPr>
                <w:rFonts w:eastAsia="Calibri"/>
                <w:color w:val="000000"/>
                <w:sz w:val="28"/>
                <w:szCs w:val="28"/>
              </w:rPr>
              <w:t>Горняк</w:t>
            </w:r>
            <w:r w:rsidRPr="003F1573">
              <w:rPr>
                <w:rFonts w:eastAsia="Calibri"/>
                <w:color w:val="000000"/>
                <w:sz w:val="28"/>
                <w:szCs w:val="28"/>
              </w:rPr>
              <w:t xml:space="preserve"> О. В.</w:t>
            </w:r>
          </w:p>
        </w:tc>
      </w:tr>
    </w:tbl>
    <w:p w:rsidR="008423B8" w:rsidRPr="003F1573" w:rsidRDefault="008423B8" w:rsidP="008423B8">
      <w:pPr>
        <w:widowControl w:val="0"/>
        <w:autoSpaceDE w:val="0"/>
        <w:autoSpaceDN w:val="0"/>
        <w:adjustRightInd w:val="0"/>
        <w:jc w:val="center"/>
        <w:rPr>
          <w:rFonts w:eastAsia="Calibri"/>
          <w:color w:val="000000"/>
          <w:sz w:val="28"/>
          <w:szCs w:val="28"/>
        </w:rPr>
      </w:pPr>
    </w:p>
    <w:p w:rsidR="008423B8" w:rsidRPr="003F1573" w:rsidRDefault="008423B8" w:rsidP="008423B8">
      <w:pPr>
        <w:widowControl w:val="0"/>
        <w:autoSpaceDE w:val="0"/>
        <w:autoSpaceDN w:val="0"/>
        <w:adjustRightInd w:val="0"/>
        <w:ind w:left="-567"/>
        <w:jc w:val="both"/>
        <w:rPr>
          <w:rFonts w:eastAsia="Calibri"/>
          <w:color w:val="000000"/>
          <w:sz w:val="28"/>
          <w:szCs w:val="28"/>
        </w:rPr>
      </w:pPr>
    </w:p>
    <w:p w:rsidR="008423B8" w:rsidRPr="003F1573" w:rsidRDefault="008423B8" w:rsidP="008423B8">
      <w:pPr>
        <w:widowControl w:val="0"/>
        <w:autoSpaceDE w:val="0"/>
        <w:autoSpaceDN w:val="0"/>
        <w:adjustRightInd w:val="0"/>
        <w:spacing w:after="120" w:line="360" w:lineRule="auto"/>
        <w:ind w:left="-567"/>
        <w:jc w:val="both"/>
        <w:rPr>
          <w:rFonts w:eastAsia="Calibri"/>
          <w:color w:val="000000"/>
          <w:sz w:val="28"/>
          <w:szCs w:val="28"/>
        </w:rPr>
      </w:pPr>
      <w:r w:rsidRPr="003F1573">
        <w:rPr>
          <w:rFonts w:eastAsia="Calibri"/>
          <w:color w:val="000000"/>
          <w:sz w:val="28"/>
          <w:szCs w:val="28"/>
        </w:rPr>
        <w:t>Рекомендовано до захисту:                            Захищено на засіданні ЕК № __</w:t>
      </w:r>
    </w:p>
    <w:p w:rsidR="008423B8" w:rsidRPr="003F1573" w:rsidRDefault="008423B8" w:rsidP="008423B8">
      <w:pPr>
        <w:widowControl w:val="0"/>
        <w:autoSpaceDE w:val="0"/>
        <w:autoSpaceDN w:val="0"/>
        <w:adjustRightInd w:val="0"/>
        <w:spacing w:line="360" w:lineRule="auto"/>
        <w:ind w:left="-567"/>
        <w:jc w:val="both"/>
        <w:rPr>
          <w:rFonts w:eastAsia="Calibri"/>
          <w:color w:val="000000"/>
          <w:sz w:val="28"/>
          <w:szCs w:val="28"/>
        </w:rPr>
      </w:pPr>
      <w:r w:rsidRPr="003F1573">
        <w:rPr>
          <w:rFonts w:eastAsia="Calibri"/>
          <w:color w:val="000000"/>
          <w:sz w:val="28"/>
          <w:szCs w:val="28"/>
        </w:rPr>
        <w:t>Протокол засідання кафедри                             протокол №__ від «__»____ 2022 р.</w:t>
      </w:r>
    </w:p>
    <w:p w:rsidR="008423B8" w:rsidRPr="003F1573" w:rsidRDefault="008423B8" w:rsidP="008423B8">
      <w:pPr>
        <w:widowControl w:val="0"/>
        <w:autoSpaceDE w:val="0"/>
        <w:autoSpaceDN w:val="0"/>
        <w:adjustRightInd w:val="0"/>
        <w:spacing w:after="120" w:line="360" w:lineRule="auto"/>
        <w:ind w:left="-567"/>
        <w:jc w:val="both"/>
        <w:rPr>
          <w:rFonts w:eastAsia="Calibri"/>
          <w:color w:val="000000"/>
          <w:sz w:val="28"/>
          <w:szCs w:val="28"/>
        </w:rPr>
      </w:pPr>
      <w:r w:rsidRPr="003F1573">
        <w:rPr>
          <w:rFonts w:eastAsia="Calibri"/>
          <w:color w:val="000000"/>
          <w:sz w:val="28"/>
          <w:szCs w:val="28"/>
        </w:rPr>
        <w:t xml:space="preserve">№ 9 від «25» травня 2022 р.                               Оцінка___________/______/______                         </w:t>
      </w:r>
    </w:p>
    <w:p w:rsidR="008423B8" w:rsidRPr="003F1573" w:rsidRDefault="008423B8" w:rsidP="008423B8">
      <w:pPr>
        <w:widowControl w:val="0"/>
        <w:autoSpaceDE w:val="0"/>
        <w:autoSpaceDN w:val="0"/>
        <w:adjustRightInd w:val="0"/>
        <w:spacing w:line="360" w:lineRule="auto"/>
        <w:ind w:left="-567"/>
        <w:jc w:val="both"/>
        <w:rPr>
          <w:rFonts w:eastAsia="Calibri"/>
          <w:color w:val="000000"/>
          <w:sz w:val="28"/>
          <w:szCs w:val="28"/>
        </w:rPr>
      </w:pPr>
      <w:r w:rsidRPr="003F1573">
        <w:rPr>
          <w:rFonts w:eastAsia="Calibri"/>
          <w:color w:val="000000"/>
          <w:sz w:val="28"/>
          <w:szCs w:val="28"/>
        </w:rPr>
        <w:t>Завідувач кафедри______С.О. Якубовський    Голова ЕК______ С.О. Якубовський</w:t>
      </w:r>
    </w:p>
    <w:p w:rsidR="008423B8" w:rsidRPr="003F1573" w:rsidRDefault="008423B8" w:rsidP="008423B8">
      <w:pPr>
        <w:widowControl w:val="0"/>
        <w:autoSpaceDE w:val="0"/>
        <w:autoSpaceDN w:val="0"/>
        <w:adjustRightInd w:val="0"/>
        <w:jc w:val="both"/>
        <w:rPr>
          <w:rFonts w:eastAsia="Calibri"/>
          <w:color w:val="000000"/>
          <w:sz w:val="28"/>
          <w:szCs w:val="28"/>
        </w:rPr>
      </w:pPr>
    </w:p>
    <w:p w:rsidR="008423B8" w:rsidRPr="003F1573" w:rsidRDefault="008423B8" w:rsidP="008423B8">
      <w:pPr>
        <w:widowControl w:val="0"/>
        <w:autoSpaceDE w:val="0"/>
        <w:autoSpaceDN w:val="0"/>
        <w:adjustRightInd w:val="0"/>
        <w:jc w:val="both"/>
        <w:rPr>
          <w:rFonts w:eastAsia="Calibri"/>
          <w:color w:val="000000"/>
          <w:sz w:val="28"/>
          <w:szCs w:val="28"/>
        </w:rPr>
      </w:pPr>
    </w:p>
    <w:p w:rsidR="008423B8" w:rsidRPr="003F1573" w:rsidRDefault="008423B8" w:rsidP="008423B8">
      <w:pPr>
        <w:widowControl w:val="0"/>
        <w:autoSpaceDE w:val="0"/>
        <w:autoSpaceDN w:val="0"/>
        <w:adjustRightInd w:val="0"/>
        <w:jc w:val="center"/>
        <w:rPr>
          <w:rFonts w:eastAsia="Calibri"/>
          <w:bCs/>
          <w:color w:val="000000"/>
          <w:sz w:val="28"/>
          <w:szCs w:val="28"/>
        </w:rPr>
      </w:pPr>
    </w:p>
    <w:p w:rsidR="008423B8" w:rsidRPr="003F1573" w:rsidRDefault="008423B8" w:rsidP="008423B8">
      <w:pPr>
        <w:widowControl w:val="0"/>
        <w:autoSpaceDE w:val="0"/>
        <w:autoSpaceDN w:val="0"/>
        <w:adjustRightInd w:val="0"/>
        <w:jc w:val="center"/>
        <w:rPr>
          <w:rFonts w:eastAsia="Calibri"/>
          <w:bCs/>
          <w:color w:val="000000"/>
          <w:sz w:val="28"/>
          <w:szCs w:val="28"/>
        </w:rPr>
      </w:pPr>
    </w:p>
    <w:p w:rsidR="008423B8" w:rsidRPr="003F1573" w:rsidRDefault="008423B8" w:rsidP="008423B8">
      <w:pPr>
        <w:widowControl w:val="0"/>
        <w:autoSpaceDE w:val="0"/>
        <w:autoSpaceDN w:val="0"/>
        <w:adjustRightInd w:val="0"/>
        <w:jc w:val="center"/>
        <w:rPr>
          <w:rFonts w:eastAsia="Calibri"/>
          <w:bCs/>
          <w:color w:val="000000"/>
          <w:sz w:val="28"/>
          <w:szCs w:val="28"/>
        </w:rPr>
      </w:pPr>
    </w:p>
    <w:p w:rsidR="008423B8" w:rsidRPr="003F1573" w:rsidRDefault="008423B8" w:rsidP="008423B8">
      <w:pPr>
        <w:widowControl w:val="0"/>
        <w:autoSpaceDE w:val="0"/>
        <w:autoSpaceDN w:val="0"/>
        <w:adjustRightInd w:val="0"/>
        <w:jc w:val="center"/>
        <w:rPr>
          <w:rFonts w:eastAsia="Calibri"/>
          <w:bCs/>
          <w:color w:val="000000"/>
          <w:sz w:val="28"/>
          <w:szCs w:val="28"/>
        </w:rPr>
      </w:pPr>
      <w:r w:rsidRPr="003F1573">
        <w:rPr>
          <w:rFonts w:eastAsia="Calibri"/>
          <w:bCs/>
          <w:color w:val="000000"/>
          <w:sz w:val="28"/>
          <w:szCs w:val="28"/>
        </w:rPr>
        <w:t>Одеса – 2022</w:t>
      </w:r>
    </w:p>
    <w:p w:rsidR="008423B8" w:rsidRPr="003F1573" w:rsidRDefault="008423B8" w:rsidP="008423B8">
      <w:pPr>
        <w:widowControl w:val="0"/>
        <w:autoSpaceDE w:val="0"/>
        <w:autoSpaceDN w:val="0"/>
        <w:adjustRightInd w:val="0"/>
        <w:jc w:val="center"/>
        <w:rPr>
          <w:rFonts w:eastAsia="Calibri"/>
          <w:b/>
          <w:bCs/>
          <w:color w:val="000000"/>
          <w:sz w:val="28"/>
          <w:szCs w:val="28"/>
        </w:rPr>
      </w:pPr>
      <w:r w:rsidRPr="003F1573">
        <w:rPr>
          <w:rFonts w:eastAsia="Calibri"/>
          <w:b/>
          <w:bCs/>
          <w:color w:val="000000"/>
          <w:sz w:val="28"/>
          <w:szCs w:val="28"/>
        </w:rPr>
        <w:lastRenderedPageBreak/>
        <w:t>ЗМІСТ</w:t>
      </w:r>
    </w:p>
    <w:p w:rsidR="008423B8" w:rsidRPr="003F1573" w:rsidRDefault="008423B8" w:rsidP="008423B8">
      <w:pPr>
        <w:widowControl w:val="0"/>
        <w:autoSpaceDE w:val="0"/>
        <w:autoSpaceDN w:val="0"/>
        <w:adjustRightInd w:val="0"/>
        <w:jc w:val="center"/>
        <w:rPr>
          <w:rFonts w:eastAsia="Calibri"/>
          <w:b/>
          <w:bCs/>
          <w:color w:val="000000"/>
          <w:sz w:val="28"/>
          <w:szCs w:val="28"/>
        </w:rPr>
      </w:pPr>
    </w:p>
    <w:tbl>
      <w:tblPr>
        <w:tblW w:w="10221" w:type="dxa"/>
        <w:tblInd w:w="-431" w:type="dxa"/>
        <w:tblLook w:val="00A0" w:firstRow="1" w:lastRow="0" w:firstColumn="1" w:lastColumn="0" w:noHBand="0" w:noVBand="0"/>
      </w:tblPr>
      <w:tblGrid>
        <w:gridCol w:w="9725"/>
        <w:gridCol w:w="496"/>
      </w:tblGrid>
      <w:tr w:rsidR="008423B8" w:rsidRPr="003F1573" w:rsidTr="002E2366">
        <w:tc>
          <w:tcPr>
            <w:tcW w:w="9725" w:type="dxa"/>
          </w:tcPr>
          <w:p w:rsidR="008423B8" w:rsidRPr="003F1573" w:rsidRDefault="008423B8" w:rsidP="008423B8">
            <w:pPr>
              <w:suppressAutoHyphens/>
              <w:spacing w:line="360" w:lineRule="auto"/>
              <w:jc w:val="both"/>
              <w:rPr>
                <w:rFonts w:eastAsia="Calibri"/>
                <w:color w:val="000000"/>
                <w:sz w:val="28"/>
                <w:szCs w:val="28"/>
              </w:rPr>
            </w:pPr>
            <w:r w:rsidRPr="003F1573">
              <w:rPr>
                <w:rFonts w:eastAsia="Calibri"/>
                <w:color w:val="000000"/>
                <w:sz w:val="28"/>
                <w:szCs w:val="28"/>
              </w:rPr>
              <w:t>ВСТУП……………………………………………………………………………...</w:t>
            </w:r>
          </w:p>
        </w:tc>
        <w:tc>
          <w:tcPr>
            <w:tcW w:w="496" w:type="dxa"/>
          </w:tcPr>
          <w:p w:rsidR="008423B8" w:rsidRPr="003F1573" w:rsidRDefault="008423B8" w:rsidP="008423B8">
            <w:pPr>
              <w:spacing w:line="360" w:lineRule="auto"/>
              <w:rPr>
                <w:rFonts w:eastAsia="Calibri"/>
                <w:color w:val="000000"/>
                <w:sz w:val="28"/>
                <w:szCs w:val="28"/>
              </w:rPr>
            </w:pPr>
            <w:r w:rsidRPr="003F1573">
              <w:rPr>
                <w:rFonts w:eastAsia="Calibri"/>
                <w:color w:val="000000"/>
                <w:sz w:val="28"/>
                <w:szCs w:val="28"/>
              </w:rPr>
              <w:t>3</w:t>
            </w:r>
          </w:p>
        </w:tc>
      </w:tr>
      <w:tr w:rsidR="008423B8" w:rsidRPr="003F1573" w:rsidTr="002E2366">
        <w:tc>
          <w:tcPr>
            <w:tcW w:w="9725" w:type="dxa"/>
          </w:tcPr>
          <w:p w:rsidR="008423B8" w:rsidRPr="003F1573" w:rsidRDefault="008423B8" w:rsidP="008423B8">
            <w:pPr>
              <w:suppressAutoHyphens/>
              <w:spacing w:line="360" w:lineRule="auto"/>
              <w:rPr>
                <w:rFonts w:eastAsia="Calibri"/>
                <w:color w:val="000000"/>
                <w:sz w:val="28"/>
                <w:szCs w:val="28"/>
              </w:rPr>
            </w:pPr>
          </w:p>
          <w:p w:rsidR="008423B8" w:rsidRPr="003F1573" w:rsidRDefault="008423B8" w:rsidP="0001734A">
            <w:pPr>
              <w:suppressAutoHyphens/>
              <w:spacing w:line="360" w:lineRule="auto"/>
              <w:rPr>
                <w:rFonts w:eastAsia="Calibri"/>
              </w:rPr>
            </w:pPr>
            <w:r w:rsidRPr="003F1573">
              <w:rPr>
                <w:rFonts w:eastAsia="Calibri"/>
                <w:color w:val="000000"/>
                <w:sz w:val="28"/>
                <w:szCs w:val="28"/>
              </w:rPr>
              <w:t xml:space="preserve">РОЗДІЛ 1. </w:t>
            </w:r>
            <w:r w:rsidR="00FB5433" w:rsidRPr="00FB5433">
              <w:rPr>
                <w:rFonts w:eastAsia="Calibri"/>
                <w:color w:val="000000"/>
                <w:sz w:val="28"/>
                <w:szCs w:val="28"/>
              </w:rPr>
              <w:t>ТЕОРЕТИЧНІ ОСНОВИ АНАЛІЗУ ЗОВНІШНЬОЕКОНОМІЧНИХ ПОЗИЦІЙ ЯПОНІЇ ТА КИТАЮ</w:t>
            </w:r>
            <w:r w:rsidR="00FB5433">
              <w:rPr>
                <w:rFonts w:eastAsia="Calibri"/>
                <w:color w:val="000000"/>
                <w:sz w:val="28"/>
                <w:szCs w:val="28"/>
              </w:rPr>
              <w:t>…………………………………………………</w:t>
            </w:r>
            <w:r w:rsidRPr="003F1573">
              <w:rPr>
                <w:rFonts w:eastAsia="Calibri"/>
                <w:color w:val="000000"/>
                <w:sz w:val="28"/>
                <w:szCs w:val="28"/>
              </w:rPr>
              <w:t>…</w:t>
            </w:r>
          </w:p>
        </w:tc>
        <w:tc>
          <w:tcPr>
            <w:tcW w:w="496" w:type="dxa"/>
          </w:tcPr>
          <w:p w:rsidR="008423B8" w:rsidRPr="003F1573" w:rsidRDefault="008423B8" w:rsidP="008423B8">
            <w:pPr>
              <w:spacing w:line="360" w:lineRule="auto"/>
              <w:rPr>
                <w:rFonts w:eastAsia="Calibri"/>
                <w:color w:val="000000"/>
                <w:sz w:val="28"/>
                <w:szCs w:val="28"/>
              </w:rPr>
            </w:pPr>
            <w:r w:rsidRPr="003F1573">
              <w:rPr>
                <w:rFonts w:eastAsia="Calibri"/>
                <w:color w:val="000000"/>
                <w:sz w:val="28"/>
                <w:szCs w:val="28"/>
              </w:rPr>
              <w:t xml:space="preserve">         </w:t>
            </w:r>
          </w:p>
          <w:p w:rsidR="008423B8" w:rsidRPr="003F1573" w:rsidRDefault="008423B8" w:rsidP="008423B8">
            <w:pPr>
              <w:spacing w:line="360" w:lineRule="auto"/>
              <w:rPr>
                <w:rFonts w:eastAsia="Calibri"/>
                <w:color w:val="000000"/>
                <w:sz w:val="28"/>
                <w:szCs w:val="28"/>
              </w:rPr>
            </w:pPr>
            <w:r w:rsidRPr="003F1573">
              <w:rPr>
                <w:rFonts w:eastAsia="Calibri"/>
                <w:color w:val="000000"/>
                <w:sz w:val="28"/>
                <w:szCs w:val="28"/>
              </w:rPr>
              <w:t xml:space="preserve">      </w:t>
            </w:r>
          </w:p>
          <w:p w:rsidR="008423B8" w:rsidRPr="003F1573" w:rsidRDefault="008423B8" w:rsidP="008423B8">
            <w:pPr>
              <w:spacing w:line="360" w:lineRule="auto"/>
              <w:rPr>
                <w:rFonts w:eastAsia="Calibri"/>
                <w:color w:val="000000"/>
                <w:sz w:val="28"/>
                <w:szCs w:val="28"/>
              </w:rPr>
            </w:pPr>
            <w:r w:rsidRPr="003F1573">
              <w:rPr>
                <w:rFonts w:eastAsia="Calibri"/>
                <w:color w:val="000000"/>
                <w:sz w:val="28"/>
                <w:szCs w:val="28"/>
              </w:rPr>
              <w:t xml:space="preserve">  5</w:t>
            </w:r>
          </w:p>
        </w:tc>
      </w:tr>
      <w:tr w:rsidR="008423B8" w:rsidRPr="003F1573" w:rsidTr="002E2366">
        <w:tc>
          <w:tcPr>
            <w:tcW w:w="9725" w:type="dxa"/>
          </w:tcPr>
          <w:p w:rsidR="008423B8" w:rsidRPr="003F1573" w:rsidRDefault="008423B8" w:rsidP="008423B8">
            <w:pPr>
              <w:suppressAutoHyphens/>
              <w:spacing w:line="360" w:lineRule="auto"/>
              <w:jc w:val="both"/>
              <w:rPr>
                <w:rFonts w:eastAsia="Calibri"/>
                <w:color w:val="000000"/>
                <w:sz w:val="28"/>
                <w:szCs w:val="28"/>
              </w:rPr>
            </w:pPr>
          </w:p>
          <w:p w:rsidR="008423B8" w:rsidRPr="003F1573" w:rsidRDefault="008423B8" w:rsidP="00FB5433">
            <w:pPr>
              <w:suppressAutoHyphens/>
              <w:spacing w:line="360" w:lineRule="auto"/>
              <w:rPr>
                <w:rFonts w:eastAsia="Calibri"/>
                <w:color w:val="000000"/>
                <w:sz w:val="28"/>
                <w:szCs w:val="28"/>
              </w:rPr>
            </w:pPr>
            <w:r w:rsidRPr="003F1573">
              <w:rPr>
                <w:rFonts w:eastAsia="Calibri"/>
                <w:color w:val="000000"/>
                <w:sz w:val="28"/>
                <w:szCs w:val="28"/>
              </w:rPr>
              <w:t xml:space="preserve">РОЗДІЛ 2. </w:t>
            </w:r>
            <w:r w:rsidR="00FB5433" w:rsidRPr="00FB5433">
              <w:rPr>
                <w:rFonts w:eastAsia="Calibri"/>
                <w:color w:val="000000"/>
                <w:sz w:val="28"/>
                <w:szCs w:val="28"/>
              </w:rPr>
              <w:t>ПОРІВНЯЛЬНИЙ АНАЛІЗ ОСНОВНИХ СКЛАДОВИХ ЗОВНІШНЬОЕКОНОМІЧНИХ ПОЗИЦІЙ ЯПОНІЇ ТА КИТАЮ</w:t>
            </w:r>
            <w:r w:rsidR="00FB5433">
              <w:rPr>
                <w:rFonts w:eastAsia="Calibri"/>
                <w:color w:val="000000"/>
                <w:sz w:val="28"/>
                <w:szCs w:val="28"/>
              </w:rPr>
              <w:t xml:space="preserve"> </w:t>
            </w:r>
            <w:r w:rsidRPr="003F1573">
              <w:rPr>
                <w:rFonts w:eastAsia="Calibri"/>
                <w:color w:val="000000"/>
                <w:sz w:val="28"/>
                <w:szCs w:val="28"/>
              </w:rPr>
              <w:t>………………</w:t>
            </w:r>
          </w:p>
        </w:tc>
        <w:tc>
          <w:tcPr>
            <w:tcW w:w="496" w:type="dxa"/>
          </w:tcPr>
          <w:p w:rsidR="008423B8" w:rsidRPr="003F1573" w:rsidRDefault="008423B8" w:rsidP="008423B8">
            <w:pPr>
              <w:suppressAutoHyphens/>
              <w:spacing w:line="360" w:lineRule="auto"/>
              <w:jc w:val="both"/>
              <w:rPr>
                <w:rFonts w:eastAsia="Calibri"/>
                <w:color w:val="000000"/>
                <w:sz w:val="28"/>
                <w:szCs w:val="28"/>
              </w:rPr>
            </w:pPr>
            <w:r w:rsidRPr="003F1573">
              <w:rPr>
                <w:rFonts w:eastAsia="Calibri"/>
                <w:color w:val="000000"/>
                <w:sz w:val="28"/>
                <w:szCs w:val="28"/>
              </w:rPr>
              <w:t xml:space="preserve">  </w:t>
            </w:r>
          </w:p>
          <w:p w:rsidR="008423B8" w:rsidRPr="003F1573" w:rsidRDefault="008423B8" w:rsidP="008423B8">
            <w:pPr>
              <w:suppressAutoHyphens/>
              <w:spacing w:line="360" w:lineRule="auto"/>
              <w:jc w:val="both"/>
              <w:rPr>
                <w:rFonts w:eastAsia="Calibri"/>
                <w:color w:val="000000"/>
                <w:sz w:val="28"/>
                <w:szCs w:val="28"/>
              </w:rPr>
            </w:pPr>
            <w:r w:rsidRPr="003F1573">
              <w:rPr>
                <w:rFonts w:eastAsia="Calibri"/>
                <w:color w:val="000000"/>
                <w:sz w:val="28"/>
                <w:szCs w:val="28"/>
              </w:rPr>
              <w:t xml:space="preserve">  </w:t>
            </w:r>
          </w:p>
          <w:p w:rsidR="008423B8" w:rsidRPr="003F1573" w:rsidRDefault="008423B8" w:rsidP="00FB5433">
            <w:pPr>
              <w:suppressAutoHyphens/>
              <w:spacing w:line="360" w:lineRule="auto"/>
              <w:jc w:val="both"/>
              <w:rPr>
                <w:rFonts w:eastAsia="Calibri"/>
                <w:color w:val="000000"/>
                <w:sz w:val="28"/>
                <w:szCs w:val="28"/>
              </w:rPr>
            </w:pPr>
            <w:r w:rsidRPr="003F1573">
              <w:rPr>
                <w:rFonts w:eastAsia="Calibri"/>
                <w:color w:val="000000"/>
                <w:sz w:val="28"/>
                <w:szCs w:val="28"/>
              </w:rPr>
              <w:t>1</w:t>
            </w:r>
            <w:r w:rsidR="00FB5433">
              <w:rPr>
                <w:rFonts w:eastAsia="Calibri"/>
                <w:color w:val="000000"/>
                <w:sz w:val="28"/>
                <w:szCs w:val="28"/>
              </w:rPr>
              <w:t>2</w:t>
            </w:r>
          </w:p>
        </w:tc>
      </w:tr>
      <w:tr w:rsidR="008423B8" w:rsidRPr="003F1573" w:rsidTr="002E2366">
        <w:tc>
          <w:tcPr>
            <w:tcW w:w="9725" w:type="dxa"/>
          </w:tcPr>
          <w:p w:rsidR="008423B8" w:rsidRPr="003F1573" w:rsidRDefault="008423B8" w:rsidP="008423B8">
            <w:pPr>
              <w:suppressAutoHyphens/>
              <w:spacing w:line="360" w:lineRule="auto"/>
              <w:jc w:val="both"/>
              <w:rPr>
                <w:rFonts w:eastAsia="Calibri"/>
                <w:color w:val="000000"/>
                <w:sz w:val="28"/>
                <w:szCs w:val="28"/>
              </w:rPr>
            </w:pPr>
            <w:r w:rsidRPr="003F1573">
              <w:rPr>
                <w:rFonts w:eastAsia="Calibri"/>
                <w:color w:val="000000"/>
                <w:sz w:val="28"/>
                <w:szCs w:val="28"/>
              </w:rPr>
              <w:t xml:space="preserve">2.1. </w:t>
            </w:r>
            <w:r w:rsidR="00FB5433" w:rsidRPr="00FB5433">
              <w:rPr>
                <w:rFonts w:eastAsia="Calibri"/>
                <w:color w:val="000000"/>
                <w:sz w:val="28"/>
                <w:szCs w:val="28"/>
              </w:rPr>
              <w:t xml:space="preserve">Порівняльний аналіз динаміки основних статей рахунку поточних операцій Японії й Китаю </w:t>
            </w:r>
            <w:r w:rsidRPr="003F1573">
              <w:rPr>
                <w:rFonts w:eastAsia="Calibri"/>
                <w:color w:val="000000"/>
                <w:sz w:val="28"/>
                <w:szCs w:val="28"/>
              </w:rPr>
              <w:t>…………..………</w:t>
            </w:r>
            <w:r w:rsidR="00FB5433">
              <w:rPr>
                <w:rFonts w:eastAsia="Calibri"/>
                <w:color w:val="000000"/>
                <w:sz w:val="28"/>
                <w:szCs w:val="28"/>
              </w:rPr>
              <w:t>……………………………...</w:t>
            </w:r>
            <w:r w:rsidRPr="003F1573">
              <w:rPr>
                <w:rFonts w:eastAsia="Calibri"/>
                <w:color w:val="000000"/>
                <w:sz w:val="28"/>
                <w:szCs w:val="28"/>
              </w:rPr>
              <w:t xml:space="preserve">………... </w:t>
            </w:r>
          </w:p>
        </w:tc>
        <w:tc>
          <w:tcPr>
            <w:tcW w:w="496" w:type="dxa"/>
          </w:tcPr>
          <w:p w:rsidR="008423B8" w:rsidRPr="003F1573" w:rsidRDefault="00FB5433" w:rsidP="00FB5433">
            <w:pPr>
              <w:suppressAutoHyphens/>
              <w:spacing w:line="360" w:lineRule="auto"/>
              <w:jc w:val="both"/>
              <w:rPr>
                <w:rFonts w:eastAsia="Calibri"/>
                <w:color w:val="000000"/>
                <w:sz w:val="28"/>
                <w:szCs w:val="28"/>
              </w:rPr>
            </w:pPr>
            <w:r>
              <w:rPr>
                <w:rFonts w:eastAsia="Calibri"/>
                <w:color w:val="000000"/>
                <w:sz w:val="28"/>
                <w:szCs w:val="28"/>
              </w:rPr>
              <w:t xml:space="preserve"> </w:t>
            </w:r>
            <w:r w:rsidR="008423B8" w:rsidRPr="003F1573">
              <w:rPr>
                <w:rFonts w:eastAsia="Calibri"/>
                <w:color w:val="000000"/>
                <w:sz w:val="28"/>
                <w:szCs w:val="28"/>
              </w:rPr>
              <w:t>1</w:t>
            </w:r>
            <w:r>
              <w:rPr>
                <w:rFonts w:eastAsia="Calibri"/>
                <w:color w:val="000000"/>
                <w:sz w:val="28"/>
                <w:szCs w:val="28"/>
              </w:rPr>
              <w:t>2</w:t>
            </w:r>
          </w:p>
        </w:tc>
      </w:tr>
      <w:tr w:rsidR="008423B8" w:rsidRPr="003F1573" w:rsidTr="002E2366">
        <w:tc>
          <w:tcPr>
            <w:tcW w:w="9725" w:type="dxa"/>
          </w:tcPr>
          <w:p w:rsidR="008423B8" w:rsidRPr="003F1573" w:rsidRDefault="008423B8" w:rsidP="008423B8">
            <w:pPr>
              <w:suppressAutoHyphens/>
              <w:spacing w:line="360" w:lineRule="auto"/>
              <w:jc w:val="both"/>
              <w:rPr>
                <w:rFonts w:eastAsia="Calibri"/>
                <w:color w:val="000000"/>
                <w:sz w:val="28"/>
                <w:szCs w:val="28"/>
              </w:rPr>
            </w:pPr>
            <w:r w:rsidRPr="003F1573">
              <w:rPr>
                <w:rFonts w:eastAsia="Calibri"/>
                <w:color w:val="000000"/>
                <w:sz w:val="28"/>
                <w:szCs w:val="28"/>
              </w:rPr>
              <w:t xml:space="preserve">2.2. </w:t>
            </w:r>
            <w:r w:rsidR="00FB5433" w:rsidRPr="00FB5433">
              <w:rPr>
                <w:rFonts w:eastAsia="Calibri"/>
                <w:color w:val="000000"/>
                <w:sz w:val="28"/>
                <w:szCs w:val="28"/>
              </w:rPr>
              <w:t xml:space="preserve">Порівняльний аналіз динаміки основних статей фінансового рахунку Японії та Китаю </w:t>
            </w:r>
            <w:r w:rsidRPr="003F1573">
              <w:rPr>
                <w:rFonts w:eastAsia="Calibri"/>
                <w:color w:val="000000"/>
                <w:sz w:val="28"/>
                <w:szCs w:val="28"/>
              </w:rPr>
              <w:t>……………………………………………………………………..</w:t>
            </w:r>
          </w:p>
        </w:tc>
        <w:tc>
          <w:tcPr>
            <w:tcW w:w="496" w:type="dxa"/>
          </w:tcPr>
          <w:p w:rsidR="008423B8" w:rsidRPr="003F1573" w:rsidRDefault="008423B8" w:rsidP="00FB5433">
            <w:pPr>
              <w:suppressAutoHyphens/>
              <w:spacing w:line="360" w:lineRule="auto"/>
              <w:jc w:val="both"/>
              <w:rPr>
                <w:rFonts w:eastAsia="Calibri"/>
                <w:color w:val="000000"/>
                <w:sz w:val="28"/>
                <w:szCs w:val="28"/>
              </w:rPr>
            </w:pPr>
            <w:r w:rsidRPr="003F1573">
              <w:rPr>
                <w:rFonts w:eastAsia="Calibri"/>
                <w:color w:val="000000"/>
                <w:sz w:val="28"/>
                <w:szCs w:val="28"/>
              </w:rPr>
              <w:t xml:space="preserve"> </w:t>
            </w:r>
            <w:r w:rsidR="00FB5433">
              <w:rPr>
                <w:rFonts w:eastAsia="Calibri"/>
                <w:color w:val="000000"/>
                <w:sz w:val="28"/>
                <w:szCs w:val="28"/>
              </w:rPr>
              <w:t>19</w:t>
            </w:r>
          </w:p>
        </w:tc>
      </w:tr>
      <w:tr w:rsidR="008423B8" w:rsidRPr="003F1573" w:rsidTr="002E2366">
        <w:tc>
          <w:tcPr>
            <w:tcW w:w="9725" w:type="dxa"/>
          </w:tcPr>
          <w:p w:rsidR="008423B8" w:rsidRPr="003F1573" w:rsidRDefault="008423B8" w:rsidP="008423B8">
            <w:pPr>
              <w:suppressAutoHyphens/>
              <w:spacing w:line="360" w:lineRule="auto"/>
              <w:jc w:val="both"/>
              <w:rPr>
                <w:rFonts w:eastAsia="Calibri"/>
                <w:color w:val="000000"/>
                <w:sz w:val="28"/>
                <w:szCs w:val="28"/>
              </w:rPr>
            </w:pPr>
            <w:r w:rsidRPr="003F1573">
              <w:rPr>
                <w:rFonts w:eastAsia="Calibri"/>
                <w:color w:val="000000"/>
                <w:sz w:val="28"/>
                <w:szCs w:val="28"/>
              </w:rPr>
              <w:t xml:space="preserve">2.3. </w:t>
            </w:r>
            <w:r w:rsidR="00FB5433" w:rsidRPr="00FB5433">
              <w:rPr>
                <w:rFonts w:eastAsia="Calibri"/>
                <w:color w:val="000000"/>
                <w:sz w:val="28"/>
                <w:szCs w:val="28"/>
              </w:rPr>
              <w:t>Аналіз операцій Carry Trade з державними облігаціями Японії, Китаю та облігаціями України</w:t>
            </w:r>
            <w:r w:rsidR="00FB5433">
              <w:rPr>
                <w:rFonts w:eastAsia="Calibri"/>
                <w:color w:val="000000"/>
                <w:sz w:val="28"/>
                <w:szCs w:val="28"/>
              </w:rPr>
              <w:t>………….</w:t>
            </w:r>
            <w:r w:rsidRPr="003F1573">
              <w:rPr>
                <w:rFonts w:eastAsia="Calibri"/>
                <w:color w:val="000000"/>
                <w:sz w:val="28"/>
                <w:szCs w:val="28"/>
              </w:rPr>
              <w:t>……………………………………………………...</w:t>
            </w:r>
          </w:p>
        </w:tc>
        <w:tc>
          <w:tcPr>
            <w:tcW w:w="496" w:type="dxa"/>
          </w:tcPr>
          <w:p w:rsidR="008423B8" w:rsidRPr="003F1573" w:rsidRDefault="008423B8" w:rsidP="00FB5433">
            <w:pPr>
              <w:suppressAutoHyphens/>
              <w:spacing w:line="360" w:lineRule="auto"/>
              <w:jc w:val="both"/>
              <w:rPr>
                <w:rFonts w:eastAsia="Calibri"/>
                <w:color w:val="000000"/>
                <w:sz w:val="28"/>
                <w:szCs w:val="28"/>
              </w:rPr>
            </w:pPr>
            <w:r w:rsidRPr="003F1573">
              <w:rPr>
                <w:rFonts w:eastAsia="Calibri"/>
                <w:color w:val="000000"/>
                <w:sz w:val="28"/>
                <w:szCs w:val="28"/>
              </w:rPr>
              <w:t xml:space="preserve"> 2</w:t>
            </w:r>
            <w:r w:rsidR="00FB5433">
              <w:rPr>
                <w:rFonts w:eastAsia="Calibri"/>
                <w:color w:val="000000"/>
                <w:sz w:val="28"/>
                <w:szCs w:val="28"/>
              </w:rPr>
              <w:t>6</w:t>
            </w:r>
          </w:p>
        </w:tc>
      </w:tr>
      <w:tr w:rsidR="008423B8" w:rsidRPr="003F1573" w:rsidTr="002E2366">
        <w:trPr>
          <w:trHeight w:val="1461"/>
        </w:trPr>
        <w:tc>
          <w:tcPr>
            <w:tcW w:w="9725" w:type="dxa"/>
          </w:tcPr>
          <w:p w:rsidR="008423B8" w:rsidRPr="003F1573" w:rsidRDefault="008423B8" w:rsidP="008423B8">
            <w:pPr>
              <w:suppressAutoHyphens/>
              <w:spacing w:line="360" w:lineRule="auto"/>
              <w:jc w:val="both"/>
              <w:rPr>
                <w:rFonts w:eastAsia="Calibri"/>
                <w:color w:val="000000"/>
                <w:sz w:val="28"/>
                <w:szCs w:val="28"/>
              </w:rPr>
            </w:pPr>
          </w:p>
          <w:p w:rsidR="008423B8" w:rsidRPr="003F1573" w:rsidRDefault="008423B8" w:rsidP="008423B8">
            <w:pPr>
              <w:spacing w:line="360" w:lineRule="auto"/>
              <w:jc w:val="both"/>
              <w:rPr>
                <w:rFonts w:eastAsia="Calibri"/>
                <w:sz w:val="28"/>
                <w:szCs w:val="28"/>
                <w:lang w:eastAsia="en-US"/>
              </w:rPr>
            </w:pPr>
            <w:r w:rsidRPr="003F1573">
              <w:rPr>
                <w:rFonts w:eastAsia="Calibri"/>
                <w:color w:val="000000"/>
                <w:sz w:val="28"/>
                <w:szCs w:val="28"/>
              </w:rPr>
              <w:t xml:space="preserve">РОЗДІЛ 3. </w:t>
            </w:r>
            <w:r w:rsidR="00FB5433" w:rsidRPr="00FB5433">
              <w:rPr>
                <w:rFonts w:eastAsia="Calibri"/>
                <w:sz w:val="28"/>
                <w:szCs w:val="28"/>
                <w:lang w:eastAsia="en-US"/>
              </w:rPr>
              <w:t>ОСОБЛИВОСТІ ЗОВНІШНЬОЕКОНОМІЧНИХ ОПЕРАЦІЙ ЯПОНІЇ ТА КИТАЮ З УКРАЇНОЮ</w:t>
            </w:r>
            <w:r w:rsidR="00FB5433">
              <w:rPr>
                <w:rFonts w:eastAsia="Calibri"/>
                <w:sz w:val="28"/>
                <w:szCs w:val="28"/>
                <w:lang w:eastAsia="en-US"/>
              </w:rPr>
              <w:t>………………………………………..</w:t>
            </w:r>
            <w:r w:rsidRPr="003F1573">
              <w:rPr>
                <w:rFonts w:eastAsia="Calibri"/>
                <w:sz w:val="28"/>
                <w:szCs w:val="28"/>
                <w:lang w:eastAsia="en-US"/>
              </w:rPr>
              <w:t>……..</w:t>
            </w:r>
          </w:p>
        </w:tc>
        <w:tc>
          <w:tcPr>
            <w:tcW w:w="496" w:type="dxa"/>
          </w:tcPr>
          <w:p w:rsidR="008423B8" w:rsidRPr="003F1573" w:rsidRDefault="008423B8" w:rsidP="008423B8">
            <w:pPr>
              <w:suppressAutoHyphens/>
              <w:spacing w:line="360" w:lineRule="auto"/>
              <w:jc w:val="both"/>
              <w:rPr>
                <w:rFonts w:eastAsia="Calibri"/>
                <w:color w:val="000000"/>
                <w:sz w:val="28"/>
                <w:szCs w:val="28"/>
              </w:rPr>
            </w:pPr>
            <w:r w:rsidRPr="003F1573">
              <w:rPr>
                <w:rFonts w:eastAsia="Calibri"/>
                <w:color w:val="000000"/>
                <w:sz w:val="28"/>
                <w:szCs w:val="28"/>
              </w:rPr>
              <w:t xml:space="preserve">     </w:t>
            </w:r>
          </w:p>
          <w:p w:rsidR="008423B8" w:rsidRPr="003F1573" w:rsidRDefault="008423B8" w:rsidP="00FB5433">
            <w:pPr>
              <w:suppressAutoHyphens/>
              <w:spacing w:line="360" w:lineRule="auto"/>
              <w:jc w:val="both"/>
              <w:rPr>
                <w:rFonts w:eastAsia="Calibri"/>
                <w:color w:val="000000"/>
                <w:sz w:val="28"/>
                <w:szCs w:val="28"/>
              </w:rPr>
            </w:pPr>
            <w:r w:rsidRPr="003F1573">
              <w:rPr>
                <w:rFonts w:eastAsia="Calibri"/>
                <w:color w:val="000000"/>
                <w:sz w:val="28"/>
                <w:szCs w:val="28"/>
              </w:rPr>
              <w:t xml:space="preserve"> 3</w:t>
            </w:r>
            <w:r w:rsidR="00FB5433">
              <w:rPr>
                <w:rFonts w:eastAsia="Calibri"/>
                <w:color w:val="000000"/>
                <w:sz w:val="28"/>
                <w:szCs w:val="28"/>
              </w:rPr>
              <w:t>0</w:t>
            </w:r>
          </w:p>
        </w:tc>
      </w:tr>
      <w:tr w:rsidR="008423B8" w:rsidRPr="003F1573" w:rsidTr="002E2366">
        <w:tc>
          <w:tcPr>
            <w:tcW w:w="9725" w:type="dxa"/>
          </w:tcPr>
          <w:p w:rsidR="008423B8" w:rsidRPr="003F1573" w:rsidRDefault="008423B8" w:rsidP="008423B8">
            <w:pPr>
              <w:suppressAutoHyphens/>
              <w:spacing w:line="360" w:lineRule="auto"/>
              <w:jc w:val="both"/>
              <w:rPr>
                <w:rFonts w:eastAsia="Calibri"/>
                <w:color w:val="000000"/>
                <w:sz w:val="28"/>
                <w:szCs w:val="28"/>
              </w:rPr>
            </w:pPr>
          </w:p>
          <w:p w:rsidR="008423B8" w:rsidRPr="003F1573" w:rsidRDefault="008423B8" w:rsidP="008423B8">
            <w:pPr>
              <w:suppressAutoHyphens/>
              <w:spacing w:line="360" w:lineRule="auto"/>
              <w:jc w:val="both"/>
              <w:rPr>
                <w:rFonts w:eastAsia="Calibri"/>
                <w:color w:val="000000"/>
                <w:sz w:val="28"/>
                <w:szCs w:val="28"/>
              </w:rPr>
            </w:pPr>
            <w:r w:rsidRPr="003F1573">
              <w:rPr>
                <w:rFonts w:eastAsia="Calibri"/>
                <w:color w:val="000000"/>
                <w:sz w:val="28"/>
                <w:szCs w:val="28"/>
              </w:rPr>
              <w:t>ВИСНОВКИ…………………………………………………………………………</w:t>
            </w:r>
          </w:p>
        </w:tc>
        <w:tc>
          <w:tcPr>
            <w:tcW w:w="496" w:type="dxa"/>
          </w:tcPr>
          <w:p w:rsidR="008423B8" w:rsidRPr="003F1573" w:rsidRDefault="008423B8" w:rsidP="008423B8">
            <w:pPr>
              <w:suppressAutoHyphens/>
              <w:spacing w:line="360" w:lineRule="auto"/>
              <w:jc w:val="both"/>
              <w:rPr>
                <w:rFonts w:eastAsia="Calibri"/>
                <w:color w:val="000000"/>
                <w:sz w:val="28"/>
                <w:szCs w:val="28"/>
              </w:rPr>
            </w:pPr>
            <w:r w:rsidRPr="003F1573">
              <w:rPr>
                <w:rFonts w:eastAsia="Calibri"/>
                <w:color w:val="000000"/>
                <w:sz w:val="28"/>
                <w:szCs w:val="28"/>
              </w:rPr>
              <w:t xml:space="preserve">  40</w:t>
            </w:r>
          </w:p>
        </w:tc>
      </w:tr>
      <w:tr w:rsidR="008423B8" w:rsidRPr="003F1573" w:rsidTr="002E2366">
        <w:tc>
          <w:tcPr>
            <w:tcW w:w="9725" w:type="dxa"/>
          </w:tcPr>
          <w:p w:rsidR="008423B8" w:rsidRPr="003F1573" w:rsidRDefault="008423B8" w:rsidP="008423B8">
            <w:pPr>
              <w:suppressAutoHyphens/>
              <w:spacing w:line="360" w:lineRule="auto"/>
              <w:jc w:val="both"/>
              <w:rPr>
                <w:rFonts w:eastAsia="Calibri"/>
                <w:color w:val="000000"/>
                <w:sz w:val="28"/>
                <w:szCs w:val="28"/>
              </w:rPr>
            </w:pPr>
          </w:p>
          <w:p w:rsidR="008423B8" w:rsidRPr="003F1573" w:rsidRDefault="008423B8" w:rsidP="008423B8">
            <w:pPr>
              <w:suppressAutoHyphens/>
              <w:spacing w:line="360" w:lineRule="auto"/>
              <w:jc w:val="both"/>
              <w:rPr>
                <w:rFonts w:eastAsia="Calibri"/>
                <w:color w:val="000000"/>
                <w:sz w:val="28"/>
                <w:szCs w:val="28"/>
              </w:rPr>
            </w:pPr>
            <w:r w:rsidRPr="003F1573">
              <w:rPr>
                <w:rFonts w:eastAsia="Calibri"/>
                <w:color w:val="000000"/>
                <w:sz w:val="28"/>
                <w:szCs w:val="28"/>
              </w:rPr>
              <w:t>СПИСОК ВИКОРИСТАНИХ ДЖЕРЕЛ……………………………………...…...</w:t>
            </w:r>
          </w:p>
        </w:tc>
        <w:tc>
          <w:tcPr>
            <w:tcW w:w="496" w:type="dxa"/>
          </w:tcPr>
          <w:p w:rsidR="008423B8" w:rsidRPr="003F1573" w:rsidRDefault="008423B8" w:rsidP="008423B8">
            <w:pPr>
              <w:suppressAutoHyphens/>
              <w:spacing w:line="360" w:lineRule="auto"/>
              <w:jc w:val="both"/>
              <w:rPr>
                <w:rFonts w:eastAsia="Calibri"/>
                <w:color w:val="000000"/>
                <w:sz w:val="28"/>
                <w:szCs w:val="28"/>
              </w:rPr>
            </w:pPr>
            <w:r w:rsidRPr="003F1573">
              <w:rPr>
                <w:rFonts w:eastAsia="Calibri"/>
                <w:color w:val="000000"/>
                <w:sz w:val="28"/>
                <w:szCs w:val="28"/>
              </w:rPr>
              <w:t xml:space="preserve"> 43</w:t>
            </w:r>
          </w:p>
        </w:tc>
      </w:tr>
    </w:tbl>
    <w:p w:rsidR="00DD7ECC" w:rsidRPr="003F1573" w:rsidRDefault="00DD7ECC" w:rsidP="004972C0">
      <w:pPr>
        <w:spacing w:line="360" w:lineRule="auto"/>
        <w:ind w:firstLine="567"/>
        <w:rPr>
          <w:sz w:val="28"/>
        </w:rPr>
      </w:pPr>
    </w:p>
    <w:p w:rsidR="00DD7ECC" w:rsidRPr="003F1573" w:rsidRDefault="00DD7ECC" w:rsidP="004972C0">
      <w:pPr>
        <w:spacing w:line="360" w:lineRule="auto"/>
        <w:ind w:firstLine="567"/>
        <w:rPr>
          <w:sz w:val="28"/>
        </w:rPr>
      </w:pPr>
    </w:p>
    <w:p w:rsidR="00DD7ECC" w:rsidRPr="003F1573" w:rsidRDefault="00DD7ECC" w:rsidP="004972C0">
      <w:pPr>
        <w:spacing w:line="360" w:lineRule="auto"/>
        <w:ind w:firstLine="567"/>
        <w:rPr>
          <w:sz w:val="28"/>
        </w:rPr>
      </w:pPr>
    </w:p>
    <w:p w:rsidR="00DD7ECC" w:rsidRPr="003F1573" w:rsidRDefault="00DD7ECC" w:rsidP="004972C0">
      <w:pPr>
        <w:spacing w:line="360" w:lineRule="auto"/>
        <w:ind w:firstLine="567"/>
        <w:rPr>
          <w:sz w:val="28"/>
        </w:rPr>
      </w:pPr>
    </w:p>
    <w:p w:rsidR="008423B8" w:rsidRPr="003F1573" w:rsidRDefault="008423B8" w:rsidP="004972C0">
      <w:pPr>
        <w:spacing w:line="360" w:lineRule="auto"/>
        <w:ind w:firstLine="567"/>
        <w:rPr>
          <w:sz w:val="28"/>
        </w:rPr>
      </w:pPr>
    </w:p>
    <w:p w:rsidR="008423B8" w:rsidRPr="003F1573" w:rsidRDefault="008423B8" w:rsidP="004972C0">
      <w:pPr>
        <w:spacing w:line="360" w:lineRule="auto"/>
        <w:ind w:firstLine="567"/>
        <w:rPr>
          <w:sz w:val="28"/>
        </w:rPr>
      </w:pPr>
    </w:p>
    <w:p w:rsidR="00FB5433" w:rsidRDefault="00FB5433" w:rsidP="00F23C6C">
      <w:pPr>
        <w:spacing w:line="360" w:lineRule="auto"/>
        <w:jc w:val="center"/>
        <w:rPr>
          <w:b/>
          <w:sz w:val="28"/>
        </w:rPr>
      </w:pPr>
    </w:p>
    <w:p w:rsidR="00FB5433" w:rsidRDefault="00FB5433" w:rsidP="00F23C6C">
      <w:pPr>
        <w:spacing w:line="360" w:lineRule="auto"/>
        <w:jc w:val="center"/>
        <w:rPr>
          <w:b/>
          <w:sz w:val="28"/>
        </w:rPr>
      </w:pPr>
    </w:p>
    <w:p w:rsidR="00FB5433" w:rsidRDefault="00FB5433" w:rsidP="00F23C6C">
      <w:pPr>
        <w:spacing w:line="360" w:lineRule="auto"/>
        <w:jc w:val="center"/>
        <w:rPr>
          <w:b/>
          <w:sz w:val="28"/>
        </w:rPr>
      </w:pPr>
    </w:p>
    <w:p w:rsidR="00DD7ECC" w:rsidRPr="003F1573" w:rsidRDefault="00F23C6C" w:rsidP="00F23C6C">
      <w:pPr>
        <w:spacing w:line="360" w:lineRule="auto"/>
        <w:jc w:val="center"/>
        <w:rPr>
          <w:b/>
          <w:sz w:val="28"/>
        </w:rPr>
      </w:pPr>
      <w:r w:rsidRPr="003F1573">
        <w:rPr>
          <w:b/>
          <w:sz w:val="28"/>
        </w:rPr>
        <w:lastRenderedPageBreak/>
        <w:t>ВСТУП</w:t>
      </w:r>
    </w:p>
    <w:p w:rsidR="00F23C6C" w:rsidRPr="003F1573" w:rsidRDefault="00F23C6C" w:rsidP="00F23C6C">
      <w:pPr>
        <w:spacing w:line="360" w:lineRule="auto"/>
        <w:jc w:val="center"/>
        <w:rPr>
          <w:sz w:val="28"/>
        </w:rPr>
      </w:pPr>
    </w:p>
    <w:p w:rsidR="00FB5433" w:rsidRDefault="00A11DCC" w:rsidP="00A11DCC">
      <w:pPr>
        <w:spacing w:line="360" w:lineRule="auto"/>
        <w:ind w:firstLine="567"/>
        <w:jc w:val="both"/>
        <w:rPr>
          <w:sz w:val="28"/>
          <w:szCs w:val="28"/>
        </w:rPr>
      </w:pPr>
      <w:r w:rsidRPr="003F1573">
        <w:rPr>
          <w:sz w:val="28"/>
          <w:szCs w:val="28"/>
        </w:rPr>
        <w:t xml:space="preserve">Економіка Японії </w:t>
      </w:r>
      <w:r w:rsidR="00FB5433">
        <w:rPr>
          <w:sz w:val="28"/>
          <w:szCs w:val="28"/>
        </w:rPr>
        <w:t>займає провідне місце у світовій економіці. Багато десятиліть за обсягами валового внутрішнього продукту Японія займала друге місце у світі поступаючись лише США, однак з 2010 року за обсягами ВВП друге місце у світовій економіці посідає Китай.</w:t>
      </w:r>
    </w:p>
    <w:p w:rsidR="002911EE" w:rsidRDefault="00FB5433" w:rsidP="00A11DCC">
      <w:pPr>
        <w:spacing w:line="360" w:lineRule="auto"/>
        <w:ind w:firstLine="567"/>
        <w:jc w:val="both"/>
        <w:rPr>
          <w:sz w:val="28"/>
          <w:szCs w:val="28"/>
        </w:rPr>
      </w:pPr>
      <w:r>
        <w:rPr>
          <w:sz w:val="28"/>
          <w:szCs w:val="28"/>
        </w:rPr>
        <w:t xml:space="preserve">Після другою світової війни економіка Японії за рівнем конкурентоспроможності суттєво поступалася провідним світовим лідерам, але </w:t>
      </w:r>
      <w:r w:rsidR="00A11DCC" w:rsidRPr="003F1573">
        <w:rPr>
          <w:sz w:val="28"/>
          <w:szCs w:val="28"/>
        </w:rPr>
        <w:t xml:space="preserve">співробітництво між урядом і промисловістю, сильна трудова етика, володіння високими технологіями і порівняно невелике виділення коштів на оборону (менше 1% ВВП) допомогли Японії перетворитися на передову економіку. </w:t>
      </w:r>
    </w:p>
    <w:p w:rsidR="002911EE" w:rsidRDefault="00692BC1" w:rsidP="00800A61">
      <w:pPr>
        <w:spacing w:line="360" w:lineRule="auto"/>
        <w:ind w:firstLine="567"/>
        <w:jc w:val="both"/>
        <w:rPr>
          <w:sz w:val="28"/>
          <w:szCs w:val="28"/>
        </w:rPr>
      </w:pPr>
      <w:r w:rsidRPr="003F1573">
        <w:rPr>
          <w:sz w:val="28"/>
          <w:szCs w:val="28"/>
        </w:rPr>
        <w:t xml:space="preserve">Китайська Народна Республіка – потужна індустріальна країна, </w:t>
      </w:r>
      <w:r w:rsidR="002911EE">
        <w:rPr>
          <w:sz w:val="28"/>
          <w:szCs w:val="28"/>
        </w:rPr>
        <w:t>яка займає перше місце у світі, випереджаючи навіть США, по валовому внутрішньому продукту, підрахованому за паритетом купівельної спроможності валют.</w:t>
      </w:r>
    </w:p>
    <w:p w:rsidR="002911EE" w:rsidRDefault="002911EE" w:rsidP="00800A61">
      <w:pPr>
        <w:spacing w:line="360" w:lineRule="auto"/>
        <w:ind w:firstLine="567"/>
        <w:jc w:val="both"/>
        <w:rPr>
          <w:sz w:val="28"/>
          <w:szCs w:val="28"/>
        </w:rPr>
      </w:pPr>
      <w:r>
        <w:rPr>
          <w:sz w:val="28"/>
          <w:szCs w:val="28"/>
        </w:rPr>
        <w:t>До середини 1970-х років Китай суттєво відставав від провідних країн світу, але з</w:t>
      </w:r>
      <w:r w:rsidR="00800A61" w:rsidRPr="003F1573">
        <w:rPr>
          <w:sz w:val="28"/>
          <w:szCs w:val="28"/>
        </w:rPr>
        <w:t xml:space="preserve"> кінця 1970-х років Китай перетворився з централізовано-планової на більш орієнтовану на ринок економіку, яка зараз відіграє глобальну роль у світі. </w:t>
      </w:r>
    </w:p>
    <w:p w:rsidR="00800A61" w:rsidRDefault="00800A61" w:rsidP="002911EE">
      <w:pPr>
        <w:spacing w:line="360" w:lineRule="auto"/>
        <w:ind w:firstLine="567"/>
        <w:jc w:val="both"/>
        <w:rPr>
          <w:sz w:val="28"/>
          <w:szCs w:val="28"/>
        </w:rPr>
      </w:pPr>
      <w:r w:rsidRPr="003F1573">
        <w:rPr>
          <w:sz w:val="28"/>
          <w:szCs w:val="28"/>
        </w:rPr>
        <w:t>Реформи розпочалися з поетапної ліквідації колективізованого сільського господарства і поширилися на поступову лібералізацію цін, фіскальну децентралізацію, збільшення автономії державних підприємств, зростання приватного сектора. З 2013 по 2017 рік швидкість зростання китайської економіки була однією з найбільших у світі, у середньому близько 7% реального росту на рік.</w:t>
      </w:r>
    </w:p>
    <w:p w:rsidR="002911EE" w:rsidRPr="003F1573" w:rsidRDefault="002911EE" w:rsidP="002911EE">
      <w:pPr>
        <w:spacing w:line="360" w:lineRule="auto"/>
        <w:ind w:firstLine="567"/>
        <w:jc w:val="both"/>
        <w:rPr>
          <w:sz w:val="28"/>
          <w:szCs w:val="28"/>
        </w:rPr>
      </w:pPr>
      <w:r>
        <w:rPr>
          <w:sz w:val="28"/>
          <w:szCs w:val="28"/>
        </w:rPr>
        <w:t>Такими чином, досвід Китаю та Японії, які швидко з аутсайдерів перетворились у лідери світової економіки є цікавим та корисним для України, яка має піти схожим шляхом.</w:t>
      </w:r>
    </w:p>
    <w:p w:rsidR="002911EE" w:rsidRDefault="002911EE" w:rsidP="00800A61">
      <w:pPr>
        <w:spacing w:line="360" w:lineRule="auto"/>
        <w:ind w:firstLine="567"/>
        <w:jc w:val="both"/>
        <w:rPr>
          <w:b/>
          <w:sz w:val="28"/>
          <w:szCs w:val="24"/>
        </w:rPr>
      </w:pPr>
    </w:p>
    <w:p w:rsidR="006570B4" w:rsidRPr="006570B4" w:rsidRDefault="006570B4" w:rsidP="006570B4">
      <w:pPr>
        <w:spacing w:line="360" w:lineRule="auto"/>
        <w:ind w:firstLine="567"/>
        <w:jc w:val="both"/>
        <w:rPr>
          <w:sz w:val="28"/>
          <w:szCs w:val="28"/>
        </w:rPr>
      </w:pPr>
      <w:r w:rsidRPr="006570B4">
        <w:rPr>
          <w:b/>
          <w:sz w:val="28"/>
          <w:szCs w:val="28"/>
        </w:rPr>
        <w:lastRenderedPageBreak/>
        <w:t xml:space="preserve">Метою </w:t>
      </w:r>
      <w:r>
        <w:rPr>
          <w:b/>
          <w:sz w:val="28"/>
          <w:szCs w:val="28"/>
        </w:rPr>
        <w:t xml:space="preserve">дипломної </w:t>
      </w:r>
      <w:r w:rsidRPr="006570B4">
        <w:rPr>
          <w:b/>
          <w:sz w:val="28"/>
          <w:szCs w:val="28"/>
        </w:rPr>
        <w:t>роботи</w:t>
      </w:r>
      <w:r w:rsidRPr="006570B4">
        <w:rPr>
          <w:sz w:val="28"/>
          <w:szCs w:val="28"/>
        </w:rPr>
        <w:t xml:space="preserve"> є аналіз сучасного стану зовнішньоекономічних </w:t>
      </w:r>
      <w:r>
        <w:rPr>
          <w:sz w:val="28"/>
          <w:szCs w:val="28"/>
        </w:rPr>
        <w:t>позицій Китаю та Японії</w:t>
      </w:r>
      <w:r w:rsidRPr="006570B4">
        <w:rPr>
          <w:sz w:val="28"/>
          <w:szCs w:val="28"/>
        </w:rPr>
        <w:t>.</w:t>
      </w:r>
    </w:p>
    <w:p w:rsidR="006570B4" w:rsidRPr="006570B4" w:rsidRDefault="006570B4" w:rsidP="006570B4">
      <w:pPr>
        <w:spacing w:line="360" w:lineRule="auto"/>
        <w:ind w:firstLine="567"/>
        <w:jc w:val="both"/>
        <w:rPr>
          <w:sz w:val="28"/>
          <w:szCs w:val="28"/>
        </w:rPr>
      </w:pPr>
      <w:r w:rsidRPr="006570B4">
        <w:rPr>
          <w:sz w:val="28"/>
          <w:szCs w:val="28"/>
        </w:rPr>
        <w:t xml:space="preserve">Досягнення поставленої мети передбачає вирішення наступних </w:t>
      </w:r>
      <w:r w:rsidRPr="006570B4">
        <w:rPr>
          <w:b/>
          <w:sz w:val="28"/>
          <w:szCs w:val="28"/>
        </w:rPr>
        <w:t>завдань</w:t>
      </w:r>
      <w:r w:rsidRPr="006570B4">
        <w:rPr>
          <w:sz w:val="28"/>
          <w:szCs w:val="28"/>
        </w:rPr>
        <w:t>:</w:t>
      </w:r>
    </w:p>
    <w:p w:rsidR="006570B4" w:rsidRPr="006570B4" w:rsidRDefault="006570B4" w:rsidP="006570B4">
      <w:pPr>
        <w:numPr>
          <w:ilvl w:val="0"/>
          <w:numId w:val="17"/>
        </w:numPr>
        <w:spacing w:line="360" w:lineRule="auto"/>
        <w:jc w:val="both"/>
        <w:rPr>
          <w:sz w:val="28"/>
          <w:szCs w:val="28"/>
        </w:rPr>
      </w:pPr>
      <w:r w:rsidRPr="006570B4">
        <w:rPr>
          <w:sz w:val="28"/>
          <w:szCs w:val="28"/>
        </w:rPr>
        <w:t xml:space="preserve">вивчити теоретичні основи аналізу зовнішньоекономічних </w:t>
      </w:r>
      <w:r>
        <w:rPr>
          <w:sz w:val="28"/>
          <w:szCs w:val="28"/>
        </w:rPr>
        <w:t xml:space="preserve">позицій </w:t>
      </w:r>
      <w:r w:rsidRPr="006570B4">
        <w:rPr>
          <w:sz w:val="28"/>
          <w:szCs w:val="28"/>
        </w:rPr>
        <w:t>Китаю та Японії;</w:t>
      </w:r>
    </w:p>
    <w:p w:rsidR="006570B4" w:rsidRPr="006570B4" w:rsidRDefault="006570B4" w:rsidP="006570B4">
      <w:pPr>
        <w:numPr>
          <w:ilvl w:val="0"/>
          <w:numId w:val="17"/>
        </w:numPr>
        <w:spacing w:line="360" w:lineRule="auto"/>
        <w:jc w:val="both"/>
        <w:rPr>
          <w:sz w:val="28"/>
          <w:szCs w:val="28"/>
        </w:rPr>
      </w:pPr>
      <w:r w:rsidRPr="006570B4">
        <w:rPr>
          <w:sz w:val="28"/>
          <w:szCs w:val="28"/>
        </w:rPr>
        <w:t>дослідити структуру та динаміку поточних рахунків платіжних балансів Китаю та Японії;</w:t>
      </w:r>
    </w:p>
    <w:p w:rsidR="006570B4" w:rsidRDefault="006570B4" w:rsidP="006570B4">
      <w:pPr>
        <w:numPr>
          <w:ilvl w:val="0"/>
          <w:numId w:val="17"/>
        </w:numPr>
        <w:spacing w:line="360" w:lineRule="auto"/>
        <w:jc w:val="both"/>
        <w:rPr>
          <w:sz w:val="28"/>
          <w:szCs w:val="28"/>
        </w:rPr>
      </w:pPr>
      <w:r w:rsidRPr="006570B4">
        <w:rPr>
          <w:sz w:val="28"/>
          <w:szCs w:val="28"/>
        </w:rPr>
        <w:t>виявити стан та динаміку фінансових рахунків Китаю та Японії;</w:t>
      </w:r>
    </w:p>
    <w:p w:rsidR="006570B4" w:rsidRPr="006570B4" w:rsidRDefault="006570B4" w:rsidP="006570B4">
      <w:pPr>
        <w:numPr>
          <w:ilvl w:val="0"/>
          <w:numId w:val="17"/>
        </w:numPr>
        <w:spacing w:line="360" w:lineRule="auto"/>
        <w:jc w:val="both"/>
        <w:rPr>
          <w:sz w:val="28"/>
          <w:szCs w:val="28"/>
        </w:rPr>
      </w:pPr>
      <w:r>
        <w:rPr>
          <w:sz w:val="28"/>
          <w:szCs w:val="28"/>
        </w:rPr>
        <w:t xml:space="preserve">змоделювати результат операцій з борговими цінними паперами Китаю, </w:t>
      </w:r>
      <w:r w:rsidRPr="006570B4">
        <w:rPr>
          <w:sz w:val="28"/>
          <w:szCs w:val="28"/>
        </w:rPr>
        <w:t>Японії</w:t>
      </w:r>
      <w:r>
        <w:rPr>
          <w:sz w:val="28"/>
          <w:szCs w:val="28"/>
        </w:rPr>
        <w:t xml:space="preserve"> та України;</w:t>
      </w:r>
    </w:p>
    <w:p w:rsidR="006570B4" w:rsidRPr="006570B4" w:rsidRDefault="006570B4" w:rsidP="006570B4">
      <w:pPr>
        <w:numPr>
          <w:ilvl w:val="0"/>
          <w:numId w:val="17"/>
        </w:numPr>
        <w:spacing w:line="360" w:lineRule="auto"/>
        <w:jc w:val="both"/>
        <w:rPr>
          <w:sz w:val="28"/>
          <w:szCs w:val="28"/>
        </w:rPr>
      </w:pPr>
      <w:r w:rsidRPr="006570B4">
        <w:rPr>
          <w:sz w:val="28"/>
          <w:szCs w:val="28"/>
        </w:rPr>
        <w:t>дослідити особливості зовнішньоекономічних операцій Китаю та Японії з Україною.</w:t>
      </w:r>
    </w:p>
    <w:p w:rsidR="006570B4" w:rsidRPr="006570B4" w:rsidRDefault="006570B4" w:rsidP="006570B4">
      <w:pPr>
        <w:spacing w:line="360" w:lineRule="auto"/>
        <w:ind w:firstLine="567"/>
        <w:jc w:val="both"/>
        <w:rPr>
          <w:b/>
          <w:sz w:val="10"/>
          <w:szCs w:val="10"/>
        </w:rPr>
      </w:pPr>
    </w:p>
    <w:p w:rsidR="006570B4" w:rsidRPr="006570B4" w:rsidRDefault="006570B4" w:rsidP="006570B4">
      <w:pPr>
        <w:spacing w:line="360" w:lineRule="auto"/>
        <w:ind w:firstLine="709"/>
        <w:jc w:val="both"/>
        <w:rPr>
          <w:sz w:val="28"/>
          <w:szCs w:val="28"/>
        </w:rPr>
      </w:pPr>
      <w:r w:rsidRPr="006570B4">
        <w:rPr>
          <w:b/>
          <w:sz w:val="28"/>
          <w:szCs w:val="28"/>
        </w:rPr>
        <w:t>Об’єктом дослідження</w:t>
      </w:r>
      <w:r w:rsidRPr="006570B4">
        <w:rPr>
          <w:sz w:val="28"/>
          <w:szCs w:val="28"/>
        </w:rPr>
        <w:t xml:space="preserve"> –  є економіки Китаю та Японії.</w:t>
      </w:r>
    </w:p>
    <w:p w:rsidR="006570B4" w:rsidRPr="006570B4" w:rsidRDefault="006570B4" w:rsidP="006570B4">
      <w:pPr>
        <w:spacing w:line="360" w:lineRule="auto"/>
        <w:ind w:firstLine="709"/>
        <w:jc w:val="both"/>
        <w:rPr>
          <w:sz w:val="28"/>
          <w:szCs w:val="28"/>
        </w:rPr>
      </w:pPr>
      <w:r w:rsidRPr="006570B4">
        <w:rPr>
          <w:b/>
          <w:sz w:val="28"/>
          <w:szCs w:val="28"/>
        </w:rPr>
        <w:t>Предметом дослідження</w:t>
      </w:r>
      <w:r w:rsidRPr="006570B4">
        <w:rPr>
          <w:sz w:val="28"/>
          <w:szCs w:val="28"/>
        </w:rPr>
        <w:t xml:space="preserve"> – є теоретичні основи та прикладні аспекти трансформації зовнішньоекономічних позицій Китаю та Японії в умовах світової пандемії COVID-19.</w:t>
      </w:r>
    </w:p>
    <w:p w:rsidR="006570B4" w:rsidRPr="006570B4" w:rsidRDefault="006570B4" w:rsidP="006570B4">
      <w:pPr>
        <w:spacing w:line="360" w:lineRule="auto"/>
        <w:ind w:firstLine="709"/>
        <w:jc w:val="both"/>
        <w:rPr>
          <w:sz w:val="28"/>
          <w:szCs w:val="28"/>
        </w:rPr>
      </w:pPr>
      <w:r w:rsidRPr="006570B4">
        <w:rPr>
          <w:sz w:val="28"/>
          <w:szCs w:val="28"/>
        </w:rPr>
        <w:t xml:space="preserve">Досягнення поставленої у </w:t>
      </w:r>
      <w:r>
        <w:rPr>
          <w:sz w:val="28"/>
          <w:szCs w:val="28"/>
        </w:rPr>
        <w:t>бакалаврській</w:t>
      </w:r>
      <w:r w:rsidRPr="006570B4">
        <w:rPr>
          <w:sz w:val="28"/>
          <w:szCs w:val="28"/>
        </w:rPr>
        <w:t xml:space="preserve"> роботі мети обумовлено застосуванням наукового методу пізнання економічних процесів, який використовується для аналізу сучасного розвитку зовнішньоекономічних позицій </w:t>
      </w:r>
      <w:r w:rsidR="00D14498">
        <w:rPr>
          <w:sz w:val="28"/>
          <w:szCs w:val="28"/>
        </w:rPr>
        <w:t>Японії та Китаю</w:t>
      </w:r>
      <w:r w:rsidRPr="006570B4">
        <w:rPr>
          <w:sz w:val="28"/>
          <w:szCs w:val="28"/>
        </w:rPr>
        <w:t>.</w:t>
      </w:r>
    </w:p>
    <w:p w:rsidR="006570B4" w:rsidRPr="006570B4" w:rsidRDefault="006570B4" w:rsidP="006570B4">
      <w:pPr>
        <w:spacing w:line="360" w:lineRule="auto"/>
        <w:ind w:firstLine="709"/>
        <w:jc w:val="both"/>
        <w:rPr>
          <w:sz w:val="28"/>
          <w:szCs w:val="28"/>
        </w:rPr>
      </w:pPr>
      <w:r w:rsidRPr="006570B4">
        <w:rPr>
          <w:sz w:val="28"/>
          <w:szCs w:val="28"/>
        </w:rPr>
        <w:t>Дипломна робота є самостійно виконаним дослідженням, в якому усі результати, що виносяться на захист, отримані автором особисто.</w:t>
      </w:r>
    </w:p>
    <w:p w:rsidR="006570B4" w:rsidRPr="006570B4" w:rsidRDefault="006570B4" w:rsidP="006570B4">
      <w:pPr>
        <w:spacing w:line="360" w:lineRule="auto"/>
        <w:ind w:firstLine="709"/>
        <w:jc w:val="both"/>
        <w:rPr>
          <w:sz w:val="28"/>
          <w:szCs w:val="28"/>
        </w:rPr>
      </w:pPr>
      <w:r w:rsidRPr="006570B4">
        <w:rPr>
          <w:sz w:val="28"/>
          <w:szCs w:val="28"/>
        </w:rPr>
        <w:t xml:space="preserve">Теоретичною та методологічною основою дослідження є положення, сформульовані у працях вітчизняних і закордонних вчених, присвячених дослідженню зовнішньоекономічних операцій </w:t>
      </w:r>
      <w:r w:rsidR="00D14498">
        <w:rPr>
          <w:sz w:val="28"/>
          <w:szCs w:val="28"/>
        </w:rPr>
        <w:t>різних країн світу</w:t>
      </w:r>
      <w:r w:rsidRPr="006570B4">
        <w:rPr>
          <w:sz w:val="28"/>
          <w:szCs w:val="28"/>
        </w:rPr>
        <w:t>.</w:t>
      </w:r>
    </w:p>
    <w:p w:rsidR="006570B4" w:rsidRPr="006570B4" w:rsidRDefault="006570B4" w:rsidP="006570B4">
      <w:pPr>
        <w:spacing w:line="360" w:lineRule="auto"/>
        <w:ind w:firstLine="709"/>
        <w:jc w:val="both"/>
        <w:rPr>
          <w:sz w:val="28"/>
          <w:szCs w:val="28"/>
          <w:lang w:eastAsia="en-US"/>
        </w:rPr>
      </w:pPr>
      <w:r w:rsidRPr="006570B4">
        <w:rPr>
          <w:sz w:val="28"/>
          <w:szCs w:val="28"/>
          <w:lang w:eastAsia="en-US"/>
        </w:rPr>
        <w:t>Результати дослідження пройшли апробацію на науковій конференції «Соціально-економічний та політичний розвиток країн у сучасних умовах», яка відбулась в Одеському національному університеті імені І. І. Мечникова 27 травня 2022 року.</w:t>
      </w:r>
    </w:p>
    <w:p w:rsidR="00347227" w:rsidRPr="003F1573" w:rsidRDefault="00347227" w:rsidP="00347227">
      <w:pPr>
        <w:spacing w:line="360" w:lineRule="auto"/>
        <w:jc w:val="center"/>
        <w:rPr>
          <w:b/>
          <w:sz w:val="28"/>
          <w:szCs w:val="28"/>
        </w:rPr>
      </w:pPr>
      <w:r w:rsidRPr="003F1573">
        <w:rPr>
          <w:b/>
          <w:sz w:val="28"/>
          <w:szCs w:val="28"/>
        </w:rPr>
        <w:lastRenderedPageBreak/>
        <w:t>РОЗДІЛ 1</w:t>
      </w:r>
    </w:p>
    <w:p w:rsidR="00347227" w:rsidRPr="003F1573" w:rsidRDefault="00347227" w:rsidP="00347227">
      <w:pPr>
        <w:spacing w:line="360" w:lineRule="auto"/>
        <w:jc w:val="center"/>
        <w:rPr>
          <w:b/>
          <w:sz w:val="28"/>
          <w:szCs w:val="28"/>
        </w:rPr>
      </w:pPr>
      <w:r w:rsidRPr="003F1573">
        <w:rPr>
          <w:b/>
          <w:sz w:val="28"/>
          <w:szCs w:val="28"/>
        </w:rPr>
        <w:t xml:space="preserve">ТЕОРЕТИЧНІ ОСНОВИ АНАЛІЗУ ЗОВНІШНЬОЕКОНОМІЧНИХ </w:t>
      </w:r>
      <w:r w:rsidR="00651CC3" w:rsidRPr="003F1573">
        <w:rPr>
          <w:b/>
          <w:sz w:val="28"/>
          <w:szCs w:val="28"/>
        </w:rPr>
        <w:t>ПОЗИЦІЙ</w:t>
      </w:r>
      <w:r w:rsidRPr="003F1573">
        <w:rPr>
          <w:b/>
          <w:sz w:val="28"/>
          <w:szCs w:val="28"/>
        </w:rPr>
        <w:t xml:space="preserve"> ЯПОНІЇ ТА КИТАЮ</w:t>
      </w:r>
    </w:p>
    <w:p w:rsidR="00347227" w:rsidRPr="003F1573" w:rsidRDefault="00347227" w:rsidP="00347227">
      <w:pPr>
        <w:spacing w:line="360" w:lineRule="auto"/>
        <w:jc w:val="center"/>
        <w:rPr>
          <w:sz w:val="28"/>
          <w:szCs w:val="28"/>
        </w:rPr>
      </w:pPr>
    </w:p>
    <w:p w:rsidR="00855A6A" w:rsidRPr="00F34517" w:rsidRDefault="000F5215" w:rsidP="000764D8">
      <w:pPr>
        <w:spacing w:line="360" w:lineRule="auto"/>
        <w:ind w:firstLine="567"/>
        <w:jc w:val="both"/>
        <w:rPr>
          <w:sz w:val="28"/>
          <w:szCs w:val="28"/>
          <w:lang w:val="en-US"/>
        </w:rPr>
      </w:pPr>
      <w:r w:rsidRPr="003F1573">
        <w:rPr>
          <w:sz w:val="28"/>
          <w:szCs w:val="28"/>
        </w:rPr>
        <w:t>Автор статті «</w:t>
      </w:r>
      <w:r w:rsidR="006B72BF" w:rsidRPr="003F1573">
        <w:rPr>
          <w:sz w:val="28"/>
          <w:szCs w:val="28"/>
        </w:rPr>
        <w:t>Довгий пошук стабільності: фінансове співробітництво для подолання глобальних ризиків у Східноазі</w:t>
      </w:r>
      <w:r w:rsidR="004C718E" w:rsidRPr="003F1573">
        <w:rPr>
          <w:sz w:val="28"/>
          <w:szCs w:val="28"/>
        </w:rPr>
        <w:t>ат</w:t>
      </w:r>
      <w:r w:rsidR="006B72BF" w:rsidRPr="003F1573">
        <w:rPr>
          <w:sz w:val="28"/>
          <w:szCs w:val="28"/>
        </w:rPr>
        <w:t>ському регіоні</w:t>
      </w:r>
      <w:r w:rsidRPr="003F1573">
        <w:rPr>
          <w:sz w:val="28"/>
          <w:szCs w:val="28"/>
        </w:rPr>
        <w:t>»</w:t>
      </w:r>
      <w:r w:rsidR="006B72BF" w:rsidRPr="003F1573">
        <w:rPr>
          <w:sz w:val="28"/>
          <w:szCs w:val="28"/>
        </w:rPr>
        <w:t xml:space="preserve"> (2021) </w:t>
      </w:r>
      <w:r w:rsidR="001A6D13" w:rsidRPr="003F1573">
        <w:rPr>
          <w:sz w:val="28"/>
          <w:szCs w:val="28"/>
        </w:rPr>
        <w:t xml:space="preserve">С. П. </w:t>
      </w:r>
      <w:r w:rsidR="000764D8" w:rsidRPr="003F1573">
        <w:rPr>
          <w:sz w:val="28"/>
          <w:szCs w:val="28"/>
        </w:rPr>
        <w:t xml:space="preserve">Чандрасекар у своїй праці зазначає, що вимушені через кризу в Південно-Східній Азії 1997 року визнати зовнішню вразливість, до якої призводить відкритість для нестабільних потоків капіталу, і стривожені посткризовою політикою, накладеною МВФ, країни субрегіону побачили необхідність в регіональній мережі фінансової безпеки, яка може попередити або пом’якшити майбутні кризи. Спочатку метою ініціативи, яку тоді очолювала Японія, було створити об’єкт або розробити механізм, який був би незалежним від США та МВФ, оскільки США були менш стурбованими вразливими місцями в </w:t>
      </w:r>
      <w:r w:rsidR="00D02458" w:rsidRPr="003F1573">
        <w:rPr>
          <w:sz w:val="28"/>
          <w:szCs w:val="28"/>
        </w:rPr>
        <w:t xml:space="preserve">економіці </w:t>
      </w:r>
      <w:r w:rsidR="000764D8" w:rsidRPr="003F1573">
        <w:rPr>
          <w:sz w:val="28"/>
          <w:szCs w:val="28"/>
        </w:rPr>
        <w:t>Азії, ніж Латинськ</w:t>
      </w:r>
      <w:r w:rsidR="00D02458" w:rsidRPr="003F1573">
        <w:rPr>
          <w:sz w:val="28"/>
          <w:szCs w:val="28"/>
        </w:rPr>
        <w:t>ої</w:t>
      </w:r>
      <w:r w:rsidR="000764D8" w:rsidRPr="003F1573">
        <w:rPr>
          <w:sz w:val="28"/>
          <w:szCs w:val="28"/>
        </w:rPr>
        <w:t xml:space="preserve"> Амери</w:t>
      </w:r>
      <w:r w:rsidR="00D02458" w:rsidRPr="003F1573">
        <w:rPr>
          <w:sz w:val="28"/>
          <w:szCs w:val="28"/>
        </w:rPr>
        <w:t>ки</w:t>
      </w:r>
      <w:r w:rsidR="000764D8" w:rsidRPr="003F1573">
        <w:rPr>
          <w:sz w:val="28"/>
          <w:szCs w:val="28"/>
        </w:rPr>
        <w:t>, і їхні рекомендації виявилися шкідливими для країн регіону. Проте, американська опозиція та успадкована геополітична напруженість у регіоні заблокували початкову пропозицію Японії щодо створення Азіатського валютного фонду</w:t>
      </w:r>
      <w:r w:rsidR="00F34517">
        <w:rPr>
          <w:sz w:val="28"/>
          <w:szCs w:val="28"/>
        </w:rPr>
        <w:t xml:space="preserve">, свого роду регіонального МВФ </w:t>
      </w:r>
      <w:r w:rsidR="00F34517">
        <w:rPr>
          <w:sz w:val="28"/>
          <w:szCs w:val="28"/>
          <w:lang w:val="en-US"/>
        </w:rPr>
        <w:t>[1].</w:t>
      </w:r>
    </w:p>
    <w:p w:rsidR="000764D8" w:rsidRPr="003F1573" w:rsidRDefault="000764D8" w:rsidP="000764D8">
      <w:pPr>
        <w:spacing w:line="360" w:lineRule="auto"/>
        <w:ind w:firstLine="567"/>
        <w:jc w:val="both"/>
        <w:rPr>
          <w:sz w:val="28"/>
          <w:szCs w:val="28"/>
        </w:rPr>
      </w:pPr>
      <w:r w:rsidRPr="003F1573">
        <w:rPr>
          <w:sz w:val="28"/>
          <w:szCs w:val="28"/>
        </w:rPr>
        <w:t>У якості альтернативи група АСЕАН+3 (</w:t>
      </w:r>
      <w:r w:rsidR="00D02458" w:rsidRPr="003F1573">
        <w:rPr>
          <w:sz w:val="28"/>
          <w:szCs w:val="28"/>
        </w:rPr>
        <w:t>країни-</w:t>
      </w:r>
      <w:r w:rsidRPr="003F1573">
        <w:rPr>
          <w:sz w:val="28"/>
          <w:szCs w:val="28"/>
        </w:rPr>
        <w:t xml:space="preserve">члени АСЕАН та Китай, Японія, Південна Корея) обрала більш гнучкі домовленості, в основі яких була мережа багатосторонніх та двосторонніх </w:t>
      </w:r>
      <w:r w:rsidR="00D02458" w:rsidRPr="003F1573">
        <w:rPr>
          <w:sz w:val="28"/>
          <w:szCs w:val="28"/>
        </w:rPr>
        <w:t>swap-</w:t>
      </w:r>
      <w:r w:rsidRPr="003F1573">
        <w:rPr>
          <w:sz w:val="28"/>
          <w:szCs w:val="28"/>
        </w:rPr>
        <w:t xml:space="preserve">угод центральних банків. Хоча ці угоди відіграли певну роль у врегулюванні криз, спроби зробити їх центральними інструментами спільно створеної регіональної мережі безпеки, Чіангмайської ініціативи, провалилися. Під час криз 2008 та 2020 років країни, на які поширюється дія Ініціативи, вирішили не покладатися на цей механізм, вважаючи за краще звернутися за допомогою до багатосторонніх установ, таких як Азійський банк розвитку (ADB), Світовий банк та МВФ, або укласти двосторонні угоди в регіоні та за його межами. Фундаментальна проблема полягала в тому, що через намагання заспокоїти США та МВФ і використання </w:t>
      </w:r>
      <w:r w:rsidRPr="003F1573">
        <w:rPr>
          <w:sz w:val="28"/>
          <w:szCs w:val="28"/>
        </w:rPr>
        <w:lastRenderedPageBreak/>
        <w:t xml:space="preserve">МВФ як захисного засобу проти домінування регіональної </w:t>
      </w:r>
      <w:r w:rsidR="00554CB3" w:rsidRPr="003F1573">
        <w:rPr>
          <w:sz w:val="28"/>
          <w:szCs w:val="28"/>
        </w:rPr>
        <w:t>держави</w:t>
      </w:r>
      <w:r w:rsidRPr="003F1573">
        <w:rPr>
          <w:sz w:val="28"/>
          <w:szCs w:val="28"/>
        </w:rPr>
        <w:t xml:space="preserve">, як Японія, регіональні домовленості не були реальною альтернативою традиційним джерелам підтримки платіжного балансу. Зокрема, доступ до значної фінансової допомоги в рамках цієї домовленості вимагав, щоб країна спочатку отримувала підтримку в рамках програми МВФ і підлягала умовам та нагляду МВФ. Невдача багатосторонніх зусиль означала, що спеціальна азіатська мережа безпеки, незалежна від США та МВФ, мала бути створена регіональною силою, яка передбачає підтримку мережі двосторонніх угод. Японія була першою регіональною державою, яка намагалася побудувати таку мережу через Ініціативу Міядзави після 1997 року. </w:t>
      </w:r>
      <w:r w:rsidR="00554CB3" w:rsidRPr="003F1573">
        <w:rPr>
          <w:sz w:val="28"/>
          <w:szCs w:val="28"/>
        </w:rPr>
        <w:t>Однак,</w:t>
      </w:r>
      <w:r w:rsidRPr="003F1573">
        <w:rPr>
          <w:sz w:val="28"/>
          <w:szCs w:val="28"/>
        </w:rPr>
        <w:t xml:space="preserve"> її власні складні відносини зі США означали, що їхнє втручання не могло продовж</w:t>
      </w:r>
      <w:r w:rsidR="00554CB3" w:rsidRPr="003F1573">
        <w:rPr>
          <w:sz w:val="28"/>
          <w:szCs w:val="28"/>
        </w:rPr>
        <w:t>уватися</w:t>
      </w:r>
      <w:r w:rsidRPr="003F1573">
        <w:rPr>
          <w:sz w:val="28"/>
          <w:szCs w:val="28"/>
        </w:rPr>
        <w:t xml:space="preserve">, особливо через кризу, яка охопила Японію в 1990 році. Перспектива регіональної незалежності у врегулюванні кризи відродилася із піднесенням Китаю як регіональної та глобальної </w:t>
      </w:r>
      <w:r w:rsidR="00554CB3" w:rsidRPr="003F1573">
        <w:rPr>
          <w:sz w:val="28"/>
          <w:szCs w:val="28"/>
        </w:rPr>
        <w:t>держави</w:t>
      </w:r>
      <w:r w:rsidRPr="003F1573">
        <w:rPr>
          <w:sz w:val="28"/>
          <w:szCs w:val="28"/>
        </w:rPr>
        <w:t xml:space="preserve">. Цього разу як економіка, так і незалежність Китаю від США, схоже, покращують перспективи успішного регіонального співробітництва для подолання фінансової вразливості. У даній статті зазначено також, що історія напруженості між Китаєм та його сусідами і страхом перед китайським домінуванням можуть призвести до ще однієї невдачі. </w:t>
      </w:r>
      <w:r w:rsidR="00554CB3" w:rsidRPr="003F1573">
        <w:rPr>
          <w:sz w:val="28"/>
          <w:szCs w:val="28"/>
        </w:rPr>
        <w:t>Однак,</w:t>
      </w:r>
      <w:r w:rsidRPr="003F1573">
        <w:rPr>
          <w:sz w:val="28"/>
          <w:szCs w:val="28"/>
        </w:rPr>
        <w:t xml:space="preserve"> поки що ініціатива «Один пояс, один шлях», підтримка Китаєм великої кількості двосторонніх </w:t>
      </w:r>
      <w:r w:rsidR="001A751A" w:rsidRPr="003F1573">
        <w:rPr>
          <w:sz w:val="28"/>
          <w:szCs w:val="28"/>
        </w:rPr>
        <w:t>swap-</w:t>
      </w:r>
      <w:r w:rsidRPr="003F1573">
        <w:rPr>
          <w:sz w:val="28"/>
          <w:szCs w:val="28"/>
        </w:rPr>
        <w:t>угод та його участь у Всебічному регіональному економічному партнерстві (RCEP), припускається, свідчать про те, що азіатські країни можуть нарешті вступити у свої права</w:t>
      </w:r>
      <w:r w:rsidR="00855A6A" w:rsidRPr="003F1573">
        <w:rPr>
          <w:sz w:val="28"/>
          <w:szCs w:val="28"/>
        </w:rPr>
        <w:t xml:space="preserve"> [</w:t>
      </w:r>
      <w:r w:rsidR="00F34517">
        <w:rPr>
          <w:sz w:val="28"/>
          <w:szCs w:val="28"/>
        </w:rPr>
        <w:t>1</w:t>
      </w:r>
      <w:r w:rsidR="00855A6A" w:rsidRPr="003F1573">
        <w:rPr>
          <w:sz w:val="28"/>
          <w:szCs w:val="28"/>
        </w:rPr>
        <w:t>]</w:t>
      </w:r>
      <w:r w:rsidRPr="003F1573">
        <w:rPr>
          <w:sz w:val="28"/>
          <w:szCs w:val="28"/>
        </w:rPr>
        <w:t>.</w:t>
      </w:r>
    </w:p>
    <w:p w:rsidR="00855A6A" w:rsidRPr="003F1573" w:rsidRDefault="00855A6A" w:rsidP="004F4D39">
      <w:pPr>
        <w:spacing w:line="360" w:lineRule="auto"/>
        <w:ind w:firstLine="567"/>
        <w:jc w:val="both"/>
        <w:rPr>
          <w:sz w:val="28"/>
          <w:szCs w:val="28"/>
        </w:rPr>
      </w:pPr>
      <w:r w:rsidRPr="003F1573">
        <w:rPr>
          <w:sz w:val="28"/>
          <w:szCs w:val="28"/>
        </w:rPr>
        <w:t xml:space="preserve">В останні роки платіжний баланс США зберігає безперервний дефіцит, а профіцит міжнародних платежів Китаю, навпаки, збільшується. З метою дослідження причин, які впливають на формування платіжного балансу цих двох країн, у роботі </w:t>
      </w:r>
      <w:r w:rsidR="00F22FD1" w:rsidRPr="003F1573">
        <w:rPr>
          <w:sz w:val="28"/>
          <w:szCs w:val="28"/>
        </w:rPr>
        <w:t>Ци Чжана «</w:t>
      </w:r>
      <w:r w:rsidR="006F0955" w:rsidRPr="003F1573">
        <w:rPr>
          <w:sz w:val="28"/>
          <w:szCs w:val="28"/>
        </w:rPr>
        <w:t>Аналіз факторів формування платіжного балансу Китаю та США з точки зору «еластичного песимізму»</w:t>
      </w:r>
      <w:r w:rsidR="00F22FD1" w:rsidRPr="003F1573">
        <w:rPr>
          <w:sz w:val="28"/>
          <w:szCs w:val="28"/>
        </w:rPr>
        <w:t>»</w:t>
      </w:r>
      <w:r w:rsidR="006F0955" w:rsidRPr="003F1573">
        <w:rPr>
          <w:sz w:val="28"/>
          <w:szCs w:val="28"/>
        </w:rPr>
        <w:t xml:space="preserve"> (</w:t>
      </w:r>
      <w:r w:rsidR="007A7418" w:rsidRPr="003F1573">
        <w:rPr>
          <w:sz w:val="28"/>
          <w:szCs w:val="28"/>
        </w:rPr>
        <w:t>2022</w:t>
      </w:r>
      <w:r w:rsidR="006F0955" w:rsidRPr="003F1573">
        <w:rPr>
          <w:sz w:val="28"/>
          <w:szCs w:val="28"/>
        </w:rPr>
        <w:t>)</w:t>
      </w:r>
      <w:r w:rsidR="007A7418" w:rsidRPr="003F1573">
        <w:rPr>
          <w:sz w:val="28"/>
          <w:szCs w:val="28"/>
        </w:rPr>
        <w:t xml:space="preserve"> </w:t>
      </w:r>
      <w:r w:rsidRPr="003F1573">
        <w:rPr>
          <w:sz w:val="28"/>
          <w:szCs w:val="28"/>
        </w:rPr>
        <w:t xml:space="preserve">аналізується фактична ситуація в Китаї та США з точки зору еластичного песимізму, виходячи з умови Маршалла-Лернера. З дослідження робиться висновок про те, що фактичний обсяг експорту і масштаб торгівлі США </w:t>
      </w:r>
      <w:r w:rsidRPr="003F1573">
        <w:rPr>
          <w:sz w:val="28"/>
          <w:szCs w:val="28"/>
        </w:rPr>
        <w:lastRenderedPageBreak/>
        <w:t>високотехнологічною промисловою продукцією були придушені, що призвело до низької еластичності попиту на експортовані товари. У той же час, оскільки більшість споживаних американцями товарів наперед є товарами першої необхідності з Китаю, знецінення долара відносно юаня не знизило попит, а збільшило торговельний дефіцит. Багаті ресурси та дешева й якісна продукція Китаю дозволяють йому займати активну позицію на світовому ринку торгівлі</w:t>
      </w:r>
      <w:r w:rsidR="00252C7A" w:rsidRPr="003F1573">
        <w:rPr>
          <w:sz w:val="28"/>
          <w:szCs w:val="28"/>
        </w:rPr>
        <w:t xml:space="preserve"> [</w:t>
      </w:r>
      <w:r w:rsidR="00F34517">
        <w:rPr>
          <w:sz w:val="28"/>
          <w:szCs w:val="28"/>
        </w:rPr>
        <w:t>2</w:t>
      </w:r>
      <w:r w:rsidR="00252C7A" w:rsidRPr="003F1573">
        <w:rPr>
          <w:sz w:val="28"/>
          <w:szCs w:val="28"/>
        </w:rPr>
        <w:t>]</w:t>
      </w:r>
      <w:r w:rsidRPr="003F1573">
        <w:rPr>
          <w:sz w:val="28"/>
          <w:szCs w:val="28"/>
        </w:rPr>
        <w:t>.</w:t>
      </w:r>
    </w:p>
    <w:p w:rsidR="001A51C8" w:rsidRPr="003F1573" w:rsidRDefault="001A51C8" w:rsidP="00395769">
      <w:pPr>
        <w:spacing w:line="360" w:lineRule="auto"/>
        <w:ind w:firstLine="567"/>
        <w:jc w:val="both"/>
        <w:rPr>
          <w:sz w:val="28"/>
          <w:szCs w:val="28"/>
        </w:rPr>
      </w:pPr>
      <w:r w:rsidRPr="003F1573">
        <w:rPr>
          <w:sz w:val="28"/>
          <w:szCs w:val="28"/>
        </w:rPr>
        <w:t>Японія за розмірами валового національного продукту, обсягу промислового виробництва та низки інших макроекономічних показників – одна з найрозвиненіших країн світу. Особливості економічного розвитку цієї країни, її досягнення в передових галузях науково-технічного прогресу, здатність швидко реагувати на мінливі умови світового ринку привертають увагу до неї в усьому світі. Зараз в Японії завершується структурна реформа, спрямована, зокрема, на лібералізацію економіки країни і на підвищення ступеня відкритості її внутрішнього ринку. Оскільки ступінь інтеграції України у світову економіку зростає, вивчення японського досвіду важливе для формування економічної стратегії нашої країни.</w:t>
      </w:r>
      <w:r w:rsidR="00395769" w:rsidRPr="003F1573">
        <w:rPr>
          <w:sz w:val="28"/>
          <w:szCs w:val="28"/>
        </w:rPr>
        <w:t xml:space="preserve"> </w:t>
      </w:r>
      <w:r w:rsidRPr="003F1573">
        <w:rPr>
          <w:sz w:val="28"/>
          <w:szCs w:val="28"/>
        </w:rPr>
        <w:t xml:space="preserve">Статтю «Аналіз економічної стратегії розвитку Японії» (2017) присвячено актуальним питанням економічного розвитку </w:t>
      </w:r>
      <w:r w:rsidR="00F97736" w:rsidRPr="003F1573">
        <w:rPr>
          <w:sz w:val="28"/>
          <w:szCs w:val="28"/>
        </w:rPr>
        <w:t xml:space="preserve">цієї країни. </w:t>
      </w:r>
      <w:r w:rsidRPr="003F1573">
        <w:rPr>
          <w:sz w:val="28"/>
          <w:szCs w:val="28"/>
        </w:rPr>
        <w:t xml:space="preserve">Автори Л. М. Крисюк, </w:t>
      </w:r>
      <w:r w:rsidR="008413BB" w:rsidRPr="003F1573">
        <w:rPr>
          <w:sz w:val="28"/>
          <w:szCs w:val="28"/>
        </w:rPr>
        <w:t>Д. В. Куликов та А. І. Чебанова п</w:t>
      </w:r>
      <w:r w:rsidRPr="003F1573">
        <w:rPr>
          <w:sz w:val="28"/>
          <w:szCs w:val="28"/>
        </w:rPr>
        <w:t>роаналіз</w:t>
      </w:r>
      <w:r w:rsidR="008413BB" w:rsidRPr="003F1573">
        <w:rPr>
          <w:sz w:val="28"/>
          <w:szCs w:val="28"/>
        </w:rPr>
        <w:t>ували</w:t>
      </w:r>
      <w:r w:rsidRPr="003F1573">
        <w:rPr>
          <w:sz w:val="28"/>
          <w:szCs w:val="28"/>
        </w:rPr>
        <w:t xml:space="preserve"> економічний стан </w:t>
      </w:r>
      <w:r w:rsidR="00F97736" w:rsidRPr="003F1573">
        <w:rPr>
          <w:sz w:val="28"/>
          <w:szCs w:val="28"/>
        </w:rPr>
        <w:t>Японії</w:t>
      </w:r>
      <w:r w:rsidRPr="003F1573">
        <w:rPr>
          <w:sz w:val="28"/>
          <w:szCs w:val="28"/>
        </w:rPr>
        <w:t xml:space="preserve"> з післявоєнних часів до сьогодення</w:t>
      </w:r>
      <w:r w:rsidR="008413BB" w:rsidRPr="003F1573">
        <w:rPr>
          <w:sz w:val="28"/>
          <w:szCs w:val="28"/>
        </w:rPr>
        <w:t>, д</w:t>
      </w:r>
      <w:r w:rsidRPr="003F1573">
        <w:rPr>
          <w:sz w:val="28"/>
          <w:szCs w:val="28"/>
        </w:rPr>
        <w:t>ослід</w:t>
      </w:r>
      <w:r w:rsidR="008413BB" w:rsidRPr="003F1573">
        <w:rPr>
          <w:sz w:val="28"/>
          <w:szCs w:val="28"/>
        </w:rPr>
        <w:t>или</w:t>
      </w:r>
      <w:r w:rsidRPr="003F1573">
        <w:rPr>
          <w:sz w:val="28"/>
          <w:szCs w:val="28"/>
        </w:rPr>
        <w:t xml:space="preserve"> недоліки, які при</w:t>
      </w:r>
      <w:r w:rsidR="00F97736" w:rsidRPr="003F1573">
        <w:rPr>
          <w:sz w:val="28"/>
          <w:szCs w:val="28"/>
        </w:rPr>
        <w:t>з</w:t>
      </w:r>
      <w:r w:rsidRPr="003F1573">
        <w:rPr>
          <w:sz w:val="28"/>
          <w:szCs w:val="28"/>
        </w:rPr>
        <w:t>вели до негативних явищ в економіці країни</w:t>
      </w:r>
      <w:r w:rsidR="008413BB" w:rsidRPr="003F1573">
        <w:rPr>
          <w:sz w:val="28"/>
          <w:szCs w:val="28"/>
        </w:rPr>
        <w:t xml:space="preserve"> та окреслили </w:t>
      </w:r>
      <w:r w:rsidRPr="003F1573">
        <w:rPr>
          <w:sz w:val="28"/>
          <w:szCs w:val="28"/>
        </w:rPr>
        <w:t>шляхи поліпшення економічного стану та стратегію економічного розвитку.</w:t>
      </w:r>
      <w:r w:rsidR="008413BB" w:rsidRPr="003F1573">
        <w:rPr>
          <w:sz w:val="28"/>
          <w:szCs w:val="28"/>
        </w:rPr>
        <w:t xml:space="preserve"> </w:t>
      </w:r>
      <w:r w:rsidRPr="003F1573">
        <w:rPr>
          <w:sz w:val="28"/>
          <w:szCs w:val="28"/>
        </w:rPr>
        <w:t>Однак</w:t>
      </w:r>
      <w:r w:rsidR="008413BB" w:rsidRPr="003F1573">
        <w:rPr>
          <w:sz w:val="28"/>
          <w:szCs w:val="28"/>
        </w:rPr>
        <w:t>, у праці зазначено також, що</w:t>
      </w:r>
      <w:r w:rsidRPr="003F1573">
        <w:rPr>
          <w:sz w:val="28"/>
          <w:szCs w:val="28"/>
        </w:rPr>
        <w:t xml:space="preserve"> усе ще залишаються невирішеними серйозні проблеми, які вимагають великої уваги, такі як державний борг, незвичайне для сучасної розвиненої економіки явище – дефляція, політика Японії щодо захисту свого ринку від деяких продуктів американського експорту. Багато із цих труднощів викликані невідповідністю структури економіки Японії та внутрішнього законодавства сучасним умовам, що формується під впливом процесу глобалізації, і, відповідно, багатьом вимогам її партнерів, особливо США. </w:t>
      </w:r>
      <w:r w:rsidRPr="003F1573">
        <w:rPr>
          <w:sz w:val="28"/>
          <w:szCs w:val="28"/>
        </w:rPr>
        <w:lastRenderedPageBreak/>
        <w:t>Проте</w:t>
      </w:r>
      <w:r w:rsidR="008413BB" w:rsidRPr="003F1573">
        <w:rPr>
          <w:sz w:val="28"/>
          <w:szCs w:val="28"/>
        </w:rPr>
        <w:t>,</w:t>
      </w:r>
      <w:r w:rsidRPr="003F1573">
        <w:rPr>
          <w:sz w:val="28"/>
          <w:szCs w:val="28"/>
        </w:rPr>
        <w:t xml:space="preserve"> комплексні дослідження щодо того, як використовувати досвід Японії в забезпеченні передових методів українськими підприємствами й економічної стратегії України в цілому, недостатні. </w:t>
      </w:r>
    </w:p>
    <w:p w:rsidR="001A51C8" w:rsidRPr="003F1573" w:rsidRDefault="008413BB" w:rsidP="00395769">
      <w:pPr>
        <w:spacing w:line="360" w:lineRule="auto"/>
        <w:ind w:firstLine="567"/>
        <w:jc w:val="both"/>
        <w:rPr>
          <w:sz w:val="28"/>
          <w:szCs w:val="28"/>
        </w:rPr>
      </w:pPr>
      <w:r w:rsidRPr="003F1573">
        <w:rPr>
          <w:sz w:val="28"/>
          <w:szCs w:val="28"/>
        </w:rPr>
        <w:t>У даній роботі мова йдеться і про те, що я</w:t>
      </w:r>
      <w:r w:rsidR="001A51C8" w:rsidRPr="003F1573">
        <w:rPr>
          <w:sz w:val="28"/>
          <w:szCs w:val="28"/>
        </w:rPr>
        <w:t>понські компанії вже досягли високого ступеня інтеграції з азіатськими економіками, розміщуючи там свої виробництва, однак передбачається проведення внутрішніх реформ, спрямованих на подвоєння потоків людей, товарів, капіталів і забезпечення більш активної і вільної взаємодії з азіатськими країнами. Реформи торкнуться таких сфер, як навчання і робота іноземців в Японії, транспортна інфраструктура. Крім того, планується зниження корпоративного податку з метою створення сприятливих умов для залучення в країну прямих іноземних інвестицій. У планах розширення ролі венчурного капіталу, який грає важливу роль в забезпеченні економічного зростання та інновацій, сприяння інноваціям у сфері науки і техніки та розроблення інфраструктури, яка пов</w:t>
      </w:r>
      <w:r w:rsidR="00395769" w:rsidRPr="003F1573">
        <w:rPr>
          <w:sz w:val="28"/>
          <w:szCs w:val="28"/>
        </w:rPr>
        <w:t>’</w:t>
      </w:r>
      <w:r w:rsidR="001A51C8" w:rsidRPr="003F1573">
        <w:rPr>
          <w:sz w:val="28"/>
          <w:szCs w:val="28"/>
        </w:rPr>
        <w:t xml:space="preserve">язує інноваційні технології з новим бізнесом, поліпшення бізнес-середовища для підвищення жіночого просування по службі на робочих місцях, надання субсидій для підтримки робочих місць, мобільність робочої сили. Планується </w:t>
      </w:r>
      <w:r w:rsidR="00395769" w:rsidRPr="003F1573">
        <w:rPr>
          <w:sz w:val="28"/>
          <w:szCs w:val="28"/>
        </w:rPr>
        <w:t xml:space="preserve">також </w:t>
      </w:r>
      <w:r w:rsidR="001A51C8" w:rsidRPr="003F1573">
        <w:rPr>
          <w:sz w:val="28"/>
          <w:szCs w:val="28"/>
        </w:rPr>
        <w:t>участь у торгових угодах на високому рівні</w:t>
      </w:r>
      <w:r w:rsidR="00395769" w:rsidRPr="003F1573">
        <w:rPr>
          <w:sz w:val="28"/>
          <w:szCs w:val="28"/>
        </w:rPr>
        <w:t>,</w:t>
      </w:r>
      <w:r w:rsidR="001A51C8" w:rsidRPr="003F1573">
        <w:rPr>
          <w:sz w:val="28"/>
          <w:szCs w:val="28"/>
        </w:rPr>
        <w:t xml:space="preserve"> скорочення державної підтримки для сприяння реструктуризації життєздатних фірм та вихід нежиттєздатних</w:t>
      </w:r>
      <w:r w:rsidR="00395769" w:rsidRPr="003F1573">
        <w:rPr>
          <w:sz w:val="28"/>
          <w:szCs w:val="28"/>
        </w:rPr>
        <w:t>,</w:t>
      </w:r>
      <w:r w:rsidR="001A51C8" w:rsidRPr="003F1573">
        <w:rPr>
          <w:sz w:val="28"/>
          <w:szCs w:val="28"/>
        </w:rPr>
        <w:t xml:space="preserve"> подвоєння доходів фермерів і сільського господарства</w:t>
      </w:r>
      <w:r w:rsidR="00395769" w:rsidRPr="003F1573">
        <w:rPr>
          <w:sz w:val="28"/>
          <w:szCs w:val="28"/>
        </w:rPr>
        <w:t>,</w:t>
      </w:r>
      <w:r w:rsidR="001A51C8" w:rsidRPr="003F1573">
        <w:rPr>
          <w:sz w:val="28"/>
          <w:szCs w:val="28"/>
        </w:rPr>
        <w:t xml:space="preserve"> скорочення виплат фермерам, прискорюючи при цьому консолідацію земель сільськогосподарського призначення та реформування ролі сільськогосподарських кооперативів. </w:t>
      </w:r>
    </w:p>
    <w:p w:rsidR="001A51C8" w:rsidRPr="003F1573" w:rsidRDefault="001A51C8" w:rsidP="00395769">
      <w:pPr>
        <w:spacing w:line="360" w:lineRule="auto"/>
        <w:ind w:firstLine="567"/>
        <w:jc w:val="both"/>
        <w:rPr>
          <w:sz w:val="28"/>
          <w:szCs w:val="28"/>
        </w:rPr>
      </w:pPr>
      <w:r w:rsidRPr="003F1573">
        <w:rPr>
          <w:sz w:val="28"/>
          <w:szCs w:val="28"/>
        </w:rPr>
        <w:t xml:space="preserve">Японія є найпотужнішим банківським центром і міжнародним кредитором. Експорт капіталу є головною формою його зовнішньоекономічної діяльності. Найбільше японських капіталів працює в США (42,2%), країнах Азії (24,2%), Західної Європи (15,3%), Латинської Америки (9,3%). Спасаючись від дешевої єни, японські інвестори стали посилено вкладати гроші в облігації навіть проблемних європейських країн. Україна залучає японських інвесторів і має й надалі це посилювати. Україна </w:t>
      </w:r>
      <w:r w:rsidRPr="003F1573">
        <w:rPr>
          <w:sz w:val="28"/>
          <w:szCs w:val="28"/>
        </w:rPr>
        <w:lastRenderedPageBreak/>
        <w:t>використовує досвід багатьох країн світу</w:t>
      </w:r>
      <w:r w:rsidR="00395769" w:rsidRPr="003F1573">
        <w:rPr>
          <w:sz w:val="28"/>
          <w:szCs w:val="28"/>
        </w:rPr>
        <w:t xml:space="preserve">, і </w:t>
      </w:r>
      <w:r w:rsidRPr="003F1573">
        <w:rPr>
          <w:sz w:val="28"/>
          <w:szCs w:val="28"/>
        </w:rPr>
        <w:t>японський досвід також був би корисним. Серед рис, які можна запозичити, передусім слід назвати соціальну спрямованість інновації в галузі науки і техніки та розробки, які пов</w:t>
      </w:r>
      <w:r w:rsidR="00395769" w:rsidRPr="003F1573">
        <w:rPr>
          <w:sz w:val="28"/>
          <w:szCs w:val="28"/>
        </w:rPr>
        <w:t>’</w:t>
      </w:r>
      <w:r w:rsidRPr="003F1573">
        <w:rPr>
          <w:sz w:val="28"/>
          <w:szCs w:val="28"/>
        </w:rPr>
        <w:t>язують інноваційні технології з новим бізнесом. Це є позитивною тенденцією в контексті світової глобалізації економічного розвитку</w:t>
      </w:r>
      <w:r w:rsidR="00395769" w:rsidRPr="003F1573">
        <w:rPr>
          <w:sz w:val="28"/>
          <w:szCs w:val="28"/>
        </w:rPr>
        <w:t xml:space="preserve"> [</w:t>
      </w:r>
      <w:r w:rsidR="00F34517">
        <w:rPr>
          <w:sz w:val="28"/>
          <w:szCs w:val="28"/>
        </w:rPr>
        <w:t>3</w:t>
      </w:r>
      <w:r w:rsidR="00395769" w:rsidRPr="003F1573">
        <w:rPr>
          <w:sz w:val="28"/>
          <w:szCs w:val="28"/>
        </w:rPr>
        <w:t>]</w:t>
      </w:r>
      <w:r w:rsidRPr="003F1573">
        <w:rPr>
          <w:sz w:val="28"/>
          <w:szCs w:val="28"/>
        </w:rPr>
        <w:t>.</w:t>
      </w:r>
    </w:p>
    <w:p w:rsidR="003D0EFB" w:rsidRPr="003F1573" w:rsidRDefault="003D0EFB" w:rsidP="00BF0798">
      <w:pPr>
        <w:spacing w:line="360" w:lineRule="auto"/>
        <w:ind w:firstLine="567"/>
        <w:jc w:val="both"/>
        <w:rPr>
          <w:sz w:val="28"/>
          <w:szCs w:val="28"/>
        </w:rPr>
      </w:pPr>
      <w:r w:rsidRPr="003F1573">
        <w:rPr>
          <w:sz w:val="28"/>
          <w:szCs w:val="28"/>
        </w:rPr>
        <w:t xml:space="preserve">Абдул Абіад, Крістіна Барис, Джон Арвін Бернабе у своїй статті «Вплив торгового конфлікту </w:t>
      </w:r>
      <w:r w:rsidR="00BF0798" w:rsidRPr="003F1573">
        <w:rPr>
          <w:sz w:val="28"/>
          <w:szCs w:val="28"/>
        </w:rPr>
        <w:t>на Азію, що розвивається</w:t>
      </w:r>
      <w:r w:rsidRPr="003F1573">
        <w:rPr>
          <w:sz w:val="28"/>
          <w:szCs w:val="28"/>
        </w:rPr>
        <w:t>»</w:t>
      </w:r>
      <w:r w:rsidR="00BF0798" w:rsidRPr="003F1573">
        <w:rPr>
          <w:sz w:val="28"/>
          <w:szCs w:val="28"/>
        </w:rPr>
        <w:t xml:space="preserve"> (2018)</w:t>
      </w:r>
      <w:r w:rsidRPr="003F1573">
        <w:rPr>
          <w:sz w:val="28"/>
          <w:szCs w:val="28"/>
        </w:rPr>
        <w:t xml:space="preserve"> аналізують вплив поточного торговельного конфлікту на розвиток Азії за допомогою Таблиці міжрегіональних витрат і результатів Азіатського банку розвитку (MRIOT), що дозволяє розрахувати вплив на окремі країни та сектори всередині країн. Аналіз оцінює прямий вплив на всі товари, на які впливають тарифи, використовує аналіз витрат і результатів для оцінки непрямого впливу на валовий внутрішній продукт (ВВП), експорт і зайнятість, а також дозволяє перенаправляти торгівлю на інших виробників. </w:t>
      </w:r>
      <w:r w:rsidR="00BF0798" w:rsidRPr="003F1573">
        <w:rPr>
          <w:sz w:val="28"/>
          <w:szCs w:val="28"/>
        </w:rPr>
        <w:t>Зазначено, що п</w:t>
      </w:r>
      <w:r w:rsidRPr="003F1573">
        <w:rPr>
          <w:sz w:val="28"/>
          <w:szCs w:val="28"/>
        </w:rPr>
        <w:t>овна ескалація двостороннього торговельного конфлікту між США та Китаєм знизить ВВП КНР на 1% і ВВП США на 0,2%. Решта країн Азії, що розвиваються, можуть отримати невеликі чисті прибутки завдяки перенаправленню торгівлі, особливо в секторі електроніки. Торговельна війна автомобілями та запчастинами зашкодить ЄС та Японії. Конфлікт має значний негативний вплив на зайнятість у КНР та США, але лише незначний вплив на баланс поточного рахунку</w:t>
      </w:r>
      <w:r w:rsidR="00BF0798" w:rsidRPr="003F1573">
        <w:rPr>
          <w:sz w:val="28"/>
          <w:szCs w:val="28"/>
        </w:rPr>
        <w:t xml:space="preserve"> [</w:t>
      </w:r>
      <w:r w:rsidR="00F34517">
        <w:rPr>
          <w:sz w:val="28"/>
          <w:szCs w:val="28"/>
        </w:rPr>
        <w:t>4</w:t>
      </w:r>
      <w:r w:rsidR="00BF0798" w:rsidRPr="003F1573">
        <w:rPr>
          <w:sz w:val="28"/>
          <w:szCs w:val="28"/>
        </w:rPr>
        <w:t>]</w:t>
      </w:r>
      <w:r w:rsidRPr="003F1573">
        <w:rPr>
          <w:sz w:val="28"/>
          <w:szCs w:val="28"/>
        </w:rPr>
        <w:t>.</w:t>
      </w:r>
    </w:p>
    <w:p w:rsidR="00BF0798" w:rsidRPr="003F1573" w:rsidRDefault="005A0491" w:rsidP="00733312">
      <w:pPr>
        <w:spacing w:line="360" w:lineRule="auto"/>
        <w:ind w:firstLine="567"/>
        <w:jc w:val="both"/>
        <w:rPr>
          <w:sz w:val="28"/>
          <w:szCs w:val="28"/>
        </w:rPr>
      </w:pPr>
      <w:r w:rsidRPr="003F1573">
        <w:rPr>
          <w:sz w:val="28"/>
          <w:szCs w:val="28"/>
        </w:rPr>
        <w:t xml:space="preserve">Інхуа Рен, Сяомін </w:t>
      </w:r>
      <w:r w:rsidR="002442E4" w:rsidRPr="003F1573">
        <w:rPr>
          <w:sz w:val="28"/>
          <w:szCs w:val="28"/>
        </w:rPr>
        <w:t xml:space="preserve">Юан, Ванру Чжао </w:t>
      </w:r>
      <w:r w:rsidR="00BF0798" w:rsidRPr="003F1573">
        <w:rPr>
          <w:sz w:val="28"/>
          <w:szCs w:val="28"/>
        </w:rPr>
        <w:t>досліджу</w:t>
      </w:r>
      <w:r w:rsidRPr="003F1573">
        <w:rPr>
          <w:sz w:val="28"/>
          <w:szCs w:val="28"/>
        </w:rPr>
        <w:t>ють</w:t>
      </w:r>
      <w:r w:rsidR="00BF0798" w:rsidRPr="003F1573">
        <w:rPr>
          <w:sz w:val="28"/>
          <w:szCs w:val="28"/>
        </w:rPr>
        <w:t xml:space="preserve"> вплив інтернаціоналізації юаня на платіжний баланс </w:t>
      </w:r>
      <w:r w:rsidRPr="003F1573">
        <w:rPr>
          <w:sz w:val="28"/>
          <w:szCs w:val="28"/>
        </w:rPr>
        <w:t xml:space="preserve">у своїй роботі «Вплив інтернаціоналізації юанів на платіжний баланс Китаю» (2018) </w:t>
      </w:r>
      <w:r w:rsidR="00BF0798" w:rsidRPr="003F1573">
        <w:rPr>
          <w:sz w:val="28"/>
          <w:szCs w:val="28"/>
        </w:rPr>
        <w:t xml:space="preserve">за допомогою структурної векторної авторегресійної моделі (SVAR) за даними протягом січня 2010 року - грудня 2017 року. Емпіричні дані показують, що інтернаціоналізація юаня та реальний ефективний обмінний курс є причинно-наслідковим зв’язком Грейнджера для поточного рахунку через процентну ставку. Підвищення реального ефективного обмінного курсу юаня є основною причиною зниження профіциту поточного рахунку в останні роки. Для </w:t>
      </w:r>
      <w:r w:rsidR="00BF0798" w:rsidRPr="003F1573">
        <w:rPr>
          <w:sz w:val="28"/>
          <w:szCs w:val="28"/>
        </w:rPr>
        <w:lastRenderedPageBreak/>
        <w:t>фінансового рахунку шок інтернаціоналізації юанів є найважливішим джерелом зменшення його надлишку. Це вказує на збільшення експорту юанів через фінансовий рахунок в міру прискорення їх інтернаціоналізації. Крім того, у статті рекомендується, аби відповідні відділи контролювали взаємозв’язок між інтернаціоналізацією юанів та збалансованістю платіжного балансу</w:t>
      </w:r>
      <w:r w:rsidR="00733312" w:rsidRPr="003F1573">
        <w:rPr>
          <w:sz w:val="28"/>
          <w:szCs w:val="28"/>
        </w:rPr>
        <w:t xml:space="preserve"> [</w:t>
      </w:r>
      <w:r w:rsidR="00F34517">
        <w:rPr>
          <w:sz w:val="28"/>
          <w:szCs w:val="28"/>
        </w:rPr>
        <w:t>5</w:t>
      </w:r>
      <w:r w:rsidR="00733312" w:rsidRPr="003F1573">
        <w:rPr>
          <w:sz w:val="28"/>
          <w:szCs w:val="28"/>
        </w:rPr>
        <w:t>]</w:t>
      </w:r>
      <w:r w:rsidR="00BF0798" w:rsidRPr="003F1573">
        <w:rPr>
          <w:sz w:val="28"/>
          <w:szCs w:val="28"/>
        </w:rPr>
        <w:t>.</w:t>
      </w:r>
    </w:p>
    <w:p w:rsidR="00E05837" w:rsidRPr="003F1573" w:rsidRDefault="00654CA3" w:rsidP="001E18B1">
      <w:pPr>
        <w:spacing w:line="360" w:lineRule="auto"/>
        <w:ind w:firstLine="567"/>
        <w:jc w:val="both"/>
        <w:rPr>
          <w:sz w:val="28"/>
          <w:szCs w:val="28"/>
        </w:rPr>
      </w:pPr>
      <w:r w:rsidRPr="003F1573">
        <w:rPr>
          <w:sz w:val="28"/>
          <w:szCs w:val="28"/>
        </w:rPr>
        <w:t>Одними з найважливіших відносин у світі можна вважати китайсько-американські, оскільки це відносини наддержави та потенційної наддержави. Історія торгово-економічних американо-китайських відносин бере свій початок з ХІХ ст. Сполучені Штати Америки зацікавлені в економічному співробітництві з Китаєм. Насамперед це пов’язано із посиленням взаємозалежності економік обох держав.</w:t>
      </w:r>
      <w:r w:rsidR="00E05837" w:rsidRPr="003F1573">
        <w:rPr>
          <w:sz w:val="28"/>
          <w:szCs w:val="28"/>
        </w:rPr>
        <w:t xml:space="preserve"> У своїй</w:t>
      </w:r>
      <w:r w:rsidR="00733312" w:rsidRPr="003F1573">
        <w:rPr>
          <w:sz w:val="28"/>
          <w:szCs w:val="28"/>
        </w:rPr>
        <w:t xml:space="preserve"> </w:t>
      </w:r>
      <w:r w:rsidR="00E05837" w:rsidRPr="003F1573">
        <w:rPr>
          <w:sz w:val="28"/>
          <w:szCs w:val="28"/>
        </w:rPr>
        <w:t>праці</w:t>
      </w:r>
      <w:r w:rsidR="007E008F" w:rsidRPr="003F1573">
        <w:rPr>
          <w:sz w:val="28"/>
          <w:szCs w:val="28"/>
        </w:rPr>
        <w:t xml:space="preserve"> «Зовнішньоекономічні відносини </w:t>
      </w:r>
      <w:r w:rsidRPr="003F1573">
        <w:rPr>
          <w:sz w:val="28"/>
          <w:szCs w:val="28"/>
        </w:rPr>
        <w:t xml:space="preserve">США </w:t>
      </w:r>
      <w:r w:rsidR="007E008F" w:rsidRPr="003F1573">
        <w:rPr>
          <w:sz w:val="28"/>
          <w:szCs w:val="28"/>
        </w:rPr>
        <w:t xml:space="preserve">в Азійсько-Тихоокеанському регіоні </w:t>
      </w:r>
      <w:r w:rsidRPr="003F1573">
        <w:rPr>
          <w:sz w:val="28"/>
          <w:szCs w:val="28"/>
        </w:rPr>
        <w:t>(на прикладі Китаю)</w:t>
      </w:r>
      <w:r w:rsidR="007E008F" w:rsidRPr="003F1573">
        <w:rPr>
          <w:sz w:val="28"/>
          <w:szCs w:val="28"/>
        </w:rPr>
        <w:t>»</w:t>
      </w:r>
      <w:r w:rsidRPr="003F1573">
        <w:rPr>
          <w:sz w:val="28"/>
          <w:szCs w:val="28"/>
        </w:rPr>
        <w:t xml:space="preserve"> (2018) автори М. Ю. Разінькова, М. Є. Трудова та Н. Д. Денисенко поставили собі за мету</w:t>
      </w:r>
      <w:r w:rsidR="00733312" w:rsidRPr="003F1573">
        <w:rPr>
          <w:sz w:val="28"/>
          <w:szCs w:val="28"/>
        </w:rPr>
        <w:t xml:space="preserve"> розглянут</w:t>
      </w:r>
      <w:r w:rsidRPr="003F1573">
        <w:rPr>
          <w:sz w:val="28"/>
          <w:szCs w:val="28"/>
        </w:rPr>
        <w:t xml:space="preserve">и </w:t>
      </w:r>
      <w:r w:rsidR="00733312" w:rsidRPr="003F1573">
        <w:rPr>
          <w:sz w:val="28"/>
          <w:szCs w:val="28"/>
        </w:rPr>
        <w:t>зовнішньоекономічні зв</w:t>
      </w:r>
      <w:r w:rsidRPr="003F1573">
        <w:rPr>
          <w:sz w:val="28"/>
          <w:szCs w:val="28"/>
        </w:rPr>
        <w:t>’</w:t>
      </w:r>
      <w:r w:rsidR="00733312" w:rsidRPr="003F1573">
        <w:rPr>
          <w:sz w:val="28"/>
          <w:szCs w:val="28"/>
        </w:rPr>
        <w:t xml:space="preserve">язки двох могутніх держав — Сполучених Штатів Америки та Китаю. </w:t>
      </w:r>
      <w:r w:rsidR="00E05837" w:rsidRPr="003F1573">
        <w:rPr>
          <w:sz w:val="28"/>
          <w:szCs w:val="28"/>
        </w:rPr>
        <w:t xml:space="preserve">На сьогоднішній день Китай — це країна, </w:t>
      </w:r>
      <w:r w:rsidR="002D2044" w:rsidRPr="003F1573">
        <w:rPr>
          <w:sz w:val="28"/>
          <w:szCs w:val="28"/>
        </w:rPr>
        <w:t>яка</w:t>
      </w:r>
      <w:r w:rsidR="00E05837" w:rsidRPr="003F1573">
        <w:rPr>
          <w:sz w:val="28"/>
          <w:szCs w:val="28"/>
        </w:rPr>
        <w:t xml:space="preserve"> володіє найбільшими резервами іноземної валюти і позитивним торговельним сальдо, тому цілком природньо, що США зацікавлені в такому партнері. Китай, зі свого боку, зацікавлений у збереженні американського ринку збуту, який є найбільшим для КНР, і залученні іноземних, в основному з США, інвестицій. Це дає можливість країні підтримувати високі темпи економічного зростання, навіть в період економічного спаду, і розвивати найбільш відсталі галузі народного господарства. Однак, незважаючи на це, між державами завжди залишалася конкуренція, а в останнє десятиліття посилилася боротьба за світове лідерство. Отже, це обумовлює необхідність більш деталізованого вивчення особливостей зовнішньоекономічних відносин США в Азійсько-Тихоокеанському регіоні на прикладі Китаю.</w:t>
      </w:r>
    </w:p>
    <w:p w:rsidR="00733312" w:rsidRPr="003F1573" w:rsidRDefault="00B63AC0" w:rsidP="001E18B1">
      <w:pPr>
        <w:spacing w:line="360" w:lineRule="auto"/>
        <w:ind w:firstLine="567"/>
        <w:jc w:val="both"/>
        <w:rPr>
          <w:sz w:val="28"/>
          <w:szCs w:val="28"/>
        </w:rPr>
      </w:pPr>
      <w:r w:rsidRPr="003F1573">
        <w:rPr>
          <w:sz w:val="28"/>
          <w:szCs w:val="28"/>
        </w:rPr>
        <w:t>У даній роботі з’</w:t>
      </w:r>
      <w:r w:rsidR="00733312" w:rsidRPr="003F1573">
        <w:rPr>
          <w:sz w:val="28"/>
          <w:szCs w:val="28"/>
        </w:rPr>
        <w:t xml:space="preserve">ясовано, що в торгівлі товарами між країнами існує дефіцит, який </w:t>
      </w:r>
      <w:r w:rsidRPr="003F1573">
        <w:rPr>
          <w:sz w:val="28"/>
          <w:szCs w:val="28"/>
        </w:rPr>
        <w:t>поки що</w:t>
      </w:r>
      <w:r w:rsidR="00733312" w:rsidRPr="003F1573">
        <w:rPr>
          <w:sz w:val="28"/>
          <w:szCs w:val="28"/>
        </w:rPr>
        <w:t xml:space="preserve"> має тенденцію до зменшення, а в торгівлі послугами між партнерами має місце профіцит, що має позитивну динаміку до </w:t>
      </w:r>
      <w:r w:rsidR="00733312" w:rsidRPr="003F1573">
        <w:rPr>
          <w:sz w:val="28"/>
          <w:szCs w:val="28"/>
        </w:rPr>
        <w:lastRenderedPageBreak/>
        <w:t xml:space="preserve">збільшення. </w:t>
      </w:r>
      <w:r w:rsidRPr="003F1573">
        <w:rPr>
          <w:sz w:val="28"/>
          <w:szCs w:val="28"/>
        </w:rPr>
        <w:t>О</w:t>
      </w:r>
      <w:r w:rsidR="00733312" w:rsidRPr="003F1573">
        <w:rPr>
          <w:sz w:val="28"/>
          <w:szCs w:val="28"/>
        </w:rPr>
        <w:t xml:space="preserve">собливістю інвестиційного співробітництва є переважання китайських інвестицій в економіку </w:t>
      </w:r>
      <w:r w:rsidRPr="003F1573">
        <w:rPr>
          <w:sz w:val="28"/>
          <w:szCs w:val="28"/>
        </w:rPr>
        <w:t>США</w:t>
      </w:r>
      <w:r w:rsidR="00733312" w:rsidRPr="003F1573">
        <w:rPr>
          <w:sz w:val="28"/>
          <w:szCs w:val="28"/>
        </w:rPr>
        <w:t xml:space="preserve"> над американськими. Китай володіє великою частиною державного боргу Сполучених Штатів Америки, що впливає на становлення зовнішніх взаємовідносин між країнами. Визначено</w:t>
      </w:r>
      <w:r w:rsidRPr="003F1573">
        <w:rPr>
          <w:sz w:val="28"/>
          <w:szCs w:val="28"/>
        </w:rPr>
        <w:t xml:space="preserve"> також</w:t>
      </w:r>
      <w:r w:rsidR="00733312" w:rsidRPr="003F1573">
        <w:rPr>
          <w:sz w:val="28"/>
          <w:szCs w:val="28"/>
        </w:rPr>
        <w:t xml:space="preserve">, що важливим елементом китайсько-американської економічної взаємодії є відносини </w:t>
      </w:r>
      <w:r w:rsidR="00F05F1B" w:rsidRPr="003F1573">
        <w:rPr>
          <w:sz w:val="28"/>
          <w:szCs w:val="28"/>
        </w:rPr>
        <w:t>обох</w:t>
      </w:r>
      <w:r w:rsidR="00733312" w:rsidRPr="003F1573">
        <w:rPr>
          <w:sz w:val="28"/>
          <w:szCs w:val="28"/>
        </w:rPr>
        <w:t xml:space="preserve"> держав у валютно-фінансовій сфері, </w:t>
      </w:r>
      <w:r w:rsidRPr="003F1573">
        <w:rPr>
          <w:sz w:val="28"/>
          <w:szCs w:val="28"/>
        </w:rPr>
        <w:t xml:space="preserve">активна </w:t>
      </w:r>
      <w:r w:rsidR="00733312" w:rsidRPr="003F1573">
        <w:rPr>
          <w:sz w:val="28"/>
          <w:szCs w:val="28"/>
        </w:rPr>
        <w:t>присутність Китаю на американському ринку цінних паперів</w:t>
      </w:r>
      <w:r w:rsidRPr="003F1573">
        <w:rPr>
          <w:sz w:val="28"/>
          <w:szCs w:val="28"/>
        </w:rPr>
        <w:t>,</w:t>
      </w:r>
      <w:r w:rsidR="00733312" w:rsidRPr="003F1573">
        <w:rPr>
          <w:sz w:val="28"/>
          <w:szCs w:val="28"/>
        </w:rPr>
        <w:t xml:space="preserve"> </w:t>
      </w:r>
      <w:r w:rsidRPr="003F1573">
        <w:rPr>
          <w:sz w:val="28"/>
          <w:szCs w:val="28"/>
        </w:rPr>
        <w:t>г</w:t>
      </w:r>
      <w:r w:rsidR="00733312" w:rsidRPr="003F1573">
        <w:rPr>
          <w:sz w:val="28"/>
          <w:szCs w:val="28"/>
        </w:rPr>
        <w:t>оловним стимулом</w:t>
      </w:r>
      <w:r w:rsidR="00F05F1B" w:rsidRPr="003F1573">
        <w:rPr>
          <w:sz w:val="28"/>
          <w:szCs w:val="28"/>
        </w:rPr>
        <w:t xml:space="preserve"> для </w:t>
      </w:r>
      <w:r w:rsidRPr="003F1573">
        <w:rPr>
          <w:sz w:val="28"/>
          <w:szCs w:val="28"/>
        </w:rPr>
        <w:t>якої</w:t>
      </w:r>
      <w:r w:rsidR="00733312" w:rsidRPr="003F1573">
        <w:rPr>
          <w:sz w:val="28"/>
          <w:szCs w:val="28"/>
        </w:rPr>
        <w:t xml:space="preserve"> є прагнення </w:t>
      </w:r>
      <w:r w:rsidRPr="003F1573">
        <w:rPr>
          <w:sz w:val="28"/>
          <w:szCs w:val="28"/>
        </w:rPr>
        <w:t xml:space="preserve">країни </w:t>
      </w:r>
      <w:r w:rsidR="00733312" w:rsidRPr="003F1573">
        <w:rPr>
          <w:sz w:val="28"/>
          <w:szCs w:val="28"/>
        </w:rPr>
        <w:t>найбільш надійним чином розмістити вільні кошти.</w:t>
      </w:r>
    </w:p>
    <w:p w:rsidR="00733312" w:rsidRPr="003F1573" w:rsidRDefault="001E18B1" w:rsidP="001E18B1">
      <w:pPr>
        <w:spacing w:line="360" w:lineRule="auto"/>
        <w:ind w:firstLine="567"/>
        <w:jc w:val="both"/>
        <w:rPr>
          <w:sz w:val="28"/>
          <w:szCs w:val="28"/>
        </w:rPr>
      </w:pPr>
      <w:r w:rsidRPr="003F1573">
        <w:rPr>
          <w:sz w:val="28"/>
          <w:szCs w:val="28"/>
        </w:rPr>
        <w:t>У публікації м</w:t>
      </w:r>
      <w:r w:rsidR="00F05F1B" w:rsidRPr="003F1573">
        <w:rPr>
          <w:sz w:val="28"/>
          <w:szCs w:val="28"/>
        </w:rPr>
        <w:t>ова йдеться і про те</w:t>
      </w:r>
      <w:r w:rsidR="00733312" w:rsidRPr="003F1573">
        <w:rPr>
          <w:sz w:val="28"/>
          <w:szCs w:val="28"/>
        </w:rPr>
        <w:t>,</w:t>
      </w:r>
      <w:r w:rsidR="00F05F1B" w:rsidRPr="003F1573">
        <w:rPr>
          <w:sz w:val="28"/>
          <w:szCs w:val="28"/>
        </w:rPr>
        <w:t xml:space="preserve"> що</w:t>
      </w:r>
      <w:r w:rsidR="00733312" w:rsidRPr="003F1573">
        <w:rPr>
          <w:sz w:val="28"/>
          <w:szCs w:val="28"/>
        </w:rPr>
        <w:t xml:space="preserve"> необхідно доопрацювати та прийняти двосторонню китайсько-американську угоду або договір про інвестиції задля створення більш сприятливого інвестиційного клімату та можливості більш ефективно контролювати надходження інвестицій. Оскільки у торгівлі товарами між країнами існує дефіцит, для США є важливим питанням посилити власні позиції на китайському ринку збуту та збільшити свій експорт</w:t>
      </w:r>
      <w:r w:rsidRPr="003F1573">
        <w:rPr>
          <w:sz w:val="28"/>
          <w:szCs w:val="28"/>
        </w:rPr>
        <w:t xml:space="preserve"> [</w:t>
      </w:r>
      <w:r w:rsidR="00F34517">
        <w:rPr>
          <w:sz w:val="28"/>
          <w:szCs w:val="28"/>
        </w:rPr>
        <w:t>6</w:t>
      </w:r>
      <w:r w:rsidRPr="003F1573">
        <w:rPr>
          <w:sz w:val="28"/>
          <w:szCs w:val="28"/>
        </w:rPr>
        <w:t>]</w:t>
      </w:r>
      <w:r w:rsidR="00733312" w:rsidRPr="003F1573">
        <w:rPr>
          <w:sz w:val="28"/>
          <w:szCs w:val="28"/>
        </w:rPr>
        <w:t>.</w:t>
      </w:r>
    </w:p>
    <w:p w:rsidR="00733312" w:rsidRPr="003F1573" w:rsidRDefault="001E18B1" w:rsidP="00733312">
      <w:pPr>
        <w:spacing w:line="360" w:lineRule="auto"/>
        <w:ind w:firstLine="567"/>
        <w:jc w:val="both"/>
        <w:rPr>
          <w:sz w:val="28"/>
          <w:szCs w:val="28"/>
        </w:rPr>
      </w:pPr>
      <w:r w:rsidRPr="003F1573">
        <w:rPr>
          <w:sz w:val="28"/>
          <w:szCs w:val="28"/>
        </w:rPr>
        <w:t xml:space="preserve">Отже, аналізуючи наукові дослідження, пов’язані з </w:t>
      </w:r>
      <w:r w:rsidR="004C718E" w:rsidRPr="003F1573">
        <w:rPr>
          <w:sz w:val="28"/>
          <w:szCs w:val="28"/>
        </w:rPr>
        <w:t>зовнішньоекономічними операціями Японії та Китаю, можна зробити висновок, що основними розглянутими елементами були платіжний баланс даних країн, фактори, які впливають на його формування, фінансове співробітництво країн Східноазіатського регіону</w:t>
      </w:r>
      <w:r w:rsidR="008C5695" w:rsidRPr="003F1573">
        <w:rPr>
          <w:sz w:val="28"/>
          <w:szCs w:val="28"/>
        </w:rPr>
        <w:t xml:space="preserve">. Було проаналізовано стан економіки Японії з післявоєнних часів до сьогодення, досліджено недоліки та окреслено поліпшення економічного стану та стратегію розвитку країни. Мова йшла також </w:t>
      </w:r>
      <w:r w:rsidR="006746F7" w:rsidRPr="003F1573">
        <w:rPr>
          <w:sz w:val="28"/>
          <w:szCs w:val="28"/>
        </w:rPr>
        <w:t xml:space="preserve">і </w:t>
      </w:r>
      <w:r w:rsidR="008C5695" w:rsidRPr="003F1573">
        <w:rPr>
          <w:sz w:val="28"/>
          <w:szCs w:val="28"/>
        </w:rPr>
        <w:t>про вплив торгових конфліктів на азіатські країни</w:t>
      </w:r>
      <w:r w:rsidR="006746F7" w:rsidRPr="003F1573">
        <w:rPr>
          <w:sz w:val="28"/>
          <w:szCs w:val="28"/>
        </w:rPr>
        <w:t>. Вивчено особливості зовнішньоекономічних відносин США в Азійсько-Тихоокеанському регіоні</w:t>
      </w:r>
      <w:r w:rsidR="0054474C" w:rsidRPr="003F1573">
        <w:rPr>
          <w:sz w:val="28"/>
          <w:szCs w:val="28"/>
        </w:rPr>
        <w:t xml:space="preserve"> (на прикладі Китаю) на сучасному етапі.</w:t>
      </w:r>
    </w:p>
    <w:p w:rsidR="0054474C" w:rsidRPr="003F1573" w:rsidRDefault="0054474C" w:rsidP="00733312">
      <w:pPr>
        <w:spacing w:line="360" w:lineRule="auto"/>
        <w:ind w:firstLine="567"/>
        <w:jc w:val="both"/>
        <w:rPr>
          <w:sz w:val="28"/>
          <w:szCs w:val="28"/>
        </w:rPr>
      </w:pPr>
    </w:p>
    <w:p w:rsidR="0054474C" w:rsidRPr="003F1573" w:rsidRDefault="0054474C" w:rsidP="00733312">
      <w:pPr>
        <w:spacing w:line="360" w:lineRule="auto"/>
        <w:ind w:firstLine="567"/>
        <w:jc w:val="both"/>
        <w:rPr>
          <w:sz w:val="28"/>
          <w:szCs w:val="28"/>
        </w:rPr>
      </w:pPr>
    </w:p>
    <w:p w:rsidR="0054474C" w:rsidRPr="003F1573" w:rsidRDefault="0054474C" w:rsidP="00733312">
      <w:pPr>
        <w:spacing w:line="360" w:lineRule="auto"/>
        <w:ind w:firstLine="567"/>
        <w:jc w:val="both"/>
        <w:rPr>
          <w:sz w:val="28"/>
          <w:szCs w:val="28"/>
        </w:rPr>
      </w:pPr>
    </w:p>
    <w:p w:rsidR="0054474C" w:rsidRPr="003F1573" w:rsidRDefault="0054474C" w:rsidP="00733312">
      <w:pPr>
        <w:spacing w:line="360" w:lineRule="auto"/>
        <w:ind w:firstLine="567"/>
        <w:jc w:val="both"/>
        <w:rPr>
          <w:sz w:val="28"/>
          <w:szCs w:val="28"/>
        </w:rPr>
      </w:pPr>
    </w:p>
    <w:p w:rsidR="0054474C" w:rsidRPr="003F1573" w:rsidRDefault="0054474C" w:rsidP="0054474C">
      <w:pPr>
        <w:spacing w:line="360" w:lineRule="auto"/>
        <w:jc w:val="center"/>
        <w:rPr>
          <w:b/>
          <w:sz w:val="28"/>
          <w:szCs w:val="28"/>
        </w:rPr>
      </w:pPr>
      <w:r w:rsidRPr="003F1573">
        <w:rPr>
          <w:b/>
          <w:sz w:val="28"/>
          <w:szCs w:val="28"/>
        </w:rPr>
        <w:lastRenderedPageBreak/>
        <w:t>РОЗДІЛ 2</w:t>
      </w:r>
    </w:p>
    <w:p w:rsidR="0054474C" w:rsidRPr="003F1573" w:rsidRDefault="0054474C" w:rsidP="0054474C">
      <w:pPr>
        <w:spacing w:line="360" w:lineRule="auto"/>
        <w:jc w:val="center"/>
        <w:rPr>
          <w:b/>
          <w:sz w:val="28"/>
          <w:szCs w:val="28"/>
        </w:rPr>
      </w:pPr>
      <w:r w:rsidRPr="003F1573">
        <w:rPr>
          <w:b/>
          <w:sz w:val="28"/>
          <w:szCs w:val="28"/>
        </w:rPr>
        <w:t xml:space="preserve">ПОРІВНЯЛЬНИЙ АНАЛІЗ ОСНОВНИХ СКЛАДОВИХ ЗОВНІШНЬОЕКОНОМІЧНИХ </w:t>
      </w:r>
      <w:r w:rsidR="00651CC3" w:rsidRPr="003F1573">
        <w:rPr>
          <w:b/>
          <w:sz w:val="28"/>
          <w:szCs w:val="28"/>
        </w:rPr>
        <w:t xml:space="preserve">ПОЗИЦІЙ </w:t>
      </w:r>
      <w:r w:rsidRPr="003F1573">
        <w:rPr>
          <w:b/>
          <w:sz w:val="28"/>
          <w:szCs w:val="28"/>
        </w:rPr>
        <w:t>ЯПОНІЇ ТА КИТАЮ</w:t>
      </w:r>
    </w:p>
    <w:p w:rsidR="0054474C" w:rsidRPr="003F1573" w:rsidRDefault="0054474C" w:rsidP="0054474C">
      <w:pPr>
        <w:spacing w:line="360" w:lineRule="auto"/>
        <w:jc w:val="center"/>
        <w:rPr>
          <w:sz w:val="28"/>
          <w:szCs w:val="28"/>
        </w:rPr>
      </w:pPr>
    </w:p>
    <w:p w:rsidR="0054474C" w:rsidRPr="003F1573" w:rsidRDefault="0054474C" w:rsidP="0054474C">
      <w:pPr>
        <w:spacing w:line="360" w:lineRule="auto"/>
        <w:ind w:firstLine="567"/>
        <w:jc w:val="both"/>
        <w:rPr>
          <w:b/>
          <w:sz w:val="28"/>
          <w:szCs w:val="28"/>
        </w:rPr>
      </w:pPr>
      <w:r w:rsidRPr="003F1573">
        <w:rPr>
          <w:b/>
          <w:sz w:val="28"/>
          <w:szCs w:val="28"/>
        </w:rPr>
        <w:t>2.1. Порівняльний аналіз динаміки основних статей рахунку поточних операцій Японії й Китаю</w:t>
      </w:r>
    </w:p>
    <w:p w:rsidR="005B0411" w:rsidRPr="003F1573" w:rsidRDefault="005B0411" w:rsidP="005B0411">
      <w:pPr>
        <w:spacing w:line="360" w:lineRule="auto"/>
        <w:ind w:firstLine="567"/>
        <w:jc w:val="both"/>
        <w:rPr>
          <w:sz w:val="28"/>
          <w:szCs w:val="28"/>
        </w:rPr>
      </w:pPr>
      <w:r w:rsidRPr="003F1573">
        <w:rPr>
          <w:sz w:val="28"/>
          <w:szCs w:val="28"/>
        </w:rPr>
        <w:t>Рахунок поточних операцій складається з торгового балансу (рахується шляхом віднімання імпорту товарів від експорту товарів), балансу послуг (рахується шляхом віднімання імпорту послуг від експорту послуг), первинних та вторинних доходів. До складу первинних доходів входять оплата праці та доходи від інвестицій. Далі у табл</w:t>
      </w:r>
      <w:r w:rsidR="00EA786B" w:rsidRPr="003F1573">
        <w:rPr>
          <w:sz w:val="28"/>
          <w:szCs w:val="28"/>
        </w:rPr>
        <w:t>иці</w:t>
      </w:r>
      <w:r w:rsidRPr="003F1573">
        <w:rPr>
          <w:sz w:val="28"/>
          <w:szCs w:val="28"/>
        </w:rPr>
        <w:t xml:space="preserve"> </w:t>
      </w:r>
      <w:r w:rsidR="00EA786B" w:rsidRPr="003F1573">
        <w:rPr>
          <w:sz w:val="28"/>
          <w:szCs w:val="28"/>
        </w:rPr>
        <w:t>А.1</w:t>
      </w:r>
      <w:r w:rsidRPr="003F1573">
        <w:rPr>
          <w:sz w:val="28"/>
          <w:szCs w:val="28"/>
        </w:rPr>
        <w:t xml:space="preserve"> (див. додаток А) наведені дані основних статей рахунку поточних операцій </w:t>
      </w:r>
      <w:r w:rsidR="00EA786B" w:rsidRPr="003F1573">
        <w:rPr>
          <w:sz w:val="28"/>
          <w:szCs w:val="28"/>
        </w:rPr>
        <w:t>Японії та Китаю</w:t>
      </w:r>
      <w:r w:rsidRPr="003F1573">
        <w:rPr>
          <w:sz w:val="28"/>
          <w:szCs w:val="28"/>
        </w:rPr>
        <w:t xml:space="preserve"> станом на 201</w:t>
      </w:r>
      <w:r w:rsidR="00EA786B" w:rsidRPr="003F1573">
        <w:rPr>
          <w:sz w:val="28"/>
          <w:szCs w:val="28"/>
        </w:rPr>
        <w:t>7</w:t>
      </w:r>
      <w:r w:rsidRPr="003F1573">
        <w:rPr>
          <w:sz w:val="28"/>
          <w:szCs w:val="28"/>
        </w:rPr>
        <w:t>-202</w:t>
      </w:r>
      <w:r w:rsidR="00EA786B" w:rsidRPr="003F1573">
        <w:rPr>
          <w:sz w:val="28"/>
          <w:szCs w:val="28"/>
        </w:rPr>
        <w:t>1</w:t>
      </w:r>
      <w:r w:rsidRPr="003F1573">
        <w:rPr>
          <w:sz w:val="28"/>
          <w:szCs w:val="28"/>
        </w:rPr>
        <w:t xml:space="preserve"> рок</w:t>
      </w:r>
      <w:r w:rsidR="003E5405" w:rsidRPr="003F1573">
        <w:rPr>
          <w:sz w:val="28"/>
          <w:szCs w:val="28"/>
        </w:rPr>
        <w:t>и</w:t>
      </w:r>
      <w:r w:rsidRPr="003F1573">
        <w:rPr>
          <w:sz w:val="28"/>
          <w:szCs w:val="28"/>
        </w:rPr>
        <w:t xml:space="preserve">. </w:t>
      </w:r>
    </w:p>
    <w:p w:rsidR="005B0411" w:rsidRPr="003F1573" w:rsidRDefault="005D3D8A" w:rsidP="004A6CB8">
      <w:pPr>
        <w:spacing w:line="360" w:lineRule="auto"/>
        <w:ind w:firstLine="567"/>
        <w:jc w:val="both"/>
        <w:rPr>
          <w:sz w:val="28"/>
          <w:szCs w:val="28"/>
        </w:rPr>
      </w:pPr>
      <w:r w:rsidRPr="003F1573">
        <w:rPr>
          <w:sz w:val="28"/>
          <w:szCs w:val="28"/>
        </w:rPr>
        <w:t>Проаналізувавши дані таблиці, бачимо, що протягом розглянутого періоду часу рахунок поточних операцій як в Японії, так і у Китаї був додатним</w:t>
      </w:r>
      <w:r w:rsidR="00D85A1C" w:rsidRPr="003F1573">
        <w:rPr>
          <w:sz w:val="28"/>
          <w:szCs w:val="28"/>
        </w:rPr>
        <w:t xml:space="preserve">, що свідчить про те, що перевищення надходжень над платежами привело до збільшення кількості іноземної валюти в даних країнах. </w:t>
      </w:r>
      <w:r w:rsidR="004A6CB8" w:rsidRPr="003F1573">
        <w:rPr>
          <w:sz w:val="28"/>
          <w:szCs w:val="28"/>
        </w:rPr>
        <w:t>З кожним наступним роком баланс Японії ставав усе меншим, а Китаю</w:t>
      </w:r>
      <w:r w:rsidR="00F25AC7" w:rsidRPr="003F1573">
        <w:rPr>
          <w:sz w:val="28"/>
          <w:szCs w:val="28"/>
        </w:rPr>
        <w:t xml:space="preserve">, навпаки, стрімко почав збільшуватися з 2019 року. </w:t>
      </w:r>
      <w:r w:rsidR="00BC79C7" w:rsidRPr="003F1573">
        <w:rPr>
          <w:sz w:val="28"/>
          <w:szCs w:val="28"/>
        </w:rPr>
        <w:t xml:space="preserve">Протягом останніх двох років найбільш негативний вплив на японську економіку мала </w:t>
      </w:r>
      <w:r w:rsidR="004E5C48" w:rsidRPr="003F1573">
        <w:rPr>
          <w:sz w:val="28"/>
          <w:szCs w:val="28"/>
        </w:rPr>
        <w:t>пандемія коронавірусу. Поява його нових штамів, відсутність напівпровідників, збої поставок з Азії сировини й комплектуючи</w:t>
      </w:r>
      <w:r w:rsidR="006B443C" w:rsidRPr="003F1573">
        <w:rPr>
          <w:sz w:val="28"/>
          <w:szCs w:val="28"/>
        </w:rPr>
        <w:t>х</w:t>
      </w:r>
      <w:r w:rsidR="004E5C48" w:rsidRPr="003F1573">
        <w:rPr>
          <w:sz w:val="28"/>
          <w:szCs w:val="28"/>
        </w:rPr>
        <w:t>, подорожчання нафти та інші фактори невизначеності ще не вичерпали свого впливу, однак, на думку японських економістів, помірне економічне зростання все ж триватиме. Профіцит платіжного балансу Японії забезпечувався значним додатн</w:t>
      </w:r>
      <w:r w:rsidR="004B72AB" w:rsidRPr="003F1573">
        <w:rPr>
          <w:sz w:val="28"/>
          <w:szCs w:val="28"/>
        </w:rPr>
        <w:t>и</w:t>
      </w:r>
      <w:r w:rsidR="004E5C48" w:rsidRPr="003F1573">
        <w:rPr>
          <w:sz w:val="28"/>
          <w:szCs w:val="28"/>
        </w:rPr>
        <w:t xml:space="preserve">м </w:t>
      </w:r>
      <w:r w:rsidR="00C316F1" w:rsidRPr="003F1573">
        <w:rPr>
          <w:sz w:val="28"/>
          <w:szCs w:val="28"/>
        </w:rPr>
        <w:t>сальдо поточного рахунку, яке дещо урівноважувалося відтоком ресурсів за фінансовим рахунком (Японія є однією з основних країн-кредиторів). Надлишок рахунку поточних операцій платіжного балансу Китаю у 2021 році досяг близько 315 млрд дол. США, що становить 1,8% від ВВП країни за цей рік.</w:t>
      </w:r>
      <w:r w:rsidR="00465ACF" w:rsidRPr="003F1573">
        <w:rPr>
          <w:sz w:val="28"/>
          <w:szCs w:val="28"/>
        </w:rPr>
        <w:t xml:space="preserve"> Посилаючись на здорові економічні </w:t>
      </w:r>
      <w:r w:rsidR="00020F54" w:rsidRPr="003F1573">
        <w:rPr>
          <w:sz w:val="28"/>
          <w:szCs w:val="28"/>
        </w:rPr>
        <w:t xml:space="preserve">основи Китаю та його заходи, </w:t>
      </w:r>
      <w:r w:rsidR="00020F54" w:rsidRPr="003F1573">
        <w:rPr>
          <w:sz w:val="28"/>
          <w:szCs w:val="28"/>
        </w:rPr>
        <w:lastRenderedPageBreak/>
        <w:t>спрямовані на збільшення відкритості, можна стверджувати, що у міру того, як в країні поступово відновлюється ділова та виробнича активність, платіжний баланс у майбутньому залишатиметься стабільним.</w:t>
      </w:r>
    </w:p>
    <w:p w:rsidR="00761ECB" w:rsidRPr="003F1573" w:rsidRDefault="00560E23" w:rsidP="005B26A5">
      <w:pPr>
        <w:spacing w:line="360" w:lineRule="auto"/>
        <w:ind w:firstLine="567"/>
        <w:jc w:val="both"/>
        <w:rPr>
          <w:sz w:val="28"/>
          <w:szCs w:val="28"/>
        </w:rPr>
      </w:pPr>
      <w:r w:rsidRPr="003F1573">
        <w:rPr>
          <w:sz w:val="28"/>
          <w:szCs w:val="28"/>
        </w:rPr>
        <w:t xml:space="preserve">Поширення  COVID-19 значно вплинуло на макроекономічну ситуацію в даних країнах. Однак, економіка Японії </w:t>
      </w:r>
      <w:r w:rsidR="005B26A5" w:rsidRPr="003F1573">
        <w:rPr>
          <w:sz w:val="28"/>
          <w:szCs w:val="28"/>
        </w:rPr>
        <w:t>відновилася швидше, ніж очікувалося, після спаду, який спричинила пандемія (див. рис. 2.1).</w:t>
      </w:r>
    </w:p>
    <w:p w:rsidR="00020F54" w:rsidRPr="003F1573" w:rsidRDefault="00A31869" w:rsidP="005232B4">
      <w:pPr>
        <w:spacing w:line="360" w:lineRule="auto"/>
        <w:jc w:val="center"/>
        <w:rPr>
          <w:sz w:val="28"/>
          <w:szCs w:val="28"/>
        </w:rPr>
      </w:pPr>
      <w:r w:rsidRPr="003F1573">
        <w:rPr>
          <w:noProof/>
          <w:lang w:eastAsia="uk-UA"/>
        </w:rPr>
        <w:drawing>
          <wp:inline distT="0" distB="0" distL="0" distR="0" wp14:anchorId="0163C0AB" wp14:editId="6AE311A5">
            <wp:extent cx="5934076" cy="2690816"/>
            <wp:effectExtent l="0" t="0" r="9525" b="14605"/>
            <wp:docPr id="1" name="Диаграмма 1">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70ABBB70-0F44-4941-875B-201EAF8FE12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A31869" w:rsidRPr="003F1573" w:rsidRDefault="005B26A5" w:rsidP="005B26A5">
      <w:pPr>
        <w:spacing w:line="360" w:lineRule="auto"/>
        <w:ind w:firstLine="567"/>
        <w:jc w:val="both"/>
        <w:rPr>
          <w:sz w:val="28"/>
          <w:szCs w:val="28"/>
        </w:rPr>
      </w:pPr>
      <w:r w:rsidRPr="003F1573">
        <w:rPr>
          <w:sz w:val="28"/>
          <w:szCs w:val="28"/>
        </w:rPr>
        <w:t>Рис. 2.1. Динаміка експорту/імпорту товарів Японії та Китаю у період 2017-2021 рр., трлн дол. США</w:t>
      </w:r>
    </w:p>
    <w:p w:rsidR="005B26A5" w:rsidRPr="003F1573" w:rsidRDefault="005B26A5" w:rsidP="005B26A5">
      <w:pPr>
        <w:spacing w:line="360" w:lineRule="auto"/>
        <w:ind w:firstLine="567"/>
        <w:jc w:val="both"/>
        <w:rPr>
          <w:sz w:val="28"/>
          <w:szCs w:val="28"/>
        </w:rPr>
      </w:pPr>
      <w:r w:rsidRPr="003F1573">
        <w:rPr>
          <w:sz w:val="28"/>
          <w:szCs w:val="28"/>
        </w:rPr>
        <w:t>Джерело: складено автором на основі даних [</w:t>
      </w:r>
      <w:r w:rsidR="00F34517">
        <w:rPr>
          <w:sz w:val="28"/>
          <w:szCs w:val="28"/>
        </w:rPr>
        <w:t>7</w:t>
      </w:r>
      <w:r w:rsidRPr="003F1573">
        <w:rPr>
          <w:sz w:val="28"/>
          <w:szCs w:val="28"/>
        </w:rPr>
        <w:t>].</w:t>
      </w:r>
    </w:p>
    <w:p w:rsidR="005B26A5" w:rsidRPr="003F1573" w:rsidRDefault="005B26A5" w:rsidP="005B26A5">
      <w:pPr>
        <w:spacing w:line="360" w:lineRule="auto"/>
        <w:ind w:firstLine="567"/>
        <w:jc w:val="both"/>
        <w:rPr>
          <w:sz w:val="28"/>
          <w:szCs w:val="28"/>
        </w:rPr>
      </w:pPr>
    </w:p>
    <w:p w:rsidR="00567095" w:rsidRPr="003F1573" w:rsidRDefault="005B26A5" w:rsidP="005B26A5">
      <w:pPr>
        <w:spacing w:line="360" w:lineRule="auto"/>
        <w:ind w:firstLine="567"/>
        <w:jc w:val="both"/>
        <w:rPr>
          <w:sz w:val="28"/>
          <w:szCs w:val="28"/>
        </w:rPr>
      </w:pPr>
      <w:r w:rsidRPr="003F1573">
        <w:rPr>
          <w:sz w:val="28"/>
          <w:szCs w:val="28"/>
        </w:rPr>
        <w:t xml:space="preserve">Проте, відновлення економіки в Японії відбувається набагато повільніше, ніж в інших країнах з розвиненою економікою, а саме – у США. </w:t>
      </w:r>
      <w:r w:rsidR="00734750" w:rsidRPr="003F1573">
        <w:rPr>
          <w:sz w:val="28"/>
          <w:szCs w:val="28"/>
        </w:rPr>
        <w:t>Темпи економічного зростання КНР були мінімальними</w:t>
      </w:r>
      <w:r w:rsidR="00567095" w:rsidRPr="003F1573">
        <w:rPr>
          <w:sz w:val="28"/>
          <w:szCs w:val="28"/>
        </w:rPr>
        <w:t xml:space="preserve"> більш, ніж за чотири десятиліття. Тим не менш, Китай, імовірно, є єдиною з великих світових економік, які показали зростання у 2020 році на тлі пандемії.</w:t>
      </w:r>
    </w:p>
    <w:p w:rsidR="00C14F7E" w:rsidRPr="003F1573" w:rsidRDefault="00094088" w:rsidP="005B26A5">
      <w:pPr>
        <w:spacing w:line="360" w:lineRule="auto"/>
        <w:ind w:firstLine="567"/>
        <w:jc w:val="both"/>
        <w:rPr>
          <w:sz w:val="28"/>
          <w:szCs w:val="28"/>
        </w:rPr>
      </w:pPr>
      <w:r w:rsidRPr="003F1573">
        <w:rPr>
          <w:sz w:val="28"/>
          <w:szCs w:val="28"/>
        </w:rPr>
        <w:t xml:space="preserve">Китайські підприємства почали повертатися до роботи </w:t>
      </w:r>
      <w:r w:rsidR="006B443C" w:rsidRPr="003F1573">
        <w:rPr>
          <w:sz w:val="28"/>
          <w:szCs w:val="28"/>
        </w:rPr>
        <w:t>у</w:t>
      </w:r>
      <w:r w:rsidRPr="003F1573">
        <w:rPr>
          <w:sz w:val="28"/>
          <w:szCs w:val="28"/>
        </w:rPr>
        <w:t xml:space="preserve"> квітні 2020 року, в той момент, коли промислова активність в інших країнах світу була практично паралізована. Це дало Китаю можливість виробляти та експортувати великі обсяги медичних товарів, включаючи маски, а також комп’ютерів і моніторів, попит на які різко виріс в умовах масового переходу людей </w:t>
      </w:r>
      <w:r w:rsidR="004E4C1E" w:rsidRPr="003F1573">
        <w:rPr>
          <w:sz w:val="28"/>
          <w:szCs w:val="28"/>
        </w:rPr>
        <w:t xml:space="preserve">на дистанційну роботу і навчання. </w:t>
      </w:r>
      <w:r w:rsidR="000206F4" w:rsidRPr="003F1573">
        <w:rPr>
          <w:sz w:val="28"/>
          <w:szCs w:val="28"/>
        </w:rPr>
        <w:t xml:space="preserve">Торгівля товарами </w:t>
      </w:r>
      <w:r w:rsidR="000206F4" w:rsidRPr="003F1573">
        <w:rPr>
          <w:sz w:val="28"/>
          <w:szCs w:val="28"/>
        </w:rPr>
        <w:lastRenderedPageBreak/>
        <w:t>продемонструвала позитивне сальдо у розмірі 563 млрд дол. США (2021 р.), збільшившись на 9% порівняно з попереднім роком. На тлі поступового пожвавлення світової економіки обидва сектори – експортний та імпортний – зберегли стійке зростання.</w:t>
      </w:r>
      <w:r w:rsidR="00F11A12" w:rsidRPr="003F1573">
        <w:rPr>
          <w:sz w:val="28"/>
          <w:szCs w:val="28"/>
        </w:rPr>
        <w:t xml:space="preserve"> Внутрішнє споживання в КНР</w:t>
      </w:r>
      <w:r w:rsidR="007F54EE" w:rsidRPr="003F1573">
        <w:rPr>
          <w:sz w:val="28"/>
          <w:szCs w:val="28"/>
        </w:rPr>
        <w:t>, однак, ще деякий час залишалось слабким, оскільки люди побоювалися відновлення зростання захворюваності COVID-19, і обсяги роздрібних продажів повернулися до докризових рівнів лише в серпні 2020 року.</w:t>
      </w:r>
    </w:p>
    <w:p w:rsidR="005B26A5" w:rsidRPr="003F1573" w:rsidRDefault="00C14F7E" w:rsidP="005B26A5">
      <w:pPr>
        <w:spacing w:line="360" w:lineRule="auto"/>
        <w:ind w:firstLine="567"/>
        <w:jc w:val="both"/>
        <w:rPr>
          <w:sz w:val="28"/>
          <w:szCs w:val="28"/>
        </w:rPr>
      </w:pPr>
      <w:r w:rsidRPr="003F1573">
        <w:rPr>
          <w:sz w:val="28"/>
          <w:szCs w:val="28"/>
        </w:rPr>
        <w:t>Торговий баланс Японії за 201</w:t>
      </w:r>
      <w:r w:rsidR="007B4CE1" w:rsidRPr="003F1573">
        <w:rPr>
          <w:sz w:val="28"/>
          <w:szCs w:val="28"/>
        </w:rPr>
        <w:t>8</w:t>
      </w:r>
      <w:r w:rsidR="00474613" w:rsidRPr="003F1573">
        <w:rPr>
          <w:sz w:val="28"/>
          <w:szCs w:val="28"/>
        </w:rPr>
        <w:t>-2019</w:t>
      </w:r>
      <w:r w:rsidRPr="003F1573">
        <w:rPr>
          <w:sz w:val="28"/>
          <w:szCs w:val="28"/>
        </w:rPr>
        <w:t xml:space="preserve"> рік </w:t>
      </w:r>
      <w:r w:rsidR="007B4CE1" w:rsidRPr="003F1573">
        <w:rPr>
          <w:sz w:val="28"/>
          <w:szCs w:val="28"/>
        </w:rPr>
        <w:t xml:space="preserve">став дефіцитним вперше за три роки і склав майже </w:t>
      </w:r>
      <w:r w:rsidR="00474613" w:rsidRPr="003F1573">
        <w:rPr>
          <w:sz w:val="28"/>
          <w:szCs w:val="28"/>
        </w:rPr>
        <w:t xml:space="preserve">33-43 млрд дол. США </w:t>
      </w:r>
      <w:r w:rsidR="007B4CE1" w:rsidRPr="003F1573">
        <w:rPr>
          <w:sz w:val="28"/>
          <w:szCs w:val="28"/>
        </w:rPr>
        <w:t>через скорочення експорту та збільшення імпорту на тлі побоювань уповільнення зростання світової економіки.</w:t>
      </w:r>
      <w:r w:rsidR="00474613" w:rsidRPr="003F1573">
        <w:rPr>
          <w:sz w:val="28"/>
          <w:szCs w:val="28"/>
        </w:rPr>
        <w:t xml:space="preserve"> При цьому у 2019-20 рр. профіцит торгового балансу цієї країни склав близько 27 млрд дол. США</w:t>
      </w:r>
      <w:r w:rsidR="00CB26C7" w:rsidRPr="003F1573">
        <w:rPr>
          <w:sz w:val="28"/>
          <w:szCs w:val="28"/>
        </w:rPr>
        <w:t>, чого не можна стверджувати щодо 2021 року, коли даний показник знову почав знижуватися майже на 12 млрд дол. США. Раніше Японія та США розпочали торгові переговори через занепокоєння Вашингтон</w:t>
      </w:r>
      <w:r w:rsidR="00C536A4" w:rsidRPr="003F1573">
        <w:rPr>
          <w:sz w:val="28"/>
          <w:szCs w:val="28"/>
        </w:rPr>
        <w:t>у</w:t>
      </w:r>
      <w:r w:rsidR="00CB26C7" w:rsidRPr="003F1573">
        <w:rPr>
          <w:sz w:val="28"/>
          <w:szCs w:val="28"/>
        </w:rPr>
        <w:t xml:space="preserve"> дефіцитом торгового балансу з Японією, що насамперед пов’язано з експортом автомобілів.</w:t>
      </w:r>
    </w:p>
    <w:p w:rsidR="00C536A4" w:rsidRPr="003F1573" w:rsidRDefault="00C536A4" w:rsidP="005B26A5">
      <w:pPr>
        <w:spacing w:line="360" w:lineRule="auto"/>
        <w:ind w:firstLine="567"/>
        <w:jc w:val="both"/>
        <w:rPr>
          <w:sz w:val="28"/>
          <w:szCs w:val="28"/>
        </w:rPr>
      </w:pPr>
      <w:r w:rsidRPr="003F1573">
        <w:rPr>
          <w:sz w:val="28"/>
          <w:szCs w:val="28"/>
        </w:rPr>
        <w:t>Позитивне сальдо торгового балансу Японії у березні 2019 року скоротилося на 33% у зв’язку зі зниженням експорту на 2,4% порівняно з минулим роком через скорочення поставок до Китаю сталей та рідкокристалічних дисплеїв, а також через збільшення імпорту літаків, одягу і зрідженого природного газ</w:t>
      </w:r>
      <w:r w:rsidR="00A52444" w:rsidRPr="003F1573">
        <w:rPr>
          <w:sz w:val="28"/>
          <w:szCs w:val="28"/>
        </w:rPr>
        <w:t>у [</w:t>
      </w:r>
      <w:r w:rsidR="00F778CC" w:rsidRPr="003F1573">
        <w:rPr>
          <w:sz w:val="28"/>
          <w:szCs w:val="28"/>
        </w:rPr>
        <w:t>1</w:t>
      </w:r>
      <w:r w:rsidR="00F34517">
        <w:rPr>
          <w:sz w:val="28"/>
          <w:szCs w:val="28"/>
        </w:rPr>
        <w:t>2</w:t>
      </w:r>
      <w:r w:rsidR="00A52444" w:rsidRPr="003F1573">
        <w:rPr>
          <w:sz w:val="28"/>
          <w:szCs w:val="28"/>
        </w:rPr>
        <w:t>].</w:t>
      </w:r>
    </w:p>
    <w:p w:rsidR="00E25448" w:rsidRPr="003F1573" w:rsidRDefault="00A52444" w:rsidP="00E25448">
      <w:pPr>
        <w:spacing w:line="360" w:lineRule="auto"/>
        <w:ind w:firstLine="567"/>
        <w:jc w:val="both"/>
        <w:rPr>
          <w:sz w:val="28"/>
          <w:szCs w:val="28"/>
        </w:rPr>
      </w:pPr>
      <w:r w:rsidRPr="003F1573">
        <w:rPr>
          <w:sz w:val="28"/>
          <w:szCs w:val="28"/>
        </w:rPr>
        <w:t>Суттєве зниження як експорту, так і імпорту послуг в Японії спостерігається починаючи з 2019 року, водночас у Китаї бачимо різке зменшення імпорту послуг ще з 2018 року</w:t>
      </w:r>
      <w:r w:rsidR="00E25448" w:rsidRPr="003F1573">
        <w:rPr>
          <w:sz w:val="28"/>
          <w:szCs w:val="28"/>
        </w:rPr>
        <w:t xml:space="preserve"> (див. рис. 2.2)</w:t>
      </w:r>
      <w:r w:rsidRPr="003F1573">
        <w:rPr>
          <w:sz w:val="28"/>
          <w:szCs w:val="28"/>
        </w:rPr>
        <w:t xml:space="preserve">. </w:t>
      </w:r>
      <w:r w:rsidR="006B1BF5" w:rsidRPr="003F1573">
        <w:rPr>
          <w:sz w:val="28"/>
          <w:szCs w:val="28"/>
        </w:rPr>
        <w:t xml:space="preserve">В 2021 році у торгівлі послугами </w:t>
      </w:r>
      <w:r w:rsidR="00213777" w:rsidRPr="003F1573">
        <w:rPr>
          <w:sz w:val="28"/>
          <w:szCs w:val="28"/>
        </w:rPr>
        <w:t xml:space="preserve">цієї країни </w:t>
      </w:r>
      <w:r w:rsidR="006B1BF5" w:rsidRPr="003F1573">
        <w:rPr>
          <w:sz w:val="28"/>
          <w:szCs w:val="28"/>
        </w:rPr>
        <w:t xml:space="preserve">було зареєстровано дефіцит у розмірі майже 100 млрд дол. США. Дефіцит у туристичному секторі скоротився на 15% до 99,3 млрд дол. США </w:t>
      </w:r>
      <w:r w:rsidR="00213777" w:rsidRPr="003F1573">
        <w:rPr>
          <w:sz w:val="28"/>
          <w:szCs w:val="28"/>
        </w:rPr>
        <w:t>через вплив пандемії коронавірусу на транскордонний туризм і навчання за кордоном [</w:t>
      </w:r>
      <w:r w:rsidR="007C4EC3" w:rsidRPr="003F1573">
        <w:rPr>
          <w:sz w:val="28"/>
          <w:szCs w:val="28"/>
        </w:rPr>
        <w:t>1</w:t>
      </w:r>
      <w:r w:rsidR="00F34517">
        <w:rPr>
          <w:sz w:val="28"/>
          <w:szCs w:val="28"/>
        </w:rPr>
        <w:t>1</w:t>
      </w:r>
      <w:r w:rsidR="00213777" w:rsidRPr="003F1573">
        <w:rPr>
          <w:sz w:val="28"/>
          <w:szCs w:val="28"/>
        </w:rPr>
        <w:t xml:space="preserve">]. </w:t>
      </w:r>
      <w:r w:rsidR="00E25448" w:rsidRPr="003F1573">
        <w:rPr>
          <w:sz w:val="28"/>
          <w:szCs w:val="28"/>
        </w:rPr>
        <w:t>Однак, як було зазначено раніше, китайська економіка дуже швидко почала своє відновлення, тож уже з 2020 року спостерігаємо збільшення даних показників.</w:t>
      </w:r>
    </w:p>
    <w:p w:rsidR="00A52444" w:rsidRPr="003F1573" w:rsidRDefault="00A52444" w:rsidP="005B26A5">
      <w:pPr>
        <w:spacing w:line="360" w:lineRule="auto"/>
        <w:ind w:firstLine="567"/>
        <w:jc w:val="both"/>
        <w:rPr>
          <w:sz w:val="28"/>
          <w:szCs w:val="28"/>
        </w:rPr>
      </w:pPr>
    </w:p>
    <w:p w:rsidR="00A31869" w:rsidRPr="003F1573" w:rsidRDefault="00A31869" w:rsidP="005232B4">
      <w:pPr>
        <w:spacing w:line="360" w:lineRule="auto"/>
        <w:jc w:val="center"/>
        <w:rPr>
          <w:sz w:val="28"/>
          <w:szCs w:val="28"/>
        </w:rPr>
      </w:pPr>
      <w:r w:rsidRPr="003F1573">
        <w:rPr>
          <w:noProof/>
          <w:lang w:eastAsia="uk-UA"/>
        </w:rPr>
        <w:drawing>
          <wp:inline distT="0" distB="0" distL="0" distR="0" wp14:anchorId="2428E99F" wp14:editId="50972F62">
            <wp:extent cx="6000750" cy="2614295"/>
            <wp:effectExtent l="0" t="0" r="0" b="14605"/>
            <wp:docPr id="3" name="Диаграмма 3">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522C2D32-8ED9-4A38-9055-A116E33797B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54474C" w:rsidRPr="003F1573" w:rsidRDefault="00E25448" w:rsidP="0054474C">
      <w:pPr>
        <w:spacing w:line="360" w:lineRule="auto"/>
        <w:ind w:firstLine="567"/>
        <w:jc w:val="both"/>
        <w:rPr>
          <w:sz w:val="28"/>
          <w:szCs w:val="28"/>
        </w:rPr>
      </w:pPr>
      <w:r w:rsidRPr="003F1573">
        <w:rPr>
          <w:sz w:val="28"/>
          <w:szCs w:val="28"/>
        </w:rPr>
        <w:t>Рис. 2.2. Динаміка експорту/імпорту послуг Японії та Китаю у період 2017-2021 рр., трлн дол. США</w:t>
      </w:r>
    </w:p>
    <w:p w:rsidR="00E25448" w:rsidRPr="003F1573" w:rsidRDefault="00E25448" w:rsidP="0054474C">
      <w:pPr>
        <w:spacing w:line="360" w:lineRule="auto"/>
        <w:ind w:firstLine="567"/>
        <w:jc w:val="both"/>
        <w:rPr>
          <w:sz w:val="28"/>
          <w:szCs w:val="28"/>
        </w:rPr>
      </w:pPr>
      <w:r w:rsidRPr="003F1573">
        <w:rPr>
          <w:sz w:val="28"/>
          <w:szCs w:val="28"/>
        </w:rPr>
        <w:t>Джерело: складено автором на основі даних [</w:t>
      </w:r>
      <w:r w:rsidR="00F34517">
        <w:rPr>
          <w:sz w:val="28"/>
          <w:szCs w:val="28"/>
        </w:rPr>
        <w:t>7</w:t>
      </w:r>
      <w:r w:rsidRPr="003F1573">
        <w:rPr>
          <w:sz w:val="28"/>
          <w:szCs w:val="28"/>
        </w:rPr>
        <w:t>].</w:t>
      </w:r>
    </w:p>
    <w:p w:rsidR="00E25448" w:rsidRPr="003F1573" w:rsidRDefault="00E25448" w:rsidP="0054474C">
      <w:pPr>
        <w:spacing w:line="360" w:lineRule="auto"/>
        <w:ind w:firstLine="567"/>
        <w:jc w:val="both"/>
        <w:rPr>
          <w:sz w:val="28"/>
          <w:szCs w:val="28"/>
        </w:rPr>
      </w:pPr>
    </w:p>
    <w:p w:rsidR="00213777" w:rsidRPr="003F1573" w:rsidRDefault="00792013" w:rsidP="0054474C">
      <w:pPr>
        <w:spacing w:line="360" w:lineRule="auto"/>
        <w:ind w:firstLine="567"/>
        <w:jc w:val="both"/>
        <w:rPr>
          <w:sz w:val="28"/>
          <w:szCs w:val="28"/>
        </w:rPr>
      </w:pPr>
      <w:r w:rsidRPr="003F1573">
        <w:rPr>
          <w:sz w:val="28"/>
          <w:szCs w:val="28"/>
        </w:rPr>
        <w:t xml:space="preserve">Попри все, </w:t>
      </w:r>
      <w:r w:rsidR="00384A22" w:rsidRPr="003F1573">
        <w:rPr>
          <w:sz w:val="28"/>
          <w:szCs w:val="28"/>
        </w:rPr>
        <w:t xml:space="preserve">деякі аналітики прогнозують уповільнення зростання у ряді секторів китайської економіки через скорочення державної фіскальної та грошово-кредитної підтримки. На думку аналітика Economist Intelligence Unit Юе Су, торгівля та промислове </w:t>
      </w:r>
      <w:r w:rsidR="00F83AE2" w:rsidRPr="003F1573">
        <w:rPr>
          <w:sz w:val="28"/>
          <w:szCs w:val="28"/>
        </w:rPr>
        <w:t>виробництво в країні, швидше за все, не зможуть зберегти такі високі темпи зростання через відсутність заходів щодо стимулювання національної економіки [</w:t>
      </w:r>
      <w:r w:rsidR="007C4EC3" w:rsidRPr="003F1573">
        <w:rPr>
          <w:sz w:val="28"/>
          <w:szCs w:val="28"/>
        </w:rPr>
        <w:t>1</w:t>
      </w:r>
      <w:r w:rsidR="00F34517">
        <w:rPr>
          <w:sz w:val="28"/>
          <w:szCs w:val="28"/>
        </w:rPr>
        <w:t>3</w:t>
      </w:r>
      <w:r w:rsidR="00F83AE2" w:rsidRPr="003F1573">
        <w:rPr>
          <w:sz w:val="28"/>
          <w:szCs w:val="28"/>
        </w:rPr>
        <w:t>]. Втім, оновлені дані свідчать про те, що китайська економіка після рекордного спаду продовжує набирати обертів.</w:t>
      </w:r>
    </w:p>
    <w:p w:rsidR="00F83AE2" w:rsidRPr="003F1573" w:rsidRDefault="001A7F32" w:rsidP="0054474C">
      <w:pPr>
        <w:spacing w:line="360" w:lineRule="auto"/>
        <w:ind w:firstLine="567"/>
        <w:jc w:val="both"/>
        <w:rPr>
          <w:sz w:val="28"/>
          <w:szCs w:val="28"/>
        </w:rPr>
      </w:pPr>
      <w:r w:rsidRPr="003F1573">
        <w:rPr>
          <w:sz w:val="28"/>
          <w:szCs w:val="28"/>
        </w:rPr>
        <w:t>Що стосується Японії, то в березні 2018 року вона увійшла до Все</w:t>
      </w:r>
      <w:r w:rsidR="00FE7773" w:rsidRPr="003F1573">
        <w:rPr>
          <w:sz w:val="28"/>
          <w:szCs w:val="28"/>
        </w:rPr>
        <w:t xml:space="preserve">осяжної прогресивної угоди про Транс-Тихоокеанське партнерство, яка була підписана у Чилі і включає положення більш раннього договору про Транс-Тихоокеанське партнерство (ТТП), яке розвалилося після виходу з нього США. Унаслідок дії угоди та зниження тарифів на тлі зростання цін на нафту у Японії досить істотно знизився її експорт, від якого залежить вся економіка країни, через попит, що послабшав. </w:t>
      </w:r>
      <w:r w:rsidR="0084750B" w:rsidRPr="003F1573">
        <w:rPr>
          <w:sz w:val="28"/>
          <w:szCs w:val="28"/>
        </w:rPr>
        <w:t xml:space="preserve">При цьому експерти стверджують, що обсяги експорту Японії можуть і надалі знижуватися. </w:t>
      </w:r>
    </w:p>
    <w:p w:rsidR="00CB0F4D" w:rsidRPr="003F1573" w:rsidRDefault="00CB0F4D" w:rsidP="0054474C">
      <w:pPr>
        <w:spacing w:line="360" w:lineRule="auto"/>
        <w:ind w:firstLine="567"/>
        <w:jc w:val="both"/>
        <w:rPr>
          <w:sz w:val="28"/>
          <w:szCs w:val="28"/>
        </w:rPr>
      </w:pPr>
      <w:r w:rsidRPr="003F1573">
        <w:rPr>
          <w:sz w:val="28"/>
          <w:szCs w:val="28"/>
        </w:rPr>
        <w:lastRenderedPageBreak/>
        <w:t xml:space="preserve">Старший аналітик по Японії британської консалтингової компанії Capital Economics Марсель Тьєліант зазначав, що «повернення зростання експорту не очікується, оскільки зростання ВВП основних торгових партнерів Японії сповільнилося </w:t>
      </w:r>
      <w:r w:rsidR="00EC3B92" w:rsidRPr="003F1573">
        <w:rPr>
          <w:sz w:val="28"/>
          <w:szCs w:val="28"/>
        </w:rPr>
        <w:t xml:space="preserve">з </w:t>
      </w:r>
      <w:r w:rsidRPr="003F1573">
        <w:rPr>
          <w:sz w:val="28"/>
          <w:szCs w:val="28"/>
        </w:rPr>
        <w:t>3,2% у четвертому кварталі 2018 року до 2,4% у 2019 році»</w:t>
      </w:r>
      <w:r w:rsidR="008C6C19" w:rsidRPr="003F1573">
        <w:rPr>
          <w:sz w:val="28"/>
          <w:szCs w:val="28"/>
        </w:rPr>
        <w:t>. При цьому прогнозує подальше зниження японського експорту на 0,5% [</w:t>
      </w:r>
      <w:r w:rsidR="00033631" w:rsidRPr="003F1573">
        <w:rPr>
          <w:sz w:val="28"/>
          <w:szCs w:val="28"/>
        </w:rPr>
        <w:t>1</w:t>
      </w:r>
      <w:r w:rsidR="00F34517">
        <w:rPr>
          <w:sz w:val="28"/>
          <w:szCs w:val="28"/>
        </w:rPr>
        <w:t>2</w:t>
      </w:r>
      <w:r w:rsidR="008C6C19" w:rsidRPr="003F1573">
        <w:rPr>
          <w:sz w:val="28"/>
          <w:szCs w:val="28"/>
        </w:rPr>
        <w:t>].</w:t>
      </w:r>
    </w:p>
    <w:p w:rsidR="00BF0798" w:rsidRPr="003F1573" w:rsidRDefault="0019667B" w:rsidP="0019667B">
      <w:pPr>
        <w:spacing w:line="360" w:lineRule="auto"/>
        <w:jc w:val="center"/>
        <w:rPr>
          <w:sz w:val="28"/>
          <w:szCs w:val="28"/>
        </w:rPr>
      </w:pPr>
      <w:r w:rsidRPr="003F1573">
        <w:rPr>
          <w:noProof/>
          <w:lang w:eastAsia="uk-UA"/>
        </w:rPr>
        <w:drawing>
          <wp:inline distT="0" distB="0" distL="0" distR="0" wp14:anchorId="5301AC66" wp14:editId="023FB12E">
            <wp:extent cx="5676900" cy="4386263"/>
            <wp:effectExtent l="0" t="0" r="0" b="14605"/>
            <wp:docPr id="4" name="Диаграмма 4">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8C8BE48F-81DD-4341-98E4-DEF6A3A3B43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395769" w:rsidRPr="003F1573" w:rsidRDefault="003A1720" w:rsidP="00BF0798">
      <w:pPr>
        <w:spacing w:line="360" w:lineRule="auto"/>
        <w:ind w:firstLine="567"/>
        <w:jc w:val="both"/>
        <w:rPr>
          <w:sz w:val="28"/>
          <w:szCs w:val="28"/>
        </w:rPr>
      </w:pPr>
      <w:r w:rsidRPr="003F1573">
        <w:rPr>
          <w:sz w:val="28"/>
          <w:szCs w:val="28"/>
        </w:rPr>
        <w:t>Рис. 2.3. Динаміка складових статті «первинні доходи» Японії та Китаю у період 2017-2021 рр., трлн дол. США</w:t>
      </w:r>
    </w:p>
    <w:p w:rsidR="003A1720" w:rsidRPr="003F1573" w:rsidRDefault="003A1720" w:rsidP="00BF0798">
      <w:pPr>
        <w:spacing w:line="360" w:lineRule="auto"/>
        <w:ind w:firstLine="567"/>
        <w:jc w:val="both"/>
        <w:rPr>
          <w:sz w:val="28"/>
          <w:szCs w:val="28"/>
        </w:rPr>
      </w:pPr>
      <w:r w:rsidRPr="003F1573">
        <w:rPr>
          <w:sz w:val="28"/>
          <w:szCs w:val="28"/>
        </w:rPr>
        <w:t>Джерело: складено автором на основі даних [</w:t>
      </w:r>
      <w:r w:rsidR="00F34517">
        <w:rPr>
          <w:sz w:val="28"/>
          <w:szCs w:val="28"/>
        </w:rPr>
        <w:t>7</w:t>
      </w:r>
      <w:r w:rsidRPr="003F1573">
        <w:rPr>
          <w:sz w:val="28"/>
          <w:szCs w:val="28"/>
        </w:rPr>
        <w:t>].</w:t>
      </w:r>
    </w:p>
    <w:p w:rsidR="003A1720" w:rsidRPr="003F1573" w:rsidRDefault="003A1720" w:rsidP="00BF0798">
      <w:pPr>
        <w:spacing w:line="360" w:lineRule="auto"/>
        <w:ind w:firstLine="567"/>
        <w:jc w:val="both"/>
        <w:rPr>
          <w:sz w:val="28"/>
          <w:szCs w:val="28"/>
        </w:rPr>
      </w:pPr>
    </w:p>
    <w:p w:rsidR="002E2366" w:rsidRPr="003F1573" w:rsidRDefault="002E2366" w:rsidP="002E2366">
      <w:pPr>
        <w:spacing w:line="360" w:lineRule="auto"/>
        <w:ind w:firstLine="567"/>
        <w:jc w:val="both"/>
        <w:rPr>
          <w:sz w:val="28"/>
          <w:szCs w:val="28"/>
        </w:rPr>
      </w:pPr>
      <w:r w:rsidRPr="003F1573">
        <w:rPr>
          <w:sz w:val="28"/>
          <w:szCs w:val="28"/>
        </w:rPr>
        <w:t xml:space="preserve">В оплату праці входить винагорода працівників за працю, отримана від резидентів інших країн, зокрема сезонних і прикордонних робітників. За графіком на рис. 2.3 бачимо, що сальдо оплати праці в Японії протягом 2017-2021 років від’ємне, японські нерезиденти отримували більше грошей за свою працю в цій країні, ніж резиденти країни за кордоном. У Китаї протягом даного періоду часу, окрім 2021 року, спостерігаємо протилежну ситуацію: </w:t>
      </w:r>
      <w:r w:rsidRPr="003F1573">
        <w:rPr>
          <w:sz w:val="28"/>
          <w:szCs w:val="28"/>
        </w:rPr>
        <w:lastRenderedPageBreak/>
        <w:t>резиденти країни за кордоном отримували більше грошей за працю, ніж нерезиденти в самому Китаї.</w:t>
      </w:r>
    </w:p>
    <w:p w:rsidR="00F577D4" w:rsidRPr="003F1573" w:rsidRDefault="00F577D4" w:rsidP="00641D7A">
      <w:pPr>
        <w:spacing w:line="360" w:lineRule="auto"/>
        <w:ind w:firstLine="567"/>
        <w:jc w:val="both"/>
        <w:rPr>
          <w:sz w:val="28"/>
          <w:szCs w:val="28"/>
        </w:rPr>
      </w:pPr>
      <w:r w:rsidRPr="003F1573">
        <w:rPr>
          <w:sz w:val="28"/>
          <w:szCs w:val="28"/>
        </w:rPr>
        <w:t xml:space="preserve">До інвестиційних доходів належать доходи від власності на іноземні фінансові активи, які виплачуються нерезидентами резидентам і навпаки. Дохід від інвестицій </w:t>
      </w:r>
      <w:r w:rsidR="00A67C10" w:rsidRPr="003F1573">
        <w:rPr>
          <w:sz w:val="28"/>
          <w:szCs w:val="28"/>
        </w:rPr>
        <w:t>в Японії</w:t>
      </w:r>
      <w:r w:rsidRPr="003F1573">
        <w:rPr>
          <w:sz w:val="28"/>
          <w:szCs w:val="28"/>
        </w:rPr>
        <w:t xml:space="preserve"> має додатний показник, що свідчить про те, що резиденти цієї країни отримують більше доходів від власності на іноземні фінансові активи у вигляді дивідендів по акціях, відсотків за борговими цінними паперами і т. п., ніж нерезиденти отримують від власності на</w:t>
      </w:r>
      <w:r w:rsidR="00A67C10" w:rsidRPr="003F1573">
        <w:rPr>
          <w:sz w:val="28"/>
          <w:szCs w:val="28"/>
        </w:rPr>
        <w:t xml:space="preserve"> японські</w:t>
      </w:r>
      <w:r w:rsidRPr="003F1573">
        <w:rPr>
          <w:sz w:val="28"/>
          <w:szCs w:val="28"/>
        </w:rPr>
        <w:t xml:space="preserve">. Однак, </w:t>
      </w:r>
      <w:r w:rsidR="00664FE1" w:rsidRPr="003F1573">
        <w:rPr>
          <w:sz w:val="28"/>
          <w:szCs w:val="28"/>
        </w:rPr>
        <w:t xml:space="preserve">протягом останніх років </w:t>
      </w:r>
      <w:r w:rsidRPr="003F1573">
        <w:rPr>
          <w:sz w:val="28"/>
          <w:szCs w:val="28"/>
        </w:rPr>
        <w:t>кількість цих доходів</w:t>
      </w:r>
      <w:r w:rsidR="00664FE1" w:rsidRPr="003F1573">
        <w:rPr>
          <w:sz w:val="28"/>
          <w:szCs w:val="28"/>
        </w:rPr>
        <w:t xml:space="preserve"> дещо</w:t>
      </w:r>
      <w:r w:rsidRPr="003F1573">
        <w:rPr>
          <w:sz w:val="28"/>
          <w:szCs w:val="28"/>
        </w:rPr>
        <w:t xml:space="preserve"> зменшувалася, знову ж таки, ймовірніше, через карантинні обмеження. </w:t>
      </w:r>
      <w:r w:rsidR="00664FE1" w:rsidRPr="003F1573">
        <w:rPr>
          <w:sz w:val="28"/>
          <w:szCs w:val="28"/>
        </w:rPr>
        <w:t xml:space="preserve">У Китаї спостерігаємо протилежну ситуацію: від’ємне сальдо доходу від інвестицій, що означає отримання нерезидентами країни більшої кількості доходів від власності на </w:t>
      </w:r>
      <w:r w:rsidR="00A326FC" w:rsidRPr="003F1573">
        <w:rPr>
          <w:sz w:val="28"/>
          <w:szCs w:val="28"/>
        </w:rPr>
        <w:t xml:space="preserve">китайські фінансові активи, ніж отримують резиденти Китаю від власності на іноземні. </w:t>
      </w:r>
      <w:r w:rsidRPr="003F1573">
        <w:rPr>
          <w:sz w:val="28"/>
          <w:szCs w:val="28"/>
        </w:rPr>
        <w:t>Сальдо первинних доходів, яке складається з сальдо оплати праці та доходу від інвестицій і показує потоки первинних доходів між інституційними одиницями-резидентами та інституційними одиницями-нерезидентами, протягом 201</w:t>
      </w:r>
      <w:r w:rsidR="00A326FC" w:rsidRPr="003F1573">
        <w:rPr>
          <w:sz w:val="28"/>
          <w:szCs w:val="28"/>
        </w:rPr>
        <w:t>7</w:t>
      </w:r>
      <w:r w:rsidRPr="003F1573">
        <w:rPr>
          <w:sz w:val="28"/>
          <w:szCs w:val="28"/>
        </w:rPr>
        <w:t>-202</w:t>
      </w:r>
      <w:r w:rsidR="00A326FC" w:rsidRPr="003F1573">
        <w:rPr>
          <w:sz w:val="28"/>
          <w:szCs w:val="28"/>
        </w:rPr>
        <w:t>1</w:t>
      </w:r>
      <w:r w:rsidRPr="003F1573">
        <w:rPr>
          <w:sz w:val="28"/>
          <w:szCs w:val="28"/>
        </w:rPr>
        <w:t xml:space="preserve"> рр. </w:t>
      </w:r>
      <w:r w:rsidR="00A326FC" w:rsidRPr="003F1573">
        <w:rPr>
          <w:sz w:val="28"/>
          <w:szCs w:val="28"/>
        </w:rPr>
        <w:t xml:space="preserve">в Японії </w:t>
      </w:r>
      <w:r w:rsidRPr="003F1573">
        <w:rPr>
          <w:sz w:val="28"/>
          <w:szCs w:val="28"/>
        </w:rPr>
        <w:t xml:space="preserve">залишалося </w:t>
      </w:r>
      <w:r w:rsidR="00A326FC" w:rsidRPr="003F1573">
        <w:rPr>
          <w:sz w:val="28"/>
          <w:szCs w:val="28"/>
        </w:rPr>
        <w:t>додатним</w:t>
      </w:r>
      <w:r w:rsidRPr="003F1573">
        <w:rPr>
          <w:sz w:val="28"/>
          <w:szCs w:val="28"/>
        </w:rPr>
        <w:t>,</w:t>
      </w:r>
      <w:r w:rsidR="00641D7A" w:rsidRPr="003F1573">
        <w:rPr>
          <w:sz w:val="28"/>
          <w:szCs w:val="28"/>
        </w:rPr>
        <w:t xml:space="preserve"> одночасно також і </w:t>
      </w:r>
      <w:r w:rsidR="0010359D" w:rsidRPr="003F1573">
        <w:rPr>
          <w:sz w:val="28"/>
          <w:szCs w:val="28"/>
        </w:rPr>
        <w:t>збільшувалося</w:t>
      </w:r>
      <w:r w:rsidR="00641D7A" w:rsidRPr="003F1573">
        <w:rPr>
          <w:sz w:val="28"/>
          <w:szCs w:val="28"/>
        </w:rPr>
        <w:t xml:space="preserve"> за рахунок з</w:t>
      </w:r>
      <w:r w:rsidR="0010359D" w:rsidRPr="003F1573">
        <w:rPr>
          <w:sz w:val="28"/>
          <w:szCs w:val="28"/>
        </w:rPr>
        <w:t>більшення</w:t>
      </w:r>
      <w:r w:rsidR="00641D7A" w:rsidRPr="003F1573">
        <w:rPr>
          <w:sz w:val="28"/>
          <w:szCs w:val="28"/>
        </w:rPr>
        <w:t xml:space="preserve"> різниці між доходами від інвестицій та оплатою праці</w:t>
      </w:r>
      <w:r w:rsidR="0010359D" w:rsidRPr="003F1573">
        <w:rPr>
          <w:sz w:val="28"/>
          <w:szCs w:val="28"/>
        </w:rPr>
        <w:t xml:space="preserve">, </w:t>
      </w:r>
      <w:r w:rsidR="00A326FC" w:rsidRPr="003F1573">
        <w:rPr>
          <w:sz w:val="28"/>
          <w:szCs w:val="28"/>
        </w:rPr>
        <w:t>а у Китаї – від’ємним. Р</w:t>
      </w:r>
      <w:r w:rsidRPr="003F1573">
        <w:rPr>
          <w:sz w:val="28"/>
          <w:szCs w:val="28"/>
        </w:rPr>
        <w:t xml:space="preserve">езиденти </w:t>
      </w:r>
      <w:r w:rsidR="00641D7A" w:rsidRPr="003F1573">
        <w:rPr>
          <w:sz w:val="28"/>
          <w:szCs w:val="28"/>
        </w:rPr>
        <w:t xml:space="preserve">Китаю </w:t>
      </w:r>
      <w:r w:rsidRPr="003F1573">
        <w:rPr>
          <w:sz w:val="28"/>
          <w:szCs w:val="28"/>
        </w:rPr>
        <w:t xml:space="preserve">за межами </w:t>
      </w:r>
      <w:r w:rsidR="00641D7A" w:rsidRPr="003F1573">
        <w:rPr>
          <w:sz w:val="28"/>
          <w:szCs w:val="28"/>
        </w:rPr>
        <w:t>країни</w:t>
      </w:r>
      <w:r w:rsidRPr="003F1573">
        <w:rPr>
          <w:sz w:val="28"/>
          <w:szCs w:val="28"/>
        </w:rPr>
        <w:t xml:space="preserve"> отримують менше грошей, ніж нерезиденти у цій країні, </w:t>
      </w:r>
      <w:r w:rsidR="00641D7A" w:rsidRPr="003F1573">
        <w:rPr>
          <w:sz w:val="28"/>
          <w:szCs w:val="28"/>
        </w:rPr>
        <w:t>японські нерезиденти отримують більшу грошову винагороду в Японії, аніж резиденти цієї країни за кордоном.</w:t>
      </w:r>
    </w:p>
    <w:p w:rsidR="0010359D" w:rsidRPr="003F1573" w:rsidRDefault="0010359D" w:rsidP="0010359D">
      <w:pPr>
        <w:spacing w:line="360" w:lineRule="auto"/>
        <w:ind w:firstLine="567"/>
        <w:jc w:val="both"/>
        <w:rPr>
          <w:sz w:val="28"/>
          <w:szCs w:val="28"/>
        </w:rPr>
      </w:pPr>
      <w:r w:rsidRPr="003F1573">
        <w:rPr>
          <w:sz w:val="28"/>
          <w:szCs w:val="28"/>
        </w:rPr>
        <w:t>Сальдо вторинних доходів, яке показує поточні трансферти між резидентами та нерезидентами, у період 2017-2018 років є від’ємним як в Японії, так і в Китаї, а у 2019-2021 роках – тільки в Японії (див. рис. 2.4).</w:t>
      </w:r>
    </w:p>
    <w:p w:rsidR="0010359D" w:rsidRPr="003F1573" w:rsidRDefault="0010359D" w:rsidP="00641D7A">
      <w:pPr>
        <w:spacing w:line="360" w:lineRule="auto"/>
        <w:ind w:firstLine="567"/>
        <w:jc w:val="both"/>
        <w:rPr>
          <w:sz w:val="28"/>
          <w:szCs w:val="28"/>
        </w:rPr>
      </w:pPr>
    </w:p>
    <w:p w:rsidR="003A1720" w:rsidRPr="003F1573" w:rsidRDefault="003A1720" w:rsidP="00BF0798">
      <w:pPr>
        <w:spacing w:line="360" w:lineRule="auto"/>
        <w:ind w:firstLine="567"/>
        <w:jc w:val="both"/>
        <w:rPr>
          <w:sz w:val="28"/>
          <w:szCs w:val="28"/>
        </w:rPr>
      </w:pPr>
    </w:p>
    <w:p w:rsidR="00252C7A" w:rsidRPr="003F1573" w:rsidRDefault="00252C7A" w:rsidP="004F4D39">
      <w:pPr>
        <w:spacing w:line="360" w:lineRule="auto"/>
        <w:ind w:firstLine="567"/>
        <w:jc w:val="both"/>
        <w:rPr>
          <w:sz w:val="28"/>
          <w:szCs w:val="28"/>
        </w:rPr>
      </w:pPr>
    </w:p>
    <w:p w:rsidR="00BF2FAC" w:rsidRPr="003F1573" w:rsidRDefault="001D69FC" w:rsidP="001D69FC">
      <w:pPr>
        <w:spacing w:line="360" w:lineRule="auto"/>
        <w:jc w:val="center"/>
        <w:rPr>
          <w:sz w:val="28"/>
          <w:szCs w:val="28"/>
        </w:rPr>
      </w:pPr>
      <w:r w:rsidRPr="003F1573">
        <w:rPr>
          <w:noProof/>
          <w:lang w:eastAsia="uk-UA"/>
        </w:rPr>
        <w:lastRenderedPageBreak/>
        <w:drawing>
          <wp:inline distT="0" distB="0" distL="0" distR="0" wp14:anchorId="607CE94E" wp14:editId="330F4D00">
            <wp:extent cx="5553076" cy="2743200"/>
            <wp:effectExtent l="0" t="0" r="9525" b="0"/>
            <wp:docPr id="6" name="Диаграмма 6">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ACD729F8-5416-43F3-825B-A597A52C444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D931C3" w:rsidRPr="003F1573" w:rsidRDefault="00500057" w:rsidP="00D931C3">
      <w:pPr>
        <w:spacing w:line="360" w:lineRule="auto"/>
        <w:ind w:firstLine="567"/>
        <w:jc w:val="both"/>
        <w:rPr>
          <w:sz w:val="28"/>
          <w:szCs w:val="28"/>
        </w:rPr>
      </w:pPr>
      <w:r w:rsidRPr="003F1573">
        <w:rPr>
          <w:sz w:val="28"/>
          <w:szCs w:val="28"/>
        </w:rPr>
        <w:t>Рис. 2.4. Динаміка балансу вторинних доходів Японії та Китаю у період 2017-2021 рр., трлн дол. США</w:t>
      </w:r>
    </w:p>
    <w:p w:rsidR="00500057" w:rsidRPr="003F1573" w:rsidRDefault="00500057" w:rsidP="00D931C3">
      <w:pPr>
        <w:spacing w:line="360" w:lineRule="auto"/>
        <w:ind w:firstLine="567"/>
        <w:jc w:val="both"/>
        <w:rPr>
          <w:sz w:val="28"/>
          <w:szCs w:val="28"/>
        </w:rPr>
      </w:pPr>
      <w:r w:rsidRPr="003F1573">
        <w:rPr>
          <w:sz w:val="28"/>
          <w:szCs w:val="28"/>
        </w:rPr>
        <w:t>Джерело: складено автором на основі даних [</w:t>
      </w:r>
      <w:r w:rsidR="00F34517">
        <w:rPr>
          <w:sz w:val="28"/>
          <w:szCs w:val="28"/>
        </w:rPr>
        <w:t>7</w:t>
      </w:r>
      <w:r w:rsidRPr="003F1573">
        <w:rPr>
          <w:sz w:val="28"/>
          <w:szCs w:val="28"/>
        </w:rPr>
        <w:t>].</w:t>
      </w:r>
    </w:p>
    <w:p w:rsidR="00500057" w:rsidRPr="003F1573" w:rsidRDefault="00500057" w:rsidP="00D931C3">
      <w:pPr>
        <w:spacing w:line="360" w:lineRule="auto"/>
        <w:ind w:firstLine="567"/>
        <w:jc w:val="both"/>
        <w:rPr>
          <w:sz w:val="28"/>
          <w:szCs w:val="28"/>
        </w:rPr>
      </w:pPr>
    </w:p>
    <w:p w:rsidR="00500057" w:rsidRPr="003F1573" w:rsidRDefault="00500057" w:rsidP="00500057">
      <w:pPr>
        <w:spacing w:line="360" w:lineRule="auto"/>
        <w:ind w:firstLine="567"/>
        <w:jc w:val="both"/>
        <w:rPr>
          <w:sz w:val="28"/>
          <w:szCs w:val="28"/>
        </w:rPr>
      </w:pPr>
      <w:r w:rsidRPr="003F1573">
        <w:rPr>
          <w:sz w:val="28"/>
          <w:szCs w:val="28"/>
        </w:rPr>
        <w:t>Це означає, що протягом 2017-2018 рр. під час процесу передавання матеріальних та фінансових цінностей, яке не передбачає компенсацій у вигляді певного вартісного еквівалента, мігранти як Японії, так і Китаю перевели собі на Батьківщину більше грошей у вигляді грантів, стипендій або соціальної допомоги тощо, аніж перевели резиденти цих країн у Японію/Китай з-за кордону. Такі поточні трансферти збільшують рівень доходу та споживання товарів і послуг країни-реципієнта та зменшують дохід і потенційні можливості самих Японії і Китаю як країн-донорів. Починаючи з 2019 року ситуація в Китаї змінилася</w:t>
      </w:r>
      <w:r w:rsidR="00BF31FB" w:rsidRPr="003F1573">
        <w:rPr>
          <w:sz w:val="28"/>
          <w:szCs w:val="28"/>
        </w:rPr>
        <w:t xml:space="preserve">. Резиденти цієї країни почали переводити більшу кількість грошей з-за кордону, ніж </w:t>
      </w:r>
      <w:r w:rsidR="00597CE2" w:rsidRPr="003F1573">
        <w:rPr>
          <w:sz w:val="28"/>
          <w:szCs w:val="28"/>
        </w:rPr>
        <w:t>китайські мігранти – у свою рідну країну.</w:t>
      </w:r>
    </w:p>
    <w:p w:rsidR="00500057" w:rsidRPr="003F1573" w:rsidRDefault="00500057" w:rsidP="00500057">
      <w:pPr>
        <w:spacing w:line="360" w:lineRule="auto"/>
        <w:ind w:firstLine="567"/>
        <w:jc w:val="both"/>
        <w:rPr>
          <w:sz w:val="28"/>
          <w:szCs w:val="28"/>
        </w:rPr>
      </w:pPr>
      <w:r w:rsidRPr="003F1573">
        <w:rPr>
          <w:sz w:val="28"/>
          <w:szCs w:val="28"/>
        </w:rPr>
        <w:t>У розділі платіжного балансу «рахунок операцій з капіталом» представлені операції з капітальними переказами та недержавними нефінансовими активами (патенти, авторські права тощо). Міжнародний рух капіталу набуває різних форм – зовнішній борг (як державний, так і приватний) та власний капітал (пасивні портфельні інвестиції та прямі іноземні інвестиції).</w:t>
      </w:r>
      <w:r w:rsidR="00597CE2" w:rsidRPr="003F1573">
        <w:rPr>
          <w:sz w:val="28"/>
          <w:szCs w:val="28"/>
        </w:rPr>
        <w:t xml:space="preserve"> </w:t>
      </w:r>
      <w:r w:rsidR="00F34517">
        <w:rPr>
          <w:sz w:val="28"/>
          <w:szCs w:val="28"/>
        </w:rPr>
        <w:t>П</w:t>
      </w:r>
      <w:r w:rsidR="00391CB3" w:rsidRPr="003F1573">
        <w:rPr>
          <w:sz w:val="28"/>
          <w:szCs w:val="28"/>
        </w:rPr>
        <w:t xml:space="preserve">ротягом розглянутого періоду часу в обох країнах </w:t>
      </w:r>
      <w:r w:rsidR="00391CB3" w:rsidRPr="003F1573">
        <w:rPr>
          <w:sz w:val="28"/>
          <w:szCs w:val="28"/>
        </w:rPr>
        <w:lastRenderedPageBreak/>
        <w:t>даний показник був від’ємним і коливався у межах -0,003 млрд дол. США в Японії та -</w:t>
      </w:r>
      <w:r w:rsidR="001F1CF4" w:rsidRPr="003F1573">
        <w:rPr>
          <w:sz w:val="28"/>
          <w:szCs w:val="28"/>
        </w:rPr>
        <w:t>0,001 млрд дол. США у Китаї.</w:t>
      </w:r>
    </w:p>
    <w:p w:rsidR="001F1CF4" w:rsidRPr="003F1573" w:rsidRDefault="001F1CF4" w:rsidP="00500057">
      <w:pPr>
        <w:spacing w:line="360" w:lineRule="auto"/>
        <w:ind w:firstLine="567"/>
        <w:jc w:val="both"/>
        <w:rPr>
          <w:sz w:val="28"/>
          <w:szCs w:val="28"/>
        </w:rPr>
      </w:pPr>
    </w:p>
    <w:p w:rsidR="001F1CF4" w:rsidRPr="003F1573" w:rsidRDefault="001F1CF4" w:rsidP="00500057">
      <w:pPr>
        <w:spacing w:line="360" w:lineRule="auto"/>
        <w:ind w:firstLine="567"/>
        <w:jc w:val="both"/>
        <w:rPr>
          <w:b/>
          <w:sz w:val="28"/>
          <w:szCs w:val="28"/>
        </w:rPr>
      </w:pPr>
      <w:r w:rsidRPr="003F1573">
        <w:rPr>
          <w:b/>
          <w:sz w:val="28"/>
          <w:szCs w:val="28"/>
        </w:rPr>
        <w:t>2.2. Порівняльний аналіз динаміки основних статей фінансового рахунку Японії та Китаю</w:t>
      </w:r>
    </w:p>
    <w:p w:rsidR="001F1CF4" w:rsidRPr="003F1573" w:rsidRDefault="001F1CF4" w:rsidP="001F1CF4">
      <w:pPr>
        <w:spacing w:line="360" w:lineRule="auto"/>
        <w:ind w:firstLine="567"/>
        <w:jc w:val="both"/>
        <w:rPr>
          <w:sz w:val="28"/>
          <w:szCs w:val="28"/>
        </w:rPr>
      </w:pPr>
      <w:r w:rsidRPr="003F1573">
        <w:rPr>
          <w:sz w:val="28"/>
          <w:szCs w:val="28"/>
        </w:rPr>
        <w:t xml:space="preserve">Фінансовий рахунок є інтерпретацією сальдо прямих, портфельних та інших інвестицій, резервних активів, а також фінансових деривативів (похідних фінансових інструментів, крім резервних активів). Він показує ті зміни в фінансових активах і пасивах, які відбулися за рік за участю резидентів і нерезидентів країни. </w:t>
      </w:r>
    </w:p>
    <w:p w:rsidR="001C7B86" w:rsidRPr="003F1573" w:rsidRDefault="00F34517" w:rsidP="006E0FE1">
      <w:pPr>
        <w:spacing w:line="360" w:lineRule="auto"/>
        <w:ind w:firstLine="567"/>
        <w:jc w:val="both"/>
        <w:rPr>
          <w:sz w:val="28"/>
          <w:szCs w:val="28"/>
        </w:rPr>
      </w:pPr>
      <w:r>
        <w:rPr>
          <w:sz w:val="28"/>
          <w:szCs w:val="28"/>
        </w:rPr>
        <w:t>Результати аналізу даних свідчать про те</w:t>
      </w:r>
      <w:r w:rsidR="001F1CF4" w:rsidRPr="003F1573">
        <w:rPr>
          <w:sz w:val="28"/>
          <w:szCs w:val="28"/>
        </w:rPr>
        <w:t xml:space="preserve">, що фінансовий рахунок Японії поступово збільшувався на користь резидентів країни до початку пандемії COVID-19. </w:t>
      </w:r>
      <w:r w:rsidR="00E451B2" w:rsidRPr="003F1573">
        <w:rPr>
          <w:sz w:val="28"/>
          <w:szCs w:val="28"/>
        </w:rPr>
        <w:t xml:space="preserve">У Китаї ж, навпаки, така ситуація спостерігається ще починаючи з 2018 року і наявна й зараз. Наслідком від’ємного фінансового рахунку Китаю протягом 2017-2019 років було те, що володіння активами в зарубіжних країнах зростало. Його дефіцит урівноважувався надлишком на поточному рахунку, який реєструє вхідний грошовий потік в країну. </w:t>
      </w:r>
    </w:p>
    <w:p w:rsidR="001C7B86" w:rsidRPr="003F1573" w:rsidRDefault="001C7B86" w:rsidP="008457B6">
      <w:pPr>
        <w:spacing w:line="360" w:lineRule="auto"/>
        <w:ind w:firstLine="567"/>
        <w:jc w:val="both"/>
        <w:rPr>
          <w:sz w:val="28"/>
          <w:szCs w:val="28"/>
        </w:rPr>
      </w:pPr>
      <w:r w:rsidRPr="003F1573">
        <w:rPr>
          <w:sz w:val="28"/>
          <w:szCs w:val="28"/>
        </w:rPr>
        <w:t xml:space="preserve">У процесі глобалізації світової економіки іноземні інвестиції відіграють не менш визначальну роль, ніж міжнародна торгівля товарами і послугами. Стійкий економічний розвиток не є можливим без активного залучення прямих іноземних інвестицій, які, як свідчить світовий досвід, мають перевагу над іншими формами економічного співробітництва. </w:t>
      </w:r>
      <w:r w:rsidR="004A68BD" w:rsidRPr="003F1573">
        <w:rPr>
          <w:sz w:val="28"/>
          <w:szCs w:val="28"/>
        </w:rPr>
        <w:t>Особливо актуальним є дослідження досвіду КНР, яка поклала в основу своєї концептуальної політики відкритості і реформ залучення іноземного капіталу, що дало змогу Китаю прискорити освоєння енергоресурсів, розвиток транспорту, засобів зв’язку, а також провести технічну реконструкцію низки старих підприємств.</w:t>
      </w:r>
    </w:p>
    <w:p w:rsidR="00F23C6C" w:rsidRPr="003F1573" w:rsidRDefault="006E0FE1" w:rsidP="004A68BD">
      <w:pPr>
        <w:spacing w:line="360" w:lineRule="auto"/>
        <w:ind w:firstLine="567"/>
        <w:jc w:val="both"/>
        <w:rPr>
          <w:sz w:val="28"/>
          <w:szCs w:val="28"/>
        </w:rPr>
      </w:pPr>
      <w:r w:rsidRPr="003F1573">
        <w:rPr>
          <w:sz w:val="28"/>
          <w:szCs w:val="28"/>
        </w:rPr>
        <w:t>Показник прямих інвестицій (активів) протягом розглянутого періоду часу в обох країнах був додатним, що означає те, що тоді резиденти як Японії, так і Китаю збільшували кількість своїх активів, контрольованих за кордоном, за допомогою прямих інвестицій (див. рис. 2.</w:t>
      </w:r>
      <w:r w:rsidR="00BA5969" w:rsidRPr="003F1573">
        <w:rPr>
          <w:sz w:val="28"/>
          <w:szCs w:val="28"/>
        </w:rPr>
        <w:t>5</w:t>
      </w:r>
      <w:r w:rsidRPr="003F1573">
        <w:rPr>
          <w:sz w:val="28"/>
          <w:szCs w:val="28"/>
        </w:rPr>
        <w:t xml:space="preserve">). </w:t>
      </w:r>
    </w:p>
    <w:p w:rsidR="00DD7ECC" w:rsidRPr="003F1573" w:rsidRDefault="00001BF3" w:rsidP="00001BF3">
      <w:pPr>
        <w:spacing w:line="360" w:lineRule="auto"/>
        <w:jc w:val="center"/>
        <w:rPr>
          <w:sz w:val="28"/>
        </w:rPr>
      </w:pPr>
      <w:r w:rsidRPr="003F1573">
        <w:rPr>
          <w:noProof/>
          <w:lang w:eastAsia="uk-UA"/>
        </w:rPr>
        <w:lastRenderedPageBreak/>
        <w:drawing>
          <wp:inline distT="0" distB="0" distL="0" distR="0" wp14:anchorId="6D09C68C" wp14:editId="2B12E8FD">
            <wp:extent cx="5276850" cy="3033713"/>
            <wp:effectExtent l="0" t="0" r="0" b="0"/>
            <wp:docPr id="7" name="Диаграмма 7">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0212D815-BD21-42B1-ABC2-5CAF332CB7F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4972C0" w:rsidRPr="003F1573" w:rsidRDefault="00BA5969" w:rsidP="00BA5969">
      <w:pPr>
        <w:spacing w:line="360" w:lineRule="auto"/>
        <w:ind w:firstLine="567"/>
        <w:rPr>
          <w:sz w:val="28"/>
          <w:szCs w:val="28"/>
        </w:rPr>
      </w:pPr>
      <w:r w:rsidRPr="003F1573">
        <w:rPr>
          <w:sz w:val="28"/>
          <w:szCs w:val="28"/>
        </w:rPr>
        <w:t>Рис. 2.5. Динаміка прямих інвестицій Японії та Китаю у період 2017-2021 рр., млрд дол. США</w:t>
      </w:r>
    </w:p>
    <w:p w:rsidR="00BA5969" w:rsidRPr="003F1573" w:rsidRDefault="00BA5969" w:rsidP="00BA5969">
      <w:pPr>
        <w:spacing w:line="360" w:lineRule="auto"/>
        <w:ind w:firstLine="567"/>
        <w:rPr>
          <w:sz w:val="28"/>
          <w:szCs w:val="28"/>
        </w:rPr>
      </w:pPr>
      <w:r w:rsidRPr="003F1573">
        <w:rPr>
          <w:sz w:val="28"/>
          <w:szCs w:val="28"/>
        </w:rPr>
        <w:t>Джерело: складено автором на основі даних [</w:t>
      </w:r>
      <w:r w:rsidR="00313B0E">
        <w:rPr>
          <w:sz w:val="28"/>
          <w:szCs w:val="28"/>
        </w:rPr>
        <w:t>7</w:t>
      </w:r>
      <w:r w:rsidRPr="003F1573">
        <w:rPr>
          <w:sz w:val="28"/>
          <w:szCs w:val="28"/>
        </w:rPr>
        <w:t>].</w:t>
      </w:r>
    </w:p>
    <w:p w:rsidR="00BA5969" w:rsidRPr="003F1573" w:rsidRDefault="00BA5969" w:rsidP="00BA5969">
      <w:pPr>
        <w:spacing w:line="360" w:lineRule="auto"/>
        <w:ind w:firstLine="567"/>
        <w:rPr>
          <w:sz w:val="28"/>
          <w:szCs w:val="28"/>
        </w:rPr>
      </w:pPr>
    </w:p>
    <w:p w:rsidR="00323713" w:rsidRPr="003F1573" w:rsidRDefault="004A68BD" w:rsidP="008457B6">
      <w:pPr>
        <w:pStyle w:val="af0"/>
        <w:shd w:val="clear" w:color="auto" w:fill="FFFFFF"/>
        <w:spacing w:before="0" w:beforeAutospacing="0" w:after="0" w:afterAutospacing="0" w:line="360" w:lineRule="auto"/>
        <w:ind w:firstLine="567"/>
        <w:jc w:val="both"/>
        <w:rPr>
          <w:sz w:val="28"/>
          <w:szCs w:val="28"/>
          <w:lang w:val="uk-UA"/>
        </w:rPr>
      </w:pPr>
      <w:r w:rsidRPr="003F1573">
        <w:rPr>
          <w:sz w:val="28"/>
          <w:szCs w:val="28"/>
          <w:lang w:val="uk-UA"/>
        </w:rPr>
        <w:t xml:space="preserve">Потоки </w:t>
      </w:r>
      <w:r w:rsidR="009D0FC9" w:rsidRPr="003F1573">
        <w:rPr>
          <w:sz w:val="28"/>
          <w:szCs w:val="28"/>
          <w:lang w:val="uk-UA"/>
        </w:rPr>
        <w:t xml:space="preserve">прямих іноземних інвестицій </w:t>
      </w:r>
      <w:r w:rsidRPr="003F1573">
        <w:rPr>
          <w:sz w:val="28"/>
          <w:szCs w:val="28"/>
          <w:lang w:val="uk-UA"/>
        </w:rPr>
        <w:t>в Японію залишаються низькими в порівнянні з більшістю інших розвинених країн світу і відносно нестабільними.</w:t>
      </w:r>
      <w:r w:rsidR="009D0FC9" w:rsidRPr="003F1573">
        <w:rPr>
          <w:sz w:val="28"/>
          <w:szCs w:val="28"/>
          <w:lang w:val="uk-UA"/>
        </w:rPr>
        <w:t xml:space="preserve"> Протягом 2019 року ця країна залишалася найбільшим інвестором у світі. </w:t>
      </w:r>
      <w:r w:rsidR="002E6BBD" w:rsidRPr="003F1573">
        <w:rPr>
          <w:sz w:val="28"/>
          <w:szCs w:val="28"/>
          <w:lang w:val="uk-UA"/>
        </w:rPr>
        <w:t>Сальдо пр</w:t>
      </w:r>
      <w:r w:rsidR="00A70D36" w:rsidRPr="003F1573">
        <w:rPr>
          <w:sz w:val="28"/>
          <w:szCs w:val="28"/>
          <w:lang w:val="uk-UA"/>
        </w:rPr>
        <w:t>ямих інвестицій протягом 2017-2021 років було додатним, тобто активи перевищували пасиви, але у 2020-2021 рр. почало значно зменшуватися. Однак, незважаючи на це, резиденти Японії все ж таки більше інвестували за кордоном, ніж нерезиденти в цю країну</w:t>
      </w:r>
      <w:r w:rsidR="00B55FBE" w:rsidRPr="003F1573">
        <w:rPr>
          <w:sz w:val="28"/>
          <w:szCs w:val="28"/>
          <w:lang w:val="uk-UA"/>
        </w:rPr>
        <w:t xml:space="preserve">, через прямі іноземні інвестиції. </w:t>
      </w:r>
    </w:p>
    <w:p w:rsidR="00323713" w:rsidRPr="003F1573" w:rsidRDefault="00323713" w:rsidP="00323713">
      <w:pPr>
        <w:pStyle w:val="af0"/>
        <w:shd w:val="clear" w:color="auto" w:fill="FFFFFF"/>
        <w:spacing w:before="0" w:beforeAutospacing="0" w:after="0" w:afterAutospacing="0" w:line="360" w:lineRule="auto"/>
        <w:ind w:firstLine="567"/>
        <w:jc w:val="both"/>
        <w:rPr>
          <w:sz w:val="28"/>
          <w:szCs w:val="28"/>
          <w:lang w:val="uk-UA"/>
        </w:rPr>
      </w:pPr>
      <w:r w:rsidRPr="003F1573">
        <w:rPr>
          <w:sz w:val="28"/>
          <w:szCs w:val="28"/>
          <w:lang w:val="uk-UA"/>
        </w:rPr>
        <w:t>Інвестиції японських транснаціональних корпорацій зросли на 58%, досягнувши рекордних 227 млрд дол. США, завдяки збільшенню числа транскордонних злиттів і поглинань. Японські транснаціональні корпорації подвоїли свої інвестиції в Європі та Північній Америці. США, Великобританія, Франція і Південна Корея були основними країнами-інвесторами і представляли майже 85% припливу прямих іноземних інвестицій. Інвестиції в основному орієнтовані на електричне обладнання, фінанси та страхування, хімічну та фармацевтичну промисловість, виробництво транспортного обладнання та нерухомість</w:t>
      </w:r>
      <w:r w:rsidR="0055691D" w:rsidRPr="003F1573">
        <w:rPr>
          <w:sz w:val="28"/>
          <w:szCs w:val="28"/>
          <w:lang w:val="uk-UA"/>
        </w:rPr>
        <w:t xml:space="preserve"> [1</w:t>
      </w:r>
      <w:r w:rsidR="00313B0E">
        <w:rPr>
          <w:sz w:val="28"/>
          <w:szCs w:val="28"/>
          <w:lang w:val="uk-UA"/>
        </w:rPr>
        <w:t>5</w:t>
      </w:r>
      <w:r w:rsidR="0055691D" w:rsidRPr="003F1573">
        <w:rPr>
          <w:sz w:val="28"/>
          <w:szCs w:val="28"/>
          <w:lang w:val="uk-UA"/>
        </w:rPr>
        <w:t>]</w:t>
      </w:r>
      <w:r w:rsidRPr="003F1573">
        <w:rPr>
          <w:sz w:val="28"/>
          <w:szCs w:val="28"/>
          <w:lang w:val="uk-UA"/>
        </w:rPr>
        <w:t>.</w:t>
      </w:r>
    </w:p>
    <w:p w:rsidR="00BA5969" w:rsidRPr="003F1573" w:rsidRDefault="00323713" w:rsidP="00B82829">
      <w:pPr>
        <w:spacing w:line="360" w:lineRule="auto"/>
        <w:ind w:firstLine="567"/>
        <w:jc w:val="both"/>
        <w:rPr>
          <w:sz w:val="28"/>
          <w:szCs w:val="28"/>
        </w:rPr>
      </w:pPr>
      <w:r w:rsidRPr="003F1573">
        <w:rPr>
          <w:sz w:val="28"/>
          <w:szCs w:val="28"/>
        </w:rPr>
        <w:t>Структура прямих іноземних інвестицій Китаю змінювалася протягом останнього десятиліття, що певною мірою було результатом зусиль уряду, спрямованих на трансформацію Китаю в економіку, в структурі якої переважають галузі з високою доданою вартістю, орієнтованою більшою мірою на сектор послуг як джерел</w:t>
      </w:r>
      <w:r w:rsidR="00550E20" w:rsidRPr="003F1573">
        <w:rPr>
          <w:sz w:val="28"/>
          <w:szCs w:val="28"/>
        </w:rPr>
        <w:t>о</w:t>
      </w:r>
      <w:r w:rsidRPr="003F1573">
        <w:rPr>
          <w:sz w:val="28"/>
          <w:szCs w:val="28"/>
        </w:rPr>
        <w:t xml:space="preserve"> зростання, що регулюється урядом та споживанням.</w:t>
      </w:r>
      <w:r w:rsidR="00B82829" w:rsidRPr="003F1573">
        <w:rPr>
          <w:sz w:val="28"/>
          <w:szCs w:val="28"/>
        </w:rPr>
        <w:t xml:space="preserve"> У</w:t>
      </w:r>
      <w:r w:rsidR="00B55FBE" w:rsidRPr="003F1573">
        <w:rPr>
          <w:sz w:val="28"/>
          <w:szCs w:val="28"/>
        </w:rPr>
        <w:t xml:space="preserve"> даній країні, навпаки, сальдо прямих інвестицій мало від’ємні показники і до того ж, починаючи з 2019 року, ставало все більш дефіцитним</w:t>
      </w:r>
      <w:r w:rsidR="00054CC2" w:rsidRPr="003F1573">
        <w:rPr>
          <w:sz w:val="28"/>
          <w:szCs w:val="28"/>
        </w:rPr>
        <w:t>, причиною чого, імовірно, були карантинні обмеження. Протягом даного періоду часу нерезиденти Китаю значно більше інвестували в цю країну через прямі іноземні інвестиції, ніж резиденти країни інвестували за кордоном.</w:t>
      </w:r>
    </w:p>
    <w:p w:rsidR="00550E20" w:rsidRPr="003F1573" w:rsidRDefault="00550E20" w:rsidP="00550E20">
      <w:pPr>
        <w:spacing w:line="360" w:lineRule="auto"/>
        <w:ind w:firstLine="567"/>
        <w:jc w:val="both"/>
        <w:rPr>
          <w:sz w:val="28"/>
          <w:szCs w:val="28"/>
        </w:rPr>
      </w:pPr>
      <w:r w:rsidRPr="003F1573">
        <w:rPr>
          <w:sz w:val="28"/>
          <w:szCs w:val="28"/>
        </w:rPr>
        <w:t>Зростання інвестицій у секторі послуг Китаю вказує на те, що міжнародні інвестори все частіше розглядають дану країну як ринок «кінцевого призначення», а не джерело дешевої робочої сили. Зі свого боку, підприємства поступово відмовляються від виробництва дешевого експорту і все частіше випускають товари, які є вищими за якістю та розроблені спеціально для задоволення потреб китайського споживача. Також</w:t>
      </w:r>
      <w:r w:rsidR="00F43AE1" w:rsidRPr="003F1573">
        <w:rPr>
          <w:sz w:val="28"/>
          <w:szCs w:val="28"/>
        </w:rPr>
        <w:t>,</w:t>
      </w:r>
      <w:r w:rsidRPr="003F1573">
        <w:rPr>
          <w:sz w:val="28"/>
          <w:szCs w:val="28"/>
        </w:rPr>
        <w:t xml:space="preserve"> таке підвищення прямих іноземних інвестицій в третинний сектор є результатом зміни економічної моделі КНР, оскільки ще 30 років тому робився акцент на </w:t>
      </w:r>
      <w:r w:rsidR="00F43AE1" w:rsidRPr="003F1573">
        <w:rPr>
          <w:sz w:val="28"/>
          <w:szCs w:val="28"/>
        </w:rPr>
        <w:t xml:space="preserve">їх </w:t>
      </w:r>
      <w:r w:rsidRPr="003F1573">
        <w:rPr>
          <w:sz w:val="28"/>
          <w:szCs w:val="28"/>
        </w:rPr>
        <w:t>залучення у виробництво.</w:t>
      </w:r>
    </w:p>
    <w:p w:rsidR="00F43AE1" w:rsidRPr="003F1573" w:rsidRDefault="00F43AE1" w:rsidP="00F43AE1">
      <w:pPr>
        <w:spacing w:line="360" w:lineRule="auto"/>
        <w:ind w:firstLine="567"/>
        <w:jc w:val="both"/>
        <w:rPr>
          <w:sz w:val="28"/>
          <w:szCs w:val="28"/>
        </w:rPr>
      </w:pPr>
      <w:r w:rsidRPr="003F1573">
        <w:rPr>
          <w:sz w:val="28"/>
          <w:szCs w:val="28"/>
        </w:rPr>
        <w:t xml:space="preserve">Японія ж у 2020 році посіла 29 місце з 190 країн у звіті Світового банку «Ведення бізнесу за 2020 рік», що більше в порівнянні з 2019 р., коли вона займала 39 місце. У цієї країни міцна позиція чистого іноземного кредитора, а зовнішні показники в цілому стабільні. Японія активно відкриває свої двері для іноземного бізнесу, оскільки вона прагне створити найкращі умови для іноземних інвесторів за підтримки проглобальної ділової політики </w:t>
      </w:r>
      <w:r w:rsidR="00ED4894" w:rsidRPr="003F1573">
        <w:rPr>
          <w:sz w:val="28"/>
          <w:szCs w:val="28"/>
        </w:rPr>
        <w:t xml:space="preserve">колишнього </w:t>
      </w:r>
      <w:r w:rsidRPr="003F1573">
        <w:rPr>
          <w:sz w:val="28"/>
          <w:szCs w:val="28"/>
        </w:rPr>
        <w:t>прем’єр-міністра Сіндзо Абе, відомої як Abenomics [</w:t>
      </w:r>
      <w:r w:rsidR="0055691D" w:rsidRPr="003F1573">
        <w:rPr>
          <w:sz w:val="28"/>
          <w:szCs w:val="28"/>
        </w:rPr>
        <w:t>1</w:t>
      </w:r>
      <w:r w:rsidR="00313B0E">
        <w:rPr>
          <w:sz w:val="28"/>
          <w:szCs w:val="28"/>
        </w:rPr>
        <w:t>15</w:t>
      </w:r>
      <w:r w:rsidRPr="003F1573">
        <w:rPr>
          <w:sz w:val="28"/>
          <w:szCs w:val="28"/>
        </w:rPr>
        <w:t>]. Ключовими сильними сторонами країни є її позиції лідера в області передових технологій і НДДКР. Потенційні перешкоди для інвестицій в основному є демографічними, мовними та культурними.</w:t>
      </w:r>
    </w:p>
    <w:p w:rsidR="00F43AE1" w:rsidRPr="003F1573" w:rsidRDefault="00F43AE1" w:rsidP="00F43AE1">
      <w:pPr>
        <w:spacing w:line="360" w:lineRule="auto"/>
        <w:ind w:firstLine="567"/>
        <w:jc w:val="both"/>
        <w:rPr>
          <w:sz w:val="28"/>
          <w:szCs w:val="28"/>
        </w:rPr>
      </w:pPr>
      <w:r w:rsidRPr="003F1573">
        <w:rPr>
          <w:sz w:val="28"/>
          <w:szCs w:val="28"/>
        </w:rPr>
        <w:t xml:space="preserve">Однак, катастрофа, </w:t>
      </w:r>
      <w:r w:rsidR="007526D3" w:rsidRPr="003F1573">
        <w:rPr>
          <w:sz w:val="28"/>
          <w:szCs w:val="28"/>
        </w:rPr>
        <w:t>яка</w:t>
      </w:r>
      <w:r w:rsidRPr="003F1573">
        <w:rPr>
          <w:sz w:val="28"/>
          <w:szCs w:val="28"/>
        </w:rPr>
        <w:t xml:space="preserve"> обрушилася на Японію в 2011 році (руйнівний землетрус і цунамі), а також проблеми навколишнього середовища і здоров</w:t>
      </w:r>
      <w:r w:rsidR="00CF54EA" w:rsidRPr="003F1573">
        <w:rPr>
          <w:sz w:val="28"/>
          <w:szCs w:val="28"/>
        </w:rPr>
        <w:t>’</w:t>
      </w:r>
      <w:r w:rsidRPr="003F1573">
        <w:rPr>
          <w:sz w:val="28"/>
          <w:szCs w:val="28"/>
        </w:rPr>
        <w:t>я, пов</w:t>
      </w:r>
      <w:r w:rsidR="00CF54EA" w:rsidRPr="003F1573">
        <w:rPr>
          <w:sz w:val="28"/>
          <w:szCs w:val="28"/>
        </w:rPr>
        <w:t>’</w:t>
      </w:r>
      <w:r w:rsidRPr="003F1573">
        <w:rPr>
          <w:sz w:val="28"/>
          <w:szCs w:val="28"/>
        </w:rPr>
        <w:t>язані з ситуацією на АЕС «Фукусіма</w:t>
      </w:r>
      <w:r w:rsidR="00CF54EA" w:rsidRPr="003F1573">
        <w:rPr>
          <w:sz w:val="28"/>
          <w:szCs w:val="28"/>
        </w:rPr>
        <w:t>-1</w:t>
      </w:r>
      <w:r w:rsidRPr="003F1573">
        <w:rPr>
          <w:sz w:val="28"/>
          <w:szCs w:val="28"/>
        </w:rPr>
        <w:t>», продовжують стримувати майбутні іноземні інвестиції. Проте</w:t>
      </w:r>
      <w:r w:rsidR="00CF54EA" w:rsidRPr="003F1573">
        <w:rPr>
          <w:sz w:val="28"/>
          <w:szCs w:val="28"/>
        </w:rPr>
        <w:t>,</w:t>
      </w:r>
      <w:r w:rsidRPr="003F1573">
        <w:rPr>
          <w:sz w:val="28"/>
          <w:szCs w:val="28"/>
        </w:rPr>
        <w:t xml:space="preserve"> Японія залишається ключовим ринком для інвесторів. Більш</w:t>
      </w:r>
      <w:r w:rsidR="00CF54EA" w:rsidRPr="003F1573">
        <w:rPr>
          <w:sz w:val="28"/>
          <w:szCs w:val="28"/>
        </w:rPr>
        <w:t>е</w:t>
      </w:r>
      <w:r w:rsidRPr="003F1573">
        <w:rPr>
          <w:sz w:val="28"/>
          <w:szCs w:val="28"/>
        </w:rPr>
        <w:t xml:space="preserve"> того, японська економіка без особливих зусиль фінансує відновлення країни завдяки надлишку заощаджень, накопичених за останні роки. Уряд впроваджує правила корпоративного управління, поступово знижуючи ефективний корпоративний податок, </w:t>
      </w:r>
      <w:r w:rsidR="00CF54EA" w:rsidRPr="003F1573">
        <w:rPr>
          <w:sz w:val="28"/>
          <w:szCs w:val="28"/>
        </w:rPr>
        <w:t>та</w:t>
      </w:r>
      <w:r w:rsidRPr="003F1573">
        <w:rPr>
          <w:sz w:val="28"/>
          <w:szCs w:val="28"/>
        </w:rPr>
        <w:t xml:space="preserve"> створив центри досліджень і розробок</w:t>
      </w:r>
      <w:r w:rsidR="00CF54EA" w:rsidRPr="003F1573">
        <w:rPr>
          <w:sz w:val="28"/>
          <w:szCs w:val="28"/>
        </w:rPr>
        <w:t xml:space="preserve">, </w:t>
      </w:r>
      <w:r w:rsidRPr="003F1573">
        <w:rPr>
          <w:sz w:val="28"/>
          <w:szCs w:val="28"/>
        </w:rPr>
        <w:t xml:space="preserve">особливі економічні зони, щоб стати найбільш дружньою до бізнесу країною </w:t>
      </w:r>
      <w:r w:rsidR="00CF54EA" w:rsidRPr="003F1573">
        <w:rPr>
          <w:sz w:val="28"/>
          <w:szCs w:val="28"/>
        </w:rPr>
        <w:t>у</w:t>
      </w:r>
      <w:r w:rsidRPr="003F1573">
        <w:rPr>
          <w:sz w:val="28"/>
          <w:szCs w:val="28"/>
        </w:rPr>
        <w:t xml:space="preserve"> світі.</w:t>
      </w:r>
    </w:p>
    <w:p w:rsidR="00CF54EA" w:rsidRPr="003F1573" w:rsidRDefault="005239F5" w:rsidP="00F43AE1">
      <w:pPr>
        <w:spacing w:line="360" w:lineRule="auto"/>
        <w:ind w:firstLine="567"/>
        <w:jc w:val="both"/>
        <w:rPr>
          <w:sz w:val="28"/>
          <w:szCs w:val="28"/>
        </w:rPr>
      </w:pPr>
      <w:r w:rsidRPr="003F1573">
        <w:rPr>
          <w:sz w:val="28"/>
          <w:szCs w:val="28"/>
        </w:rPr>
        <w:t xml:space="preserve">У 2021 році, коли світова економіка продовжувала зазнавати руйнівного впливу пандемії, світові інвестори продемонстрували впевнене прагнення інвестувати в Китай, що виявилося у рекордному припливі прямих іноземних інвестицій у країну. Стійке зростання служить довгостроковою та надійною основою для економічного розвитку Китаю, а безперервне покращення ділового середовища дозволяє </w:t>
      </w:r>
      <w:r w:rsidR="00AB59B3" w:rsidRPr="003F1573">
        <w:rPr>
          <w:sz w:val="28"/>
          <w:szCs w:val="28"/>
        </w:rPr>
        <w:t xml:space="preserve">зберігати привабливість для іноземного капіталу. Протягом 2022 року ця країна </w:t>
      </w:r>
      <w:r w:rsidR="00564CD4" w:rsidRPr="003F1573">
        <w:rPr>
          <w:sz w:val="28"/>
          <w:szCs w:val="28"/>
        </w:rPr>
        <w:t>продовж</w:t>
      </w:r>
      <w:r w:rsidR="007526D3" w:rsidRPr="003F1573">
        <w:rPr>
          <w:sz w:val="28"/>
          <w:szCs w:val="28"/>
        </w:rPr>
        <w:t>ує</w:t>
      </w:r>
      <w:r w:rsidR="00564CD4" w:rsidRPr="003F1573">
        <w:rPr>
          <w:sz w:val="28"/>
          <w:szCs w:val="28"/>
        </w:rPr>
        <w:t xml:space="preserve"> розширювати відкритість високого рівня, покращувати обслуговування компаній та про</w:t>
      </w:r>
      <w:r w:rsidR="007526D3" w:rsidRPr="003F1573">
        <w:rPr>
          <w:sz w:val="28"/>
          <w:szCs w:val="28"/>
        </w:rPr>
        <w:t>є</w:t>
      </w:r>
      <w:r w:rsidR="00564CD4" w:rsidRPr="003F1573">
        <w:rPr>
          <w:sz w:val="28"/>
          <w:szCs w:val="28"/>
        </w:rPr>
        <w:t xml:space="preserve">ктів за участю іноземного капіталу, а також </w:t>
      </w:r>
      <w:r w:rsidR="007526D3" w:rsidRPr="003F1573">
        <w:rPr>
          <w:sz w:val="28"/>
          <w:szCs w:val="28"/>
        </w:rPr>
        <w:t xml:space="preserve">займатися </w:t>
      </w:r>
      <w:r w:rsidR="00564CD4" w:rsidRPr="003F1573">
        <w:rPr>
          <w:sz w:val="28"/>
          <w:szCs w:val="28"/>
        </w:rPr>
        <w:t>оптиміз</w:t>
      </w:r>
      <w:r w:rsidR="007526D3" w:rsidRPr="003F1573">
        <w:rPr>
          <w:sz w:val="28"/>
          <w:szCs w:val="28"/>
        </w:rPr>
        <w:t>ацією</w:t>
      </w:r>
      <w:r w:rsidR="00564CD4" w:rsidRPr="003F1573">
        <w:rPr>
          <w:sz w:val="28"/>
          <w:szCs w:val="28"/>
        </w:rPr>
        <w:t xml:space="preserve"> ділово</w:t>
      </w:r>
      <w:r w:rsidR="007526D3" w:rsidRPr="003F1573">
        <w:rPr>
          <w:sz w:val="28"/>
          <w:szCs w:val="28"/>
        </w:rPr>
        <w:t>го</w:t>
      </w:r>
      <w:r w:rsidR="00564CD4" w:rsidRPr="003F1573">
        <w:rPr>
          <w:sz w:val="28"/>
          <w:szCs w:val="28"/>
        </w:rPr>
        <w:t xml:space="preserve"> середовища. Китай докладатиме всіх зусиль для залучення більшого обсягу іноземних інвестицій у нові галузі, включаючи передову обробну промисловість, сучасні послуги, високі технології, енергозбереження, захист довкілля та цифрову економіку.</w:t>
      </w:r>
    </w:p>
    <w:p w:rsidR="00564CD4" w:rsidRPr="003F1573" w:rsidRDefault="00564CD4" w:rsidP="00564CD4">
      <w:pPr>
        <w:spacing w:line="360" w:lineRule="auto"/>
        <w:ind w:firstLine="567"/>
        <w:jc w:val="both"/>
        <w:rPr>
          <w:sz w:val="28"/>
          <w:szCs w:val="28"/>
        </w:rPr>
      </w:pPr>
      <w:r w:rsidRPr="003F1573">
        <w:rPr>
          <w:sz w:val="28"/>
          <w:szCs w:val="28"/>
        </w:rPr>
        <w:t>Портфельні інвестиції (активи) протягом 201</w:t>
      </w:r>
      <w:r w:rsidR="00D3200E" w:rsidRPr="003F1573">
        <w:rPr>
          <w:sz w:val="28"/>
          <w:szCs w:val="28"/>
        </w:rPr>
        <w:t>7</w:t>
      </w:r>
      <w:r w:rsidRPr="003F1573">
        <w:rPr>
          <w:sz w:val="28"/>
          <w:szCs w:val="28"/>
        </w:rPr>
        <w:t>-202</w:t>
      </w:r>
      <w:r w:rsidR="00D3200E" w:rsidRPr="003F1573">
        <w:rPr>
          <w:sz w:val="28"/>
          <w:szCs w:val="28"/>
        </w:rPr>
        <w:t>0</w:t>
      </w:r>
      <w:r w:rsidRPr="003F1573">
        <w:rPr>
          <w:sz w:val="28"/>
          <w:szCs w:val="28"/>
        </w:rPr>
        <w:t xml:space="preserve"> років </w:t>
      </w:r>
      <w:r w:rsidR="00D3200E" w:rsidRPr="003F1573">
        <w:rPr>
          <w:sz w:val="28"/>
          <w:szCs w:val="28"/>
        </w:rPr>
        <w:t xml:space="preserve">як у Японії, так і в Китаї </w:t>
      </w:r>
      <w:r w:rsidRPr="003F1573">
        <w:rPr>
          <w:sz w:val="28"/>
          <w:szCs w:val="28"/>
        </w:rPr>
        <w:t>мають додатні показники</w:t>
      </w:r>
      <w:r w:rsidR="00D3200E" w:rsidRPr="003F1573">
        <w:rPr>
          <w:sz w:val="28"/>
          <w:szCs w:val="28"/>
        </w:rPr>
        <w:t xml:space="preserve"> (у 2021 році – тільки в Китаї)</w:t>
      </w:r>
      <w:r w:rsidRPr="003F1573">
        <w:rPr>
          <w:sz w:val="28"/>
          <w:szCs w:val="28"/>
        </w:rPr>
        <w:t xml:space="preserve">, тобто річна вартість цінних іноземних паперів, які контролюють резиденти </w:t>
      </w:r>
      <w:r w:rsidR="00D3200E" w:rsidRPr="003F1573">
        <w:rPr>
          <w:sz w:val="28"/>
          <w:szCs w:val="28"/>
        </w:rPr>
        <w:t>цих країн</w:t>
      </w:r>
      <w:r w:rsidRPr="003F1573">
        <w:rPr>
          <w:sz w:val="28"/>
          <w:szCs w:val="28"/>
        </w:rPr>
        <w:t xml:space="preserve"> за кордоном, протягом цих </w:t>
      </w:r>
      <w:r w:rsidR="00D3200E" w:rsidRPr="003F1573">
        <w:rPr>
          <w:sz w:val="28"/>
          <w:szCs w:val="28"/>
        </w:rPr>
        <w:t>п’яти років</w:t>
      </w:r>
      <w:r w:rsidRPr="003F1573">
        <w:rPr>
          <w:sz w:val="28"/>
          <w:szCs w:val="28"/>
        </w:rPr>
        <w:t xml:space="preserve"> </w:t>
      </w:r>
      <w:r w:rsidR="00D3200E" w:rsidRPr="003F1573">
        <w:rPr>
          <w:sz w:val="28"/>
          <w:szCs w:val="28"/>
        </w:rPr>
        <w:t xml:space="preserve">частково </w:t>
      </w:r>
      <w:r w:rsidRPr="003F1573">
        <w:rPr>
          <w:sz w:val="28"/>
          <w:szCs w:val="28"/>
        </w:rPr>
        <w:t>збільшувалася (див. рис. 2.</w:t>
      </w:r>
      <w:r w:rsidR="00D3200E" w:rsidRPr="003F1573">
        <w:rPr>
          <w:sz w:val="28"/>
          <w:szCs w:val="28"/>
        </w:rPr>
        <w:t>6</w:t>
      </w:r>
      <w:r w:rsidRPr="003F1573">
        <w:rPr>
          <w:sz w:val="28"/>
          <w:szCs w:val="28"/>
        </w:rPr>
        <w:t xml:space="preserve">). </w:t>
      </w:r>
    </w:p>
    <w:p w:rsidR="00054CC2" w:rsidRPr="003F1573" w:rsidRDefault="00054CC2" w:rsidP="00F43AE1">
      <w:pPr>
        <w:spacing w:line="360" w:lineRule="auto"/>
        <w:jc w:val="both"/>
        <w:rPr>
          <w:sz w:val="28"/>
          <w:szCs w:val="28"/>
        </w:rPr>
      </w:pPr>
    </w:p>
    <w:p w:rsidR="004972C0" w:rsidRPr="003F1573" w:rsidRDefault="00716B63" w:rsidP="00716B63">
      <w:pPr>
        <w:spacing w:line="360" w:lineRule="auto"/>
        <w:jc w:val="center"/>
        <w:rPr>
          <w:b/>
          <w:sz w:val="28"/>
          <w:szCs w:val="28"/>
        </w:rPr>
      </w:pPr>
      <w:r w:rsidRPr="003F1573">
        <w:rPr>
          <w:noProof/>
          <w:lang w:eastAsia="uk-UA"/>
        </w:rPr>
        <w:drawing>
          <wp:inline distT="0" distB="0" distL="0" distR="0" wp14:anchorId="0F80FC9E" wp14:editId="6267F08B">
            <wp:extent cx="5610224" cy="2909889"/>
            <wp:effectExtent l="0" t="0" r="10160" b="5080"/>
            <wp:docPr id="9" name="Диаграмма 9">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AB330C07-818A-4B50-AAA7-47D7E711900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2374E0" w:rsidRPr="003F1573" w:rsidRDefault="00D3200E" w:rsidP="00D3200E">
      <w:pPr>
        <w:spacing w:line="360" w:lineRule="auto"/>
        <w:ind w:firstLine="567"/>
        <w:rPr>
          <w:sz w:val="28"/>
          <w:szCs w:val="28"/>
        </w:rPr>
      </w:pPr>
      <w:r w:rsidRPr="003F1573">
        <w:rPr>
          <w:sz w:val="28"/>
          <w:szCs w:val="28"/>
        </w:rPr>
        <w:t>Рис. 2.6. Динаміка портфельних інвестицій Японії та Китаю у період 2017-2021 рр., млрд дол. США</w:t>
      </w:r>
    </w:p>
    <w:p w:rsidR="00D3200E" w:rsidRPr="003F1573" w:rsidRDefault="00D3200E" w:rsidP="00D3200E">
      <w:pPr>
        <w:spacing w:line="360" w:lineRule="auto"/>
        <w:ind w:firstLine="567"/>
        <w:rPr>
          <w:sz w:val="28"/>
          <w:szCs w:val="28"/>
        </w:rPr>
      </w:pPr>
      <w:r w:rsidRPr="003F1573">
        <w:rPr>
          <w:sz w:val="28"/>
          <w:szCs w:val="28"/>
        </w:rPr>
        <w:t>Джерело: складено автором на основі даних [</w:t>
      </w:r>
      <w:r w:rsidR="00313B0E">
        <w:rPr>
          <w:sz w:val="28"/>
          <w:szCs w:val="28"/>
        </w:rPr>
        <w:t>7</w:t>
      </w:r>
      <w:r w:rsidRPr="003F1573">
        <w:rPr>
          <w:sz w:val="28"/>
          <w:szCs w:val="28"/>
        </w:rPr>
        <w:t>].</w:t>
      </w:r>
    </w:p>
    <w:p w:rsidR="00D3200E" w:rsidRPr="003F1573" w:rsidRDefault="00D3200E" w:rsidP="00D3200E">
      <w:pPr>
        <w:spacing w:line="360" w:lineRule="auto"/>
        <w:ind w:firstLine="567"/>
        <w:rPr>
          <w:sz w:val="28"/>
          <w:szCs w:val="28"/>
        </w:rPr>
      </w:pPr>
    </w:p>
    <w:p w:rsidR="004E3EAB" w:rsidRPr="003F1573" w:rsidRDefault="00D11A75" w:rsidP="004E3EAB">
      <w:pPr>
        <w:spacing w:line="360" w:lineRule="auto"/>
        <w:ind w:firstLine="567"/>
        <w:jc w:val="both"/>
        <w:rPr>
          <w:sz w:val="28"/>
          <w:szCs w:val="28"/>
        </w:rPr>
      </w:pPr>
      <w:r w:rsidRPr="003F1573">
        <w:rPr>
          <w:sz w:val="28"/>
          <w:szCs w:val="28"/>
        </w:rPr>
        <w:t xml:space="preserve">Однак, річна вартість японських цінних паперів, які контролюють нерезиденти у цій країні, тобто пасиви, протягом розглянутого періоду часу поступово ставала все меншою, чого не можна стверджувати про вартість китайських цінних паперів, яка постійно коливалася то у бік зростання, то спадання. </w:t>
      </w:r>
      <w:r w:rsidR="004E3EAB" w:rsidRPr="003F1573">
        <w:rPr>
          <w:sz w:val="28"/>
          <w:szCs w:val="28"/>
        </w:rPr>
        <w:t>Сальдо портфельних інвестицій Китаю мало від’ємний показник протягом останніх п’яти років, а Японії – тільки у 2017 та 2021 роках, тобто зміни річної вартості японських й китайських цінних паперів, які контролюють нерезиденти у цих країнах, у цей період часу були більшими за зміни річної вартості цінних іноземних паперів, які контролюються резидентами Японії та Китаю за кордоном. У 2018-2020 роках, навпаки, баланс портфельних інвестицій Японії був додатним за рахунок підвищення у даний період часу річної вартості цінних іноземних паперів, які контролюють резиденти даної країни за кордоном</w:t>
      </w:r>
      <w:r w:rsidR="008E6A98" w:rsidRPr="003F1573">
        <w:rPr>
          <w:sz w:val="28"/>
          <w:szCs w:val="28"/>
        </w:rPr>
        <w:t>.</w:t>
      </w:r>
      <w:r w:rsidR="004E3EAB" w:rsidRPr="003F1573">
        <w:rPr>
          <w:sz w:val="28"/>
          <w:szCs w:val="28"/>
        </w:rPr>
        <w:t xml:space="preserve"> </w:t>
      </w:r>
      <w:r w:rsidR="008E6A98" w:rsidRPr="003F1573">
        <w:rPr>
          <w:sz w:val="28"/>
          <w:szCs w:val="28"/>
        </w:rPr>
        <w:t>П</w:t>
      </w:r>
      <w:r w:rsidR="004E3EAB" w:rsidRPr="003F1573">
        <w:rPr>
          <w:sz w:val="28"/>
          <w:szCs w:val="28"/>
        </w:rPr>
        <w:t xml:space="preserve">роте, з кожним наступним роком </w:t>
      </w:r>
      <w:r w:rsidR="001C365F" w:rsidRPr="003F1573">
        <w:rPr>
          <w:sz w:val="28"/>
          <w:szCs w:val="28"/>
        </w:rPr>
        <w:t>цей</w:t>
      </w:r>
      <w:r w:rsidR="008E6A98" w:rsidRPr="003F1573">
        <w:rPr>
          <w:sz w:val="28"/>
          <w:szCs w:val="28"/>
        </w:rPr>
        <w:t xml:space="preserve"> показник </w:t>
      </w:r>
      <w:r w:rsidR="004E3EAB" w:rsidRPr="003F1573">
        <w:rPr>
          <w:sz w:val="28"/>
          <w:szCs w:val="28"/>
        </w:rPr>
        <w:t>стрімко зменшувався</w:t>
      </w:r>
      <w:r w:rsidR="008E6A98" w:rsidRPr="003F1573">
        <w:rPr>
          <w:sz w:val="28"/>
          <w:szCs w:val="28"/>
        </w:rPr>
        <w:t xml:space="preserve"> і у 2021 році досяг свого мінімуму (-196,64 млрд дол. США).</w:t>
      </w:r>
    </w:p>
    <w:p w:rsidR="00D3200E" w:rsidRPr="003F1573" w:rsidRDefault="008E6A98" w:rsidP="007A72E2">
      <w:pPr>
        <w:spacing w:line="360" w:lineRule="auto"/>
        <w:ind w:firstLine="567"/>
        <w:jc w:val="both"/>
        <w:rPr>
          <w:sz w:val="28"/>
          <w:szCs w:val="28"/>
        </w:rPr>
      </w:pPr>
      <w:r w:rsidRPr="003F1573">
        <w:rPr>
          <w:sz w:val="28"/>
          <w:szCs w:val="28"/>
        </w:rPr>
        <w:t xml:space="preserve">Показники інших інвестицій (активів) були додатними протягом розглянутого періоду часу, окрім 2019 року в Японії. В основному нерезиденти Японії та Китаю збільшували кількість своїх кредитів, позик в цих країнах. Однак, </w:t>
      </w:r>
      <w:r w:rsidR="007A72E2" w:rsidRPr="003F1573">
        <w:rPr>
          <w:sz w:val="28"/>
          <w:szCs w:val="28"/>
        </w:rPr>
        <w:t xml:space="preserve">майже кожного року цей показник суттєво змінював своє значення </w:t>
      </w:r>
      <w:r w:rsidR="001C365F" w:rsidRPr="003F1573">
        <w:rPr>
          <w:sz w:val="28"/>
          <w:szCs w:val="28"/>
        </w:rPr>
        <w:t>в обох країнах</w:t>
      </w:r>
      <w:r w:rsidRPr="003F1573">
        <w:rPr>
          <w:sz w:val="28"/>
          <w:szCs w:val="28"/>
        </w:rPr>
        <w:t xml:space="preserve"> (див. рис. 2.</w:t>
      </w:r>
      <w:r w:rsidR="007A72E2" w:rsidRPr="003F1573">
        <w:rPr>
          <w:sz w:val="28"/>
          <w:szCs w:val="28"/>
        </w:rPr>
        <w:t>7</w:t>
      </w:r>
      <w:r w:rsidRPr="003F1573">
        <w:rPr>
          <w:sz w:val="28"/>
          <w:szCs w:val="28"/>
        </w:rPr>
        <w:t xml:space="preserve">). </w:t>
      </w:r>
    </w:p>
    <w:p w:rsidR="002374E0" w:rsidRPr="003F1573" w:rsidRDefault="006C5486" w:rsidP="006C5486">
      <w:pPr>
        <w:spacing w:line="360" w:lineRule="auto"/>
        <w:jc w:val="center"/>
        <w:rPr>
          <w:b/>
          <w:sz w:val="28"/>
          <w:szCs w:val="28"/>
        </w:rPr>
      </w:pPr>
      <w:r w:rsidRPr="003F1573">
        <w:rPr>
          <w:noProof/>
          <w:lang w:eastAsia="uk-UA"/>
        </w:rPr>
        <w:drawing>
          <wp:inline distT="0" distB="0" distL="0" distR="0" wp14:anchorId="4883F8B6" wp14:editId="09E92D65">
            <wp:extent cx="5514976" cy="2728913"/>
            <wp:effectExtent l="0" t="0" r="9525" b="14605"/>
            <wp:docPr id="10" name="Диаграмма 10">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6896FDA2-5576-40EB-AFFC-BF7A298AB95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7A72E2" w:rsidRPr="003F1573" w:rsidRDefault="007A72E2" w:rsidP="007A72E2">
      <w:pPr>
        <w:spacing w:line="360" w:lineRule="auto"/>
        <w:ind w:firstLine="567"/>
        <w:jc w:val="both"/>
        <w:rPr>
          <w:sz w:val="28"/>
          <w:szCs w:val="28"/>
        </w:rPr>
      </w:pPr>
      <w:r w:rsidRPr="003F1573">
        <w:rPr>
          <w:sz w:val="28"/>
          <w:szCs w:val="28"/>
        </w:rPr>
        <w:t>Рис. 2.7. Динаміка інших інвестицій Японії та Китаю у період 2017-2021 рр., млрд дол. США</w:t>
      </w:r>
    </w:p>
    <w:p w:rsidR="007A72E2" w:rsidRPr="003F1573" w:rsidRDefault="007A72E2" w:rsidP="007A72E2">
      <w:pPr>
        <w:spacing w:line="360" w:lineRule="auto"/>
        <w:ind w:firstLine="567"/>
        <w:jc w:val="both"/>
        <w:rPr>
          <w:sz w:val="28"/>
          <w:szCs w:val="28"/>
        </w:rPr>
      </w:pPr>
      <w:r w:rsidRPr="003F1573">
        <w:rPr>
          <w:sz w:val="28"/>
          <w:szCs w:val="28"/>
        </w:rPr>
        <w:t>Джерело: складено автором на основі даних [</w:t>
      </w:r>
      <w:r w:rsidR="00313B0E">
        <w:rPr>
          <w:sz w:val="28"/>
          <w:szCs w:val="28"/>
        </w:rPr>
        <w:t>7</w:t>
      </w:r>
      <w:r w:rsidRPr="003F1573">
        <w:rPr>
          <w:sz w:val="28"/>
          <w:szCs w:val="28"/>
        </w:rPr>
        <w:t>].</w:t>
      </w:r>
    </w:p>
    <w:p w:rsidR="007A72E2" w:rsidRPr="003F1573" w:rsidRDefault="007A72E2" w:rsidP="007A72E2">
      <w:pPr>
        <w:spacing w:line="360" w:lineRule="auto"/>
        <w:ind w:firstLine="567"/>
        <w:jc w:val="both"/>
        <w:rPr>
          <w:sz w:val="28"/>
          <w:szCs w:val="28"/>
        </w:rPr>
      </w:pPr>
    </w:p>
    <w:p w:rsidR="007A72E2" w:rsidRPr="003F1573" w:rsidRDefault="007A72E2" w:rsidP="007A72E2">
      <w:pPr>
        <w:spacing w:line="360" w:lineRule="auto"/>
        <w:ind w:firstLine="567"/>
        <w:jc w:val="both"/>
        <w:rPr>
          <w:sz w:val="28"/>
          <w:szCs w:val="28"/>
        </w:rPr>
      </w:pPr>
      <w:r w:rsidRPr="003F1573">
        <w:rPr>
          <w:sz w:val="28"/>
          <w:szCs w:val="28"/>
        </w:rPr>
        <w:t>Зі свого боку показник інших інвестицій (пасивів) протягом майже усіх розглянутих років був додатним, окрім лише 2017, 2021 рр. у Японії та 2019 р. у Китаї</w:t>
      </w:r>
      <w:r w:rsidR="00566DF8" w:rsidRPr="003F1573">
        <w:rPr>
          <w:sz w:val="28"/>
          <w:szCs w:val="28"/>
        </w:rPr>
        <w:t xml:space="preserve">, що </w:t>
      </w:r>
      <w:r w:rsidRPr="003F1573">
        <w:rPr>
          <w:sz w:val="28"/>
          <w:szCs w:val="28"/>
        </w:rPr>
        <w:t xml:space="preserve">свідчить про те, що у період цих трьох років нерезиденти даних країн зменшували кількість своїх кредитів або позик у </w:t>
      </w:r>
      <w:r w:rsidR="00C94164" w:rsidRPr="003F1573">
        <w:rPr>
          <w:sz w:val="28"/>
          <w:szCs w:val="28"/>
        </w:rPr>
        <w:t>них</w:t>
      </w:r>
      <w:r w:rsidRPr="003F1573">
        <w:rPr>
          <w:sz w:val="28"/>
          <w:szCs w:val="28"/>
        </w:rPr>
        <w:t xml:space="preserve">, на відміну від </w:t>
      </w:r>
      <w:r w:rsidR="005E33D9" w:rsidRPr="003F1573">
        <w:rPr>
          <w:sz w:val="28"/>
          <w:szCs w:val="28"/>
        </w:rPr>
        <w:t>іншого періоду часу</w:t>
      </w:r>
      <w:r w:rsidRPr="003F1573">
        <w:rPr>
          <w:sz w:val="28"/>
          <w:szCs w:val="28"/>
        </w:rPr>
        <w:t xml:space="preserve">, коли </w:t>
      </w:r>
      <w:r w:rsidR="00566DF8" w:rsidRPr="003F1573">
        <w:rPr>
          <w:sz w:val="28"/>
          <w:szCs w:val="28"/>
        </w:rPr>
        <w:t xml:space="preserve">їх </w:t>
      </w:r>
      <w:r w:rsidRPr="003F1573">
        <w:rPr>
          <w:sz w:val="28"/>
          <w:szCs w:val="28"/>
        </w:rPr>
        <w:t xml:space="preserve">навпаки </w:t>
      </w:r>
      <w:r w:rsidR="00C94164" w:rsidRPr="003F1573">
        <w:rPr>
          <w:sz w:val="28"/>
          <w:szCs w:val="28"/>
        </w:rPr>
        <w:t>з</w:t>
      </w:r>
      <w:r w:rsidRPr="003F1573">
        <w:rPr>
          <w:sz w:val="28"/>
          <w:szCs w:val="28"/>
        </w:rPr>
        <w:t xml:space="preserve">більшували. Сальдо інших інвестицій у </w:t>
      </w:r>
      <w:r w:rsidR="005E33D9" w:rsidRPr="003F1573">
        <w:rPr>
          <w:sz w:val="28"/>
          <w:szCs w:val="28"/>
        </w:rPr>
        <w:t xml:space="preserve">Японії, </w:t>
      </w:r>
      <w:r w:rsidRPr="003F1573">
        <w:rPr>
          <w:sz w:val="28"/>
          <w:szCs w:val="28"/>
        </w:rPr>
        <w:t xml:space="preserve">як бачимо, </w:t>
      </w:r>
      <w:r w:rsidR="005E33D9" w:rsidRPr="003F1573">
        <w:rPr>
          <w:sz w:val="28"/>
          <w:szCs w:val="28"/>
        </w:rPr>
        <w:t xml:space="preserve">в основному </w:t>
      </w:r>
      <w:r w:rsidRPr="003F1573">
        <w:rPr>
          <w:sz w:val="28"/>
          <w:szCs w:val="28"/>
        </w:rPr>
        <w:t xml:space="preserve">від’ємне. Це означає, що пасиви перевищували активи, тобто </w:t>
      </w:r>
      <w:r w:rsidR="005E33D9" w:rsidRPr="003F1573">
        <w:rPr>
          <w:sz w:val="28"/>
          <w:szCs w:val="28"/>
        </w:rPr>
        <w:t xml:space="preserve">японські </w:t>
      </w:r>
      <w:r w:rsidRPr="003F1573">
        <w:rPr>
          <w:sz w:val="28"/>
          <w:szCs w:val="28"/>
        </w:rPr>
        <w:t xml:space="preserve">нерезиденти все ж таки зменшували більшу кількість кредитів чи позик у цій країні, ніж її резиденти за кордоном. </w:t>
      </w:r>
      <w:r w:rsidR="005E33D9" w:rsidRPr="003F1573">
        <w:rPr>
          <w:sz w:val="28"/>
          <w:szCs w:val="28"/>
        </w:rPr>
        <w:t>У Китаї ж, навпаки, сальдо протягом усіх розглянутих років, окрім 2017 р., додатне, активи були більшими за пасиви.</w:t>
      </w:r>
    </w:p>
    <w:p w:rsidR="007A72E2" w:rsidRPr="003F1573" w:rsidRDefault="00967640" w:rsidP="002E5462">
      <w:pPr>
        <w:spacing w:line="360" w:lineRule="auto"/>
        <w:ind w:firstLine="567"/>
        <w:jc w:val="both"/>
        <w:rPr>
          <w:sz w:val="28"/>
          <w:szCs w:val="28"/>
        </w:rPr>
      </w:pPr>
      <w:r w:rsidRPr="003F1573">
        <w:rPr>
          <w:sz w:val="28"/>
          <w:szCs w:val="28"/>
        </w:rPr>
        <w:t xml:space="preserve">Стосовно резервних активів платіжного балансу Японії та Китаю, то, в порівнянні з 2021 р., у період 2017-2020 років в обох країнах їх було значно менше за рахунок суттєвого зниження кількості інших резервних активів у той час </w:t>
      </w:r>
      <w:r w:rsidRPr="003F1573">
        <w:rPr>
          <w:sz w:val="28"/>
        </w:rPr>
        <w:t>(включаючи фінансові похідні, позички небанківським нерезидентам тощо</w:t>
      </w:r>
      <w:r w:rsidRPr="003F1573">
        <w:rPr>
          <w:sz w:val="28"/>
          <w:szCs w:val="28"/>
        </w:rPr>
        <w:t>). Коштів</w:t>
      </w:r>
      <w:r w:rsidR="00313B0E">
        <w:rPr>
          <w:sz w:val="28"/>
          <w:szCs w:val="28"/>
        </w:rPr>
        <w:t xml:space="preserve"> у вигляді банківського золота </w:t>
      </w:r>
      <w:r w:rsidRPr="003F1573">
        <w:rPr>
          <w:sz w:val="28"/>
          <w:szCs w:val="28"/>
        </w:rPr>
        <w:t xml:space="preserve">у даних країнах немає. Найбільший запас резервів як в Японії, так і у Китаї був у 2021 році </w:t>
      </w:r>
      <w:r w:rsidR="002E5462" w:rsidRPr="003F1573">
        <w:rPr>
          <w:sz w:val="28"/>
          <w:szCs w:val="28"/>
        </w:rPr>
        <w:t>–</w:t>
      </w:r>
      <w:r w:rsidRPr="003F1573">
        <w:rPr>
          <w:sz w:val="28"/>
          <w:szCs w:val="28"/>
        </w:rPr>
        <w:t xml:space="preserve"> </w:t>
      </w:r>
      <w:r w:rsidR="002E5462" w:rsidRPr="003F1573">
        <w:rPr>
          <w:sz w:val="28"/>
          <w:szCs w:val="28"/>
        </w:rPr>
        <w:t>62,77 та 189, 51 млрд дол. США відповідно</w:t>
      </w:r>
      <w:r w:rsidRPr="003F1573">
        <w:rPr>
          <w:sz w:val="28"/>
          <w:szCs w:val="28"/>
        </w:rPr>
        <w:t xml:space="preserve"> (див. рис. 2.</w:t>
      </w:r>
      <w:r w:rsidR="002E5462" w:rsidRPr="003F1573">
        <w:rPr>
          <w:sz w:val="28"/>
          <w:szCs w:val="28"/>
        </w:rPr>
        <w:t>8</w:t>
      </w:r>
      <w:r w:rsidRPr="003F1573">
        <w:rPr>
          <w:sz w:val="28"/>
          <w:szCs w:val="28"/>
        </w:rPr>
        <w:t>).</w:t>
      </w:r>
    </w:p>
    <w:p w:rsidR="002374E0" w:rsidRPr="003F1573" w:rsidRDefault="006643FD" w:rsidP="006643FD">
      <w:pPr>
        <w:spacing w:line="360" w:lineRule="auto"/>
        <w:jc w:val="center"/>
        <w:rPr>
          <w:b/>
          <w:sz w:val="28"/>
          <w:szCs w:val="28"/>
        </w:rPr>
      </w:pPr>
      <w:r w:rsidRPr="003F1573">
        <w:rPr>
          <w:noProof/>
          <w:lang w:eastAsia="uk-UA"/>
        </w:rPr>
        <w:drawing>
          <wp:inline distT="0" distB="0" distL="0" distR="0" wp14:anchorId="517F35E9" wp14:editId="18440AA8">
            <wp:extent cx="6067426" cy="3300414"/>
            <wp:effectExtent l="0" t="0" r="9525" b="14605"/>
            <wp:docPr id="11" name="Диаграмма 11">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9B249D77-8BF0-457C-9435-B801B200699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2374E0" w:rsidRPr="003F1573" w:rsidRDefault="002E5462" w:rsidP="002E5462">
      <w:pPr>
        <w:spacing w:line="360" w:lineRule="auto"/>
        <w:ind w:firstLine="567"/>
        <w:rPr>
          <w:sz w:val="28"/>
          <w:szCs w:val="28"/>
        </w:rPr>
      </w:pPr>
      <w:r w:rsidRPr="003F1573">
        <w:rPr>
          <w:sz w:val="28"/>
          <w:szCs w:val="28"/>
        </w:rPr>
        <w:t>Рис. 2.8. Динаміка резервних активів Японії та Китаю у період 2017-2021 рр., млрд дол. США</w:t>
      </w:r>
    </w:p>
    <w:p w:rsidR="002E5462" w:rsidRPr="003F1573" w:rsidRDefault="002E5462" w:rsidP="002E5462">
      <w:pPr>
        <w:spacing w:line="360" w:lineRule="auto"/>
        <w:ind w:firstLine="567"/>
        <w:rPr>
          <w:sz w:val="28"/>
          <w:szCs w:val="28"/>
        </w:rPr>
      </w:pPr>
      <w:r w:rsidRPr="003F1573">
        <w:rPr>
          <w:sz w:val="28"/>
          <w:szCs w:val="28"/>
        </w:rPr>
        <w:t>Джерело: складено автором на основі даних [</w:t>
      </w:r>
      <w:r w:rsidR="00313B0E">
        <w:rPr>
          <w:sz w:val="28"/>
          <w:szCs w:val="28"/>
        </w:rPr>
        <w:t>7</w:t>
      </w:r>
      <w:r w:rsidRPr="003F1573">
        <w:rPr>
          <w:sz w:val="28"/>
          <w:szCs w:val="28"/>
        </w:rPr>
        <w:t>].</w:t>
      </w:r>
    </w:p>
    <w:p w:rsidR="002E5462" w:rsidRPr="003F1573" w:rsidRDefault="002E5462" w:rsidP="002E5462">
      <w:pPr>
        <w:spacing w:line="360" w:lineRule="auto"/>
        <w:ind w:firstLine="567"/>
        <w:rPr>
          <w:sz w:val="28"/>
          <w:szCs w:val="28"/>
        </w:rPr>
      </w:pPr>
    </w:p>
    <w:p w:rsidR="002E5462" w:rsidRPr="003F1573" w:rsidRDefault="002E5462" w:rsidP="002E5462">
      <w:pPr>
        <w:spacing w:line="360" w:lineRule="auto"/>
        <w:ind w:firstLine="567"/>
        <w:jc w:val="both"/>
        <w:rPr>
          <w:sz w:val="28"/>
        </w:rPr>
      </w:pPr>
      <w:r w:rsidRPr="003F1573">
        <w:rPr>
          <w:sz w:val="28"/>
        </w:rPr>
        <w:t xml:space="preserve">Щодо особливої форми активів, а саме коштів в іноземній валюті від МВФ, які Японія </w:t>
      </w:r>
      <w:r w:rsidR="008B6943" w:rsidRPr="003F1573">
        <w:rPr>
          <w:sz w:val="28"/>
        </w:rPr>
        <w:t>та Китай</w:t>
      </w:r>
      <w:r w:rsidRPr="003F1573">
        <w:rPr>
          <w:sz w:val="28"/>
        </w:rPr>
        <w:t xml:space="preserve"> ма</w:t>
      </w:r>
      <w:r w:rsidR="008B6943" w:rsidRPr="003F1573">
        <w:rPr>
          <w:sz w:val="28"/>
        </w:rPr>
        <w:t>ють</w:t>
      </w:r>
      <w:r w:rsidRPr="003F1573">
        <w:rPr>
          <w:sz w:val="28"/>
        </w:rPr>
        <w:t xml:space="preserve"> право отримувати автоматично, то їхня кількість була досить незначною протягом розглянутого періоду часу</w:t>
      </w:r>
      <w:r w:rsidR="008B6943" w:rsidRPr="003F1573">
        <w:rPr>
          <w:sz w:val="28"/>
        </w:rPr>
        <w:t>, окрім 2021 року в Китаї,</w:t>
      </w:r>
      <w:r w:rsidRPr="003F1573">
        <w:rPr>
          <w:sz w:val="28"/>
        </w:rPr>
        <w:t xml:space="preserve"> і складала в середньому </w:t>
      </w:r>
      <w:r w:rsidR="008B6943" w:rsidRPr="003F1573">
        <w:rPr>
          <w:sz w:val="28"/>
        </w:rPr>
        <w:t>-0,36</w:t>
      </w:r>
      <w:r w:rsidRPr="003F1573">
        <w:rPr>
          <w:sz w:val="28"/>
        </w:rPr>
        <w:t xml:space="preserve"> млрд дол. США</w:t>
      </w:r>
      <w:r w:rsidR="008B6943" w:rsidRPr="003F1573">
        <w:rPr>
          <w:sz w:val="28"/>
        </w:rPr>
        <w:t xml:space="preserve"> в Японії й 0,137 млрд дол. США у Китаї</w:t>
      </w:r>
      <w:r w:rsidRPr="003F1573">
        <w:rPr>
          <w:sz w:val="28"/>
        </w:rPr>
        <w:t xml:space="preserve">. Тобто, це той ліміт, у межах якого </w:t>
      </w:r>
      <w:r w:rsidR="008B6943" w:rsidRPr="003F1573">
        <w:rPr>
          <w:sz w:val="28"/>
        </w:rPr>
        <w:t>дані країни</w:t>
      </w:r>
      <w:r w:rsidRPr="003F1573">
        <w:rPr>
          <w:sz w:val="28"/>
        </w:rPr>
        <w:t xml:space="preserve"> автоматично отриму</w:t>
      </w:r>
      <w:r w:rsidR="008B6943" w:rsidRPr="003F1573">
        <w:rPr>
          <w:sz w:val="28"/>
        </w:rPr>
        <w:t>ють</w:t>
      </w:r>
      <w:r w:rsidRPr="003F1573">
        <w:rPr>
          <w:sz w:val="28"/>
        </w:rPr>
        <w:t xml:space="preserve"> від Фонду необхідну ї</w:t>
      </w:r>
      <w:r w:rsidR="008B6943" w:rsidRPr="003F1573">
        <w:rPr>
          <w:sz w:val="28"/>
        </w:rPr>
        <w:t>м</w:t>
      </w:r>
      <w:r w:rsidRPr="003F1573">
        <w:rPr>
          <w:sz w:val="28"/>
        </w:rPr>
        <w:t xml:space="preserve"> іноземну валюту. </w:t>
      </w:r>
    </w:p>
    <w:p w:rsidR="002E5462" w:rsidRPr="003F1573" w:rsidRDefault="002E5462" w:rsidP="002E5462">
      <w:pPr>
        <w:spacing w:line="360" w:lineRule="auto"/>
        <w:ind w:firstLine="567"/>
        <w:jc w:val="both"/>
        <w:rPr>
          <w:sz w:val="28"/>
        </w:rPr>
      </w:pPr>
      <w:bookmarkStart w:id="1" w:name="_Hlk102339976"/>
      <w:r w:rsidRPr="003F1573">
        <w:rPr>
          <w:sz w:val="28"/>
        </w:rPr>
        <w:t xml:space="preserve">Відносно спеціальних прав запозичення, компоненту резервів </w:t>
      </w:r>
      <w:r w:rsidR="008B6943" w:rsidRPr="003F1573">
        <w:rPr>
          <w:sz w:val="28"/>
        </w:rPr>
        <w:t>цих країн</w:t>
      </w:r>
      <w:r w:rsidRPr="003F1573">
        <w:rPr>
          <w:sz w:val="28"/>
        </w:rPr>
        <w:t>, що являє собою запаси коштів в емітованих МВФ міжнародних резервних і платіжних засобах, які розподіляються між країнами-членами пропорційно до їхніх квот [</w:t>
      </w:r>
      <w:r w:rsidR="00C46BC9" w:rsidRPr="003F1573">
        <w:rPr>
          <w:sz w:val="28"/>
        </w:rPr>
        <w:t>1</w:t>
      </w:r>
      <w:r w:rsidR="00313B0E">
        <w:rPr>
          <w:sz w:val="28"/>
        </w:rPr>
        <w:t>7</w:t>
      </w:r>
      <w:r w:rsidRPr="003F1573">
        <w:rPr>
          <w:sz w:val="28"/>
        </w:rPr>
        <w:t xml:space="preserve">], то протягом тих </w:t>
      </w:r>
      <w:r w:rsidR="008B6943" w:rsidRPr="003F1573">
        <w:rPr>
          <w:sz w:val="28"/>
        </w:rPr>
        <w:t>п’яти</w:t>
      </w:r>
      <w:r w:rsidRPr="003F1573">
        <w:rPr>
          <w:sz w:val="28"/>
        </w:rPr>
        <w:t xml:space="preserve"> років, які були розглянуті, їхня кількість</w:t>
      </w:r>
      <w:r w:rsidR="00FA6FEA" w:rsidRPr="003F1573">
        <w:rPr>
          <w:sz w:val="28"/>
        </w:rPr>
        <w:t xml:space="preserve"> в обох країнах</w:t>
      </w:r>
      <w:r w:rsidRPr="003F1573">
        <w:rPr>
          <w:sz w:val="28"/>
        </w:rPr>
        <w:t xml:space="preserve"> </w:t>
      </w:r>
      <w:r w:rsidR="00FA6FEA" w:rsidRPr="003F1573">
        <w:rPr>
          <w:sz w:val="28"/>
        </w:rPr>
        <w:t xml:space="preserve">значно збільшилася у 2021 році до 43,36 та 42,56 млрд дол. США у Японії й Китаї відповідно. Протягом іншого періоду часу цей показник </w:t>
      </w:r>
      <w:r w:rsidRPr="003F1573">
        <w:rPr>
          <w:sz w:val="28"/>
        </w:rPr>
        <w:t>колива</w:t>
      </w:r>
      <w:r w:rsidR="00FA6FEA" w:rsidRPr="003F1573">
        <w:rPr>
          <w:sz w:val="28"/>
        </w:rPr>
        <w:t>вся</w:t>
      </w:r>
      <w:r w:rsidRPr="003F1573">
        <w:rPr>
          <w:sz w:val="28"/>
        </w:rPr>
        <w:t xml:space="preserve"> в середньому у межах 0,</w:t>
      </w:r>
      <w:r w:rsidR="006203F9" w:rsidRPr="003F1573">
        <w:rPr>
          <w:sz w:val="28"/>
        </w:rPr>
        <w:t>2</w:t>
      </w:r>
      <w:r w:rsidRPr="003F1573">
        <w:rPr>
          <w:sz w:val="28"/>
        </w:rPr>
        <w:t xml:space="preserve"> млрд дол. США </w:t>
      </w:r>
      <w:r w:rsidR="006203F9" w:rsidRPr="003F1573">
        <w:rPr>
          <w:sz w:val="28"/>
        </w:rPr>
        <w:t>в Японії та 0,28 млрд дол. США в Китаї.</w:t>
      </w:r>
    </w:p>
    <w:p w:rsidR="006203F9" w:rsidRPr="003F1573" w:rsidRDefault="006203F9" w:rsidP="006203F9">
      <w:pPr>
        <w:spacing w:line="360" w:lineRule="auto"/>
        <w:ind w:firstLine="567"/>
        <w:jc w:val="both"/>
        <w:rPr>
          <w:sz w:val="28"/>
          <w:szCs w:val="28"/>
        </w:rPr>
      </w:pPr>
      <w:r w:rsidRPr="003F1573">
        <w:rPr>
          <w:sz w:val="28"/>
          <w:szCs w:val="28"/>
        </w:rPr>
        <w:t>Похідні фінансові інструменти (деривативи) – це фінансові контракти або фінансові інструменти, що походять з інших фінансових інструментів, які називають базовими. Основою такого фінансового контракту (інструменту) можуть бути активи (наприклад, товари, акції, житлові застави, нерухоме майно, облігації, позики), індекси (на відсоткові ставки, валютні курси, фондові індекси, індекси споживчих цін) або інші умови [</w:t>
      </w:r>
      <w:r w:rsidR="00313B0E">
        <w:rPr>
          <w:sz w:val="28"/>
          <w:szCs w:val="28"/>
        </w:rPr>
        <w:t>18</w:t>
      </w:r>
      <w:r w:rsidRPr="003F1573">
        <w:rPr>
          <w:sz w:val="28"/>
          <w:szCs w:val="28"/>
        </w:rPr>
        <w:t xml:space="preserve">]. </w:t>
      </w:r>
      <w:r w:rsidR="004E71D0" w:rsidRPr="003F1573">
        <w:rPr>
          <w:sz w:val="28"/>
          <w:szCs w:val="28"/>
        </w:rPr>
        <w:t>Протягом 2018-2021 років</w:t>
      </w:r>
      <w:r w:rsidRPr="003F1573">
        <w:rPr>
          <w:sz w:val="28"/>
          <w:szCs w:val="28"/>
        </w:rPr>
        <w:t xml:space="preserve"> кількість деривативів </w:t>
      </w:r>
      <w:r w:rsidR="004E71D0" w:rsidRPr="003F1573">
        <w:rPr>
          <w:sz w:val="28"/>
          <w:szCs w:val="28"/>
        </w:rPr>
        <w:t xml:space="preserve">у Японії </w:t>
      </w:r>
      <w:r w:rsidRPr="003F1573">
        <w:rPr>
          <w:sz w:val="28"/>
          <w:szCs w:val="28"/>
        </w:rPr>
        <w:t>стрімко зменшилася у порівнянні з 201</w:t>
      </w:r>
      <w:r w:rsidR="004E71D0" w:rsidRPr="003F1573">
        <w:rPr>
          <w:sz w:val="28"/>
          <w:szCs w:val="28"/>
        </w:rPr>
        <w:t xml:space="preserve">7 </w:t>
      </w:r>
      <w:r w:rsidRPr="003F1573">
        <w:rPr>
          <w:sz w:val="28"/>
          <w:szCs w:val="28"/>
        </w:rPr>
        <w:t>р., що сталося більшою мірою через значне перевищення виплат над надходженнями</w:t>
      </w:r>
      <w:r w:rsidR="004E71D0" w:rsidRPr="003F1573">
        <w:rPr>
          <w:sz w:val="28"/>
          <w:szCs w:val="28"/>
        </w:rPr>
        <w:t xml:space="preserve">, а у Китаї за той самий період часу, навпаки, </w:t>
      </w:r>
      <w:r w:rsidR="00C242D8" w:rsidRPr="003F1573">
        <w:rPr>
          <w:sz w:val="28"/>
          <w:szCs w:val="28"/>
        </w:rPr>
        <w:t>помітно зросла, окрім лише 2021 року.</w:t>
      </w:r>
    </w:p>
    <w:p w:rsidR="00C242D8" w:rsidRPr="003F1573" w:rsidRDefault="00C242D8" w:rsidP="006203F9">
      <w:pPr>
        <w:spacing w:line="360" w:lineRule="auto"/>
        <w:ind w:firstLine="567"/>
        <w:jc w:val="both"/>
        <w:rPr>
          <w:sz w:val="28"/>
          <w:szCs w:val="28"/>
        </w:rPr>
      </w:pPr>
    </w:p>
    <w:p w:rsidR="00787608" w:rsidRPr="003F1573" w:rsidRDefault="00787608" w:rsidP="007104C3">
      <w:pPr>
        <w:spacing w:line="360" w:lineRule="auto"/>
        <w:ind w:firstLine="567"/>
        <w:jc w:val="both"/>
        <w:rPr>
          <w:b/>
          <w:bCs/>
          <w:sz w:val="28"/>
        </w:rPr>
      </w:pPr>
      <w:r w:rsidRPr="003F1573">
        <w:rPr>
          <w:b/>
          <w:bCs/>
          <w:sz w:val="28"/>
        </w:rPr>
        <w:t>2.</w:t>
      </w:r>
      <w:r w:rsidR="002E2366" w:rsidRPr="003F1573">
        <w:rPr>
          <w:b/>
          <w:bCs/>
          <w:sz w:val="28"/>
        </w:rPr>
        <w:t>3</w:t>
      </w:r>
      <w:r w:rsidRPr="003F1573">
        <w:rPr>
          <w:b/>
          <w:bCs/>
          <w:sz w:val="28"/>
        </w:rPr>
        <w:t xml:space="preserve">. </w:t>
      </w:r>
      <w:r w:rsidRPr="003F1573">
        <w:rPr>
          <w:b/>
          <w:sz w:val="28"/>
        </w:rPr>
        <w:t xml:space="preserve">Аналіз операцій </w:t>
      </w:r>
      <w:r w:rsidR="00313B0E">
        <w:rPr>
          <w:b/>
          <w:sz w:val="28"/>
          <w:lang w:val="en-US"/>
        </w:rPr>
        <w:t>C</w:t>
      </w:r>
      <w:r w:rsidRPr="003F1573">
        <w:rPr>
          <w:b/>
          <w:sz w:val="28"/>
        </w:rPr>
        <w:t xml:space="preserve">arry </w:t>
      </w:r>
      <w:r w:rsidR="00313B0E">
        <w:rPr>
          <w:b/>
          <w:sz w:val="28"/>
          <w:lang w:val="en-US"/>
        </w:rPr>
        <w:t>T</w:t>
      </w:r>
      <w:r w:rsidRPr="003F1573">
        <w:rPr>
          <w:b/>
          <w:sz w:val="28"/>
        </w:rPr>
        <w:t>rade з державними облігаціями Японії, Китаю та облігаціями України</w:t>
      </w:r>
    </w:p>
    <w:p w:rsidR="00787608" w:rsidRPr="003F1573" w:rsidRDefault="0008691D" w:rsidP="00BC2D39">
      <w:pPr>
        <w:spacing w:line="360" w:lineRule="auto"/>
        <w:ind w:firstLine="567"/>
        <w:jc w:val="both"/>
        <w:rPr>
          <w:bCs/>
          <w:sz w:val="28"/>
        </w:rPr>
      </w:pPr>
      <w:r w:rsidRPr="003F1573">
        <w:rPr>
          <w:bCs/>
          <w:sz w:val="28"/>
        </w:rPr>
        <w:t xml:space="preserve">Carry </w:t>
      </w:r>
      <w:r w:rsidR="00313B0E">
        <w:rPr>
          <w:bCs/>
          <w:sz w:val="28"/>
          <w:lang w:val="en-US"/>
        </w:rPr>
        <w:t>T</w:t>
      </w:r>
      <w:r w:rsidRPr="003F1573">
        <w:rPr>
          <w:bCs/>
          <w:sz w:val="28"/>
        </w:rPr>
        <w:t xml:space="preserve">rade – стратегія заробітку на різниці відсоткових ставок у різних країнах. </w:t>
      </w:r>
      <w:r w:rsidR="00AC01DB" w:rsidRPr="003F1573">
        <w:rPr>
          <w:bCs/>
          <w:sz w:val="28"/>
        </w:rPr>
        <w:t>Інвестор запозичує грош</w:t>
      </w:r>
      <w:r w:rsidR="002429C1" w:rsidRPr="003F1573">
        <w:rPr>
          <w:bCs/>
          <w:sz w:val="28"/>
        </w:rPr>
        <w:t>і</w:t>
      </w:r>
      <w:r w:rsidR="00AC01DB" w:rsidRPr="003F1573">
        <w:rPr>
          <w:bCs/>
          <w:sz w:val="28"/>
        </w:rPr>
        <w:t xml:space="preserve"> у валюті держави, яка встановила низькі відсоткові ставки (як правило, мова йде про розвинені країни). Потім конвертує</w:t>
      </w:r>
      <w:r w:rsidR="002429C1" w:rsidRPr="003F1573">
        <w:rPr>
          <w:bCs/>
          <w:sz w:val="28"/>
        </w:rPr>
        <w:t xml:space="preserve"> їх</w:t>
      </w:r>
      <w:r w:rsidR="00AC01DB" w:rsidRPr="003F1573">
        <w:rPr>
          <w:bCs/>
          <w:sz w:val="28"/>
        </w:rPr>
        <w:t xml:space="preserve"> в іншу валюту та вкладає у боргові інструменти держав, які встановили високі відсоткові ставки. Зазвичай, це країни, які розвиваються. </w:t>
      </w:r>
    </w:p>
    <w:p w:rsidR="00891594" w:rsidRPr="003F1573" w:rsidRDefault="00AB6F85" w:rsidP="00BC2D39">
      <w:pPr>
        <w:spacing w:line="360" w:lineRule="auto"/>
        <w:ind w:firstLine="567"/>
        <w:jc w:val="both"/>
        <w:rPr>
          <w:bCs/>
          <w:sz w:val="28"/>
        </w:rPr>
      </w:pPr>
      <w:r w:rsidRPr="003F1573">
        <w:rPr>
          <w:bCs/>
          <w:sz w:val="28"/>
        </w:rPr>
        <w:t>Однак, існують деякі нюанси. Здається, що carry trade – безпрограшна стратегія заро</w:t>
      </w:r>
      <w:r w:rsidR="002429C1" w:rsidRPr="003F1573">
        <w:rPr>
          <w:bCs/>
          <w:sz w:val="28"/>
        </w:rPr>
        <w:t>бі</w:t>
      </w:r>
      <w:r w:rsidRPr="003F1573">
        <w:rPr>
          <w:bCs/>
          <w:sz w:val="28"/>
        </w:rPr>
        <w:t xml:space="preserve">тку. Проте, це не зовсім так. </w:t>
      </w:r>
      <w:r w:rsidR="00FB383B" w:rsidRPr="003F1573">
        <w:rPr>
          <w:bCs/>
          <w:sz w:val="28"/>
        </w:rPr>
        <w:t xml:space="preserve">Даний вид інвестування пов’язаний із суттєвими складнощами. </w:t>
      </w:r>
      <w:r w:rsidRPr="003F1573">
        <w:rPr>
          <w:bCs/>
          <w:sz w:val="28"/>
        </w:rPr>
        <w:t>По-перше,</w:t>
      </w:r>
      <w:r w:rsidR="00FB383B" w:rsidRPr="003F1573">
        <w:rPr>
          <w:bCs/>
          <w:sz w:val="28"/>
        </w:rPr>
        <w:t xml:space="preserve"> при розрахунках потрібно врахувати інфляцію в обох державах, де інвестор планує займати та інвестувати. По-друге, інвестиції несуть у собі серйозні ризики, адже у разі дефолту в країні, куди вкладені гроші, або значного падіння курсу національної валюти інвестор ризикує не лише не заробити, а й залишитися із боргом банку, де взяв кредит. По-третє, інвестори carry trade стикаються із фінансовими витратами – податками, комісіями. По-четверте, важливо враховувати ризик змін грошово-кредитної політики регуляторів, які ведуть </w:t>
      </w:r>
      <w:r w:rsidR="00891594" w:rsidRPr="003F1573">
        <w:rPr>
          <w:bCs/>
          <w:sz w:val="28"/>
        </w:rPr>
        <w:t xml:space="preserve">до </w:t>
      </w:r>
      <w:r w:rsidR="00FB383B" w:rsidRPr="003F1573">
        <w:rPr>
          <w:bCs/>
          <w:sz w:val="28"/>
        </w:rPr>
        <w:t>зниження п</w:t>
      </w:r>
      <w:r w:rsidR="00891594" w:rsidRPr="003F1573">
        <w:rPr>
          <w:bCs/>
          <w:sz w:val="28"/>
        </w:rPr>
        <w:t xml:space="preserve">ривабливості високоприбуткових валют. Для здійснення операцій carry trade іноземні інвестори шукають баланс між розміром ставки </w:t>
      </w:r>
      <w:r w:rsidR="001B35D1" w:rsidRPr="003F1573">
        <w:rPr>
          <w:bCs/>
          <w:sz w:val="28"/>
        </w:rPr>
        <w:t xml:space="preserve">в </w:t>
      </w:r>
      <w:r w:rsidR="00891594" w:rsidRPr="003F1573">
        <w:rPr>
          <w:bCs/>
          <w:sz w:val="28"/>
        </w:rPr>
        <w:t>інозем</w:t>
      </w:r>
      <w:r w:rsidR="001B35D1" w:rsidRPr="003F1573">
        <w:rPr>
          <w:bCs/>
          <w:sz w:val="28"/>
        </w:rPr>
        <w:t>ній</w:t>
      </w:r>
      <w:r w:rsidR="00891594" w:rsidRPr="003F1573">
        <w:rPr>
          <w:bCs/>
          <w:sz w:val="28"/>
        </w:rPr>
        <w:t xml:space="preserve"> валют</w:t>
      </w:r>
      <w:r w:rsidR="001B35D1" w:rsidRPr="003F1573">
        <w:rPr>
          <w:bCs/>
          <w:sz w:val="28"/>
        </w:rPr>
        <w:t>і</w:t>
      </w:r>
      <w:r w:rsidR="00891594" w:rsidRPr="003F1573">
        <w:rPr>
          <w:bCs/>
          <w:sz w:val="28"/>
        </w:rPr>
        <w:t xml:space="preserve"> та стійкістю іноземної валюти (як правило, існує прямий зв’язок – чим вища ставка, тим вища волатильність</w:t>
      </w:r>
      <w:r w:rsidR="002429C1" w:rsidRPr="003F1573">
        <w:rPr>
          <w:bCs/>
          <w:sz w:val="28"/>
        </w:rPr>
        <w:t xml:space="preserve"> валютного курсу</w:t>
      </w:r>
      <w:r w:rsidR="00891594" w:rsidRPr="003F1573">
        <w:rPr>
          <w:bCs/>
          <w:sz w:val="28"/>
        </w:rPr>
        <w:t>) [</w:t>
      </w:r>
      <w:r w:rsidR="000675F4" w:rsidRPr="003F1573">
        <w:rPr>
          <w:bCs/>
          <w:sz w:val="28"/>
        </w:rPr>
        <w:t>2</w:t>
      </w:r>
      <w:r w:rsidR="00313B0E">
        <w:rPr>
          <w:bCs/>
          <w:sz w:val="28"/>
          <w:lang w:val="en-US"/>
        </w:rPr>
        <w:t>5</w:t>
      </w:r>
      <w:r w:rsidR="00891594" w:rsidRPr="003F1573">
        <w:rPr>
          <w:bCs/>
          <w:sz w:val="28"/>
        </w:rPr>
        <w:t>].</w:t>
      </w:r>
    </w:p>
    <w:p w:rsidR="00AB6F85" w:rsidRPr="003F1573" w:rsidRDefault="00AB6F85" w:rsidP="00BC2D39">
      <w:pPr>
        <w:spacing w:line="360" w:lineRule="auto"/>
        <w:ind w:firstLine="567"/>
        <w:jc w:val="both"/>
        <w:rPr>
          <w:bCs/>
          <w:sz w:val="28"/>
        </w:rPr>
      </w:pPr>
      <w:r w:rsidRPr="003F1573">
        <w:rPr>
          <w:bCs/>
          <w:sz w:val="28"/>
        </w:rPr>
        <w:t xml:space="preserve"> </w:t>
      </w:r>
      <w:r w:rsidR="001B35D1" w:rsidRPr="003F1573">
        <w:rPr>
          <w:bCs/>
          <w:sz w:val="28"/>
        </w:rPr>
        <w:t xml:space="preserve">Для того, аби проаналізувати операції carry trade з державними облігаціями Японії, Китаю та облігаціями України, пропонуємо виконати наступні розрахунки. У якості валюти фондування було обрано </w:t>
      </w:r>
      <w:r w:rsidR="00663FF7" w:rsidRPr="003F1573">
        <w:rPr>
          <w:bCs/>
          <w:sz w:val="28"/>
        </w:rPr>
        <w:t xml:space="preserve">ту, яка має найнижчу ставку кредитування станом на квітень 2022 року </w:t>
      </w:r>
      <w:r w:rsidR="004D32A2" w:rsidRPr="003F1573">
        <w:rPr>
          <w:bCs/>
          <w:sz w:val="28"/>
        </w:rPr>
        <w:t>–</w:t>
      </w:r>
      <w:r w:rsidR="00663FF7" w:rsidRPr="003F1573">
        <w:rPr>
          <w:bCs/>
          <w:sz w:val="28"/>
        </w:rPr>
        <w:t xml:space="preserve"> данську крону (DKK) зі ставкою -0,45% на рік.</w:t>
      </w:r>
    </w:p>
    <w:p w:rsidR="001B35D1" w:rsidRPr="003F1573" w:rsidRDefault="001B35D1" w:rsidP="00BC2D39">
      <w:pPr>
        <w:spacing w:line="360" w:lineRule="auto"/>
        <w:ind w:firstLine="567"/>
        <w:jc w:val="both"/>
        <w:rPr>
          <w:bCs/>
          <w:sz w:val="28"/>
        </w:rPr>
      </w:pPr>
      <w:r w:rsidRPr="003F1573">
        <w:rPr>
          <w:bCs/>
          <w:sz w:val="28"/>
        </w:rPr>
        <w:t xml:space="preserve">На 1 травня 2022 року </w:t>
      </w:r>
      <w:r w:rsidR="00663FF7" w:rsidRPr="003F1573">
        <w:rPr>
          <w:bCs/>
          <w:sz w:val="28"/>
        </w:rPr>
        <w:t>1 данська крона = 18,41 японс</w:t>
      </w:r>
      <w:r w:rsidR="004D32A2" w:rsidRPr="003F1573">
        <w:rPr>
          <w:bCs/>
          <w:sz w:val="28"/>
        </w:rPr>
        <w:t>ьких єн</w:t>
      </w:r>
      <w:r w:rsidR="001155AC" w:rsidRPr="003F1573">
        <w:rPr>
          <w:bCs/>
          <w:sz w:val="28"/>
        </w:rPr>
        <w:t xml:space="preserve"> (JPY)</w:t>
      </w:r>
      <w:r w:rsidR="004D32A2" w:rsidRPr="003F1573">
        <w:rPr>
          <w:bCs/>
          <w:sz w:val="28"/>
        </w:rPr>
        <w:t>;</w:t>
      </w:r>
    </w:p>
    <w:p w:rsidR="00C64EA2" w:rsidRPr="003F1573" w:rsidRDefault="004D32A2" w:rsidP="00BC2D39">
      <w:pPr>
        <w:spacing w:line="360" w:lineRule="auto"/>
        <w:ind w:firstLine="567"/>
        <w:jc w:val="both"/>
        <w:rPr>
          <w:bCs/>
          <w:sz w:val="28"/>
        </w:rPr>
      </w:pPr>
      <w:r w:rsidRPr="003F1573">
        <w:rPr>
          <w:bCs/>
          <w:sz w:val="28"/>
        </w:rPr>
        <w:t xml:space="preserve">на 1 травня 2023 року 1 данська крона = 18,59 японських єн </w:t>
      </w:r>
      <w:r w:rsidR="001155AC" w:rsidRPr="003F1573">
        <w:rPr>
          <w:bCs/>
          <w:sz w:val="28"/>
        </w:rPr>
        <w:t xml:space="preserve">(JPY) </w:t>
      </w:r>
      <w:r w:rsidRPr="003F1573">
        <w:rPr>
          <w:bCs/>
          <w:sz w:val="28"/>
        </w:rPr>
        <w:t>(враховуючи припущення, що через рік валютний курс Японії може збільшитися на 1%);</w:t>
      </w:r>
      <w:r w:rsidR="002E2366" w:rsidRPr="003F1573">
        <w:rPr>
          <w:bCs/>
          <w:sz w:val="28"/>
        </w:rPr>
        <w:t xml:space="preserve"> </w:t>
      </w:r>
      <w:r w:rsidR="00C64EA2" w:rsidRPr="003F1573">
        <w:rPr>
          <w:bCs/>
          <w:sz w:val="28"/>
        </w:rPr>
        <w:t xml:space="preserve">дохідність облігацій внутрішньої державної позики в Японії на 2.05.2022 р. = </w:t>
      </w:r>
    </w:p>
    <w:p w:rsidR="00C64EA2" w:rsidRPr="003F1573" w:rsidRDefault="00C64EA2" w:rsidP="002E2366">
      <w:pPr>
        <w:spacing w:line="360" w:lineRule="auto"/>
        <w:jc w:val="both"/>
        <w:rPr>
          <w:bCs/>
          <w:sz w:val="28"/>
        </w:rPr>
      </w:pPr>
      <w:r w:rsidRPr="003F1573">
        <w:rPr>
          <w:bCs/>
          <w:sz w:val="28"/>
        </w:rPr>
        <w:t>-0,09%;</w:t>
      </w:r>
      <w:r w:rsidR="002E2366" w:rsidRPr="003F1573">
        <w:rPr>
          <w:bCs/>
          <w:sz w:val="28"/>
        </w:rPr>
        <w:t xml:space="preserve"> </w:t>
      </w:r>
      <w:r w:rsidRPr="003F1573">
        <w:rPr>
          <w:bCs/>
          <w:sz w:val="28"/>
        </w:rPr>
        <w:t>ставка кредитування в Данії = -0,45%.</w:t>
      </w:r>
    </w:p>
    <w:p w:rsidR="00C64EA2" w:rsidRPr="003F1573" w:rsidRDefault="00C43A19" w:rsidP="00C64EA2">
      <w:pPr>
        <w:spacing w:line="360" w:lineRule="auto"/>
        <w:ind w:firstLine="567"/>
        <w:jc w:val="both"/>
        <w:rPr>
          <w:bCs/>
          <w:sz w:val="28"/>
        </w:rPr>
      </w:pPr>
      <w:r w:rsidRPr="003F1573">
        <w:rPr>
          <w:bCs/>
          <w:sz w:val="28"/>
        </w:rPr>
        <w:t xml:space="preserve">Реалізація стратегії для Японії: </w:t>
      </w:r>
      <w:r w:rsidR="008414B8" w:rsidRPr="003F1573">
        <w:rPr>
          <w:bCs/>
          <w:sz w:val="28"/>
        </w:rPr>
        <w:t>беремо на рік 1 млн данських крон під відсоткову ставку -0,45% річних. Обмінюємо 1 млн данських крон на японську єну за курсом 18,41 і отримуємо 18410000 японс</w:t>
      </w:r>
      <w:r w:rsidR="002429C1" w:rsidRPr="003F1573">
        <w:rPr>
          <w:bCs/>
          <w:sz w:val="28"/>
        </w:rPr>
        <w:t>ь</w:t>
      </w:r>
      <w:r w:rsidR="008414B8" w:rsidRPr="003F1573">
        <w:rPr>
          <w:bCs/>
          <w:sz w:val="28"/>
        </w:rPr>
        <w:t>ких єн. Купуємо на них японські облігації з дохідністю -0,09% річних. Через рік облігації погашаються, а інвестор отримує відсотковий дохід чи збиток, тобто:</w:t>
      </w:r>
    </w:p>
    <w:p w:rsidR="00E35B4F" w:rsidRPr="003F1573" w:rsidRDefault="008414B8" w:rsidP="002E2366">
      <w:pPr>
        <w:spacing w:line="360" w:lineRule="auto"/>
        <w:ind w:firstLine="567"/>
        <w:jc w:val="both"/>
        <w:rPr>
          <w:bCs/>
          <w:sz w:val="28"/>
        </w:rPr>
      </w:pPr>
      <w:r w:rsidRPr="003F1573">
        <w:rPr>
          <w:bCs/>
          <w:sz w:val="28"/>
        </w:rPr>
        <w:t>18410000 JPY + (-0,0009) від 18410000 JPY = 18410000 JPY + (-16569 JPY)</w:t>
      </w:r>
      <w:r w:rsidR="004F6A0A" w:rsidRPr="003F1573">
        <w:rPr>
          <w:bCs/>
          <w:sz w:val="28"/>
        </w:rPr>
        <w:t xml:space="preserve"> = </w:t>
      </w:r>
      <w:r w:rsidR="00963D2A" w:rsidRPr="003F1573">
        <w:rPr>
          <w:bCs/>
          <w:sz w:val="28"/>
        </w:rPr>
        <w:t>18393431 JPY;</w:t>
      </w:r>
      <w:r w:rsidR="002E2366" w:rsidRPr="003F1573">
        <w:rPr>
          <w:bCs/>
          <w:sz w:val="28"/>
        </w:rPr>
        <w:t xml:space="preserve"> </w:t>
      </w:r>
      <w:r w:rsidR="00963D2A" w:rsidRPr="003F1573">
        <w:rPr>
          <w:bCs/>
          <w:sz w:val="28"/>
        </w:rPr>
        <w:t>обмінюємо цю суму на данські крони, тобто 18393431 JPY ділимо на 18,59 = 989426,09 DKK;</w:t>
      </w:r>
      <w:r w:rsidR="002E2366" w:rsidRPr="003F1573">
        <w:rPr>
          <w:bCs/>
          <w:sz w:val="28"/>
        </w:rPr>
        <w:t xml:space="preserve"> </w:t>
      </w:r>
      <w:r w:rsidR="00E35B4F" w:rsidRPr="003F1573">
        <w:rPr>
          <w:bCs/>
          <w:sz w:val="28"/>
        </w:rPr>
        <w:t xml:space="preserve">віддаємо кредит із відсотком (-0,45%): 989426,09 DKK – 1000000 DKK – </w:t>
      </w:r>
      <w:r w:rsidR="002E2366" w:rsidRPr="003F1573">
        <w:rPr>
          <w:bCs/>
          <w:sz w:val="28"/>
        </w:rPr>
        <w:t xml:space="preserve"> </w:t>
      </w:r>
      <w:r w:rsidR="00E35B4F" w:rsidRPr="003F1573">
        <w:rPr>
          <w:bCs/>
          <w:sz w:val="28"/>
        </w:rPr>
        <w:t xml:space="preserve">(-0,0045 </w:t>
      </w:r>
      <w:r w:rsidR="00E35B4F" w:rsidRPr="003F1573">
        <w:rPr>
          <w:b/>
          <w:bCs/>
          <w:sz w:val="28"/>
        </w:rPr>
        <w:t>·</w:t>
      </w:r>
      <w:r w:rsidR="00E35B4F" w:rsidRPr="003F1573">
        <w:rPr>
          <w:bCs/>
          <w:sz w:val="28"/>
        </w:rPr>
        <w:t xml:space="preserve"> 1000000 DKK) = 989426,09 DKK – 1000000 DKK – (-4500 DKK) = 989426,09 DKK – 1000000 DKK + 4500 DKK = -6073,91 DKK – чисті збитки.</w:t>
      </w:r>
    </w:p>
    <w:p w:rsidR="00E35B4F" w:rsidRPr="003F1573" w:rsidRDefault="00EF1838" w:rsidP="0012752A">
      <w:pPr>
        <w:spacing w:line="360" w:lineRule="auto"/>
        <w:ind w:firstLine="567"/>
        <w:jc w:val="both"/>
        <w:rPr>
          <w:bCs/>
          <w:sz w:val="28"/>
        </w:rPr>
      </w:pPr>
      <w:r w:rsidRPr="003F1573">
        <w:rPr>
          <w:bCs/>
          <w:sz w:val="28"/>
        </w:rPr>
        <w:t>Дохідність операції під час використання позикових ресурсів склала</w:t>
      </w:r>
      <w:r w:rsidR="0012752A" w:rsidRPr="003F1573">
        <w:rPr>
          <w:bCs/>
          <w:sz w:val="28"/>
        </w:rPr>
        <w:t xml:space="preserve"> </w:t>
      </w:r>
      <w:r w:rsidRPr="003F1573">
        <w:rPr>
          <w:bCs/>
          <w:sz w:val="28"/>
        </w:rPr>
        <w:t>-</w:t>
      </w:r>
      <w:r w:rsidR="00AC7694" w:rsidRPr="003F1573">
        <w:rPr>
          <w:bCs/>
          <w:sz w:val="28"/>
        </w:rPr>
        <w:t>0</w:t>
      </w:r>
      <w:r w:rsidRPr="003F1573">
        <w:rPr>
          <w:bCs/>
          <w:sz w:val="28"/>
        </w:rPr>
        <w:t>,</w:t>
      </w:r>
      <w:r w:rsidR="00AC7694" w:rsidRPr="003F1573">
        <w:rPr>
          <w:bCs/>
          <w:sz w:val="28"/>
        </w:rPr>
        <w:t>61</w:t>
      </w:r>
      <w:r w:rsidRPr="003F1573">
        <w:rPr>
          <w:bCs/>
          <w:sz w:val="28"/>
        </w:rPr>
        <w:t>%.</w:t>
      </w:r>
    </w:p>
    <w:p w:rsidR="00EF1838" w:rsidRPr="003F1573" w:rsidRDefault="00EF1838" w:rsidP="00EF1838">
      <w:pPr>
        <w:spacing w:line="360" w:lineRule="auto"/>
        <w:ind w:firstLine="567"/>
        <w:jc w:val="both"/>
        <w:rPr>
          <w:bCs/>
          <w:sz w:val="28"/>
        </w:rPr>
      </w:pPr>
      <w:r w:rsidRPr="003F1573">
        <w:rPr>
          <w:bCs/>
          <w:sz w:val="28"/>
        </w:rPr>
        <w:t xml:space="preserve">На 1 травня 2022 року 1 данська крона = 0,93 </w:t>
      </w:r>
      <w:r w:rsidR="0090641F" w:rsidRPr="003F1573">
        <w:rPr>
          <w:bCs/>
          <w:sz w:val="28"/>
        </w:rPr>
        <w:t>китайських юанів</w:t>
      </w:r>
      <w:r w:rsidR="001155AC" w:rsidRPr="003F1573">
        <w:rPr>
          <w:bCs/>
          <w:sz w:val="28"/>
        </w:rPr>
        <w:t xml:space="preserve"> (CNY)</w:t>
      </w:r>
      <w:r w:rsidRPr="003F1573">
        <w:rPr>
          <w:bCs/>
          <w:sz w:val="28"/>
        </w:rPr>
        <w:t>;</w:t>
      </w:r>
    </w:p>
    <w:p w:rsidR="00EF1838" w:rsidRPr="003F1573" w:rsidRDefault="00EF1838" w:rsidP="00EF1838">
      <w:pPr>
        <w:spacing w:line="360" w:lineRule="auto"/>
        <w:ind w:firstLine="567"/>
        <w:jc w:val="both"/>
        <w:rPr>
          <w:bCs/>
          <w:sz w:val="28"/>
        </w:rPr>
      </w:pPr>
      <w:r w:rsidRPr="003F1573">
        <w:rPr>
          <w:bCs/>
          <w:sz w:val="28"/>
        </w:rPr>
        <w:t xml:space="preserve">на 1 травня 2023 року 1 данська крона = </w:t>
      </w:r>
      <w:r w:rsidR="0090641F" w:rsidRPr="003F1573">
        <w:rPr>
          <w:bCs/>
          <w:sz w:val="28"/>
        </w:rPr>
        <w:t>0,94</w:t>
      </w:r>
      <w:r w:rsidRPr="003F1573">
        <w:rPr>
          <w:bCs/>
          <w:sz w:val="28"/>
        </w:rPr>
        <w:t xml:space="preserve"> </w:t>
      </w:r>
      <w:r w:rsidR="0090641F" w:rsidRPr="003F1573">
        <w:rPr>
          <w:bCs/>
          <w:sz w:val="28"/>
        </w:rPr>
        <w:t>китайських юанів</w:t>
      </w:r>
      <w:r w:rsidRPr="003F1573">
        <w:rPr>
          <w:bCs/>
          <w:sz w:val="28"/>
        </w:rPr>
        <w:t xml:space="preserve"> </w:t>
      </w:r>
      <w:r w:rsidR="001155AC" w:rsidRPr="003F1573">
        <w:rPr>
          <w:bCs/>
          <w:sz w:val="28"/>
        </w:rPr>
        <w:t xml:space="preserve">(CNY) </w:t>
      </w:r>
      <w:r w:rsidRPr="003F1573">
        <w:rPr>
          <w:bCs/>
          <w:sz w:val="28"/>
        </w:rPr>
        <w:t xml:space="preserve">(враховуючи припущення, що через рік валютний курс </w:t>
      </w:r>
      <w:r w:rsidR="0090641F" w:rsidRPr="003F1573">
        <w:rPr>
          <w:bCs/>
          <w:sz w:val="28"/>
        </w:rPr>
        <w:t>Китаю</w:t>
      </w:r>
      <w:r w:rsidRPr="003F1573">
        <w:rPr>
          <w:bCs/>
          <w:sz w:val="28"/>
        </w:rPr>
        <w:t xml:space="preserve"> може збільшитися на 1%);</w:t>
      </w:r>
      <w:r w:rsidR="002E2366" w:rsidRPr="003F1573">
        <w:rPr>
          <w:bCs/>
          <w:sz w:val="28"/>
        </w:rPr>
        <w:t xml:space="preserve"> </w:t>
      </w:r>
      <w:r w:rsidRPr="003F1573">
        <w:rPr>
          <w:bCs/>
          <w:sz w:val="28"/>
        </w:rPr>
        <w:t xml:space="preserve">дохідність облігацій внутрішньої державної позики в </w:t>
      </w:r>
      <w:r w:rsidR="0090641F" w:rsidRPr="003F1573">
        <w:rPr>
          <w:bCs/>
          <w:sz w:val="28"/>
        </w:rPr>
        <w:t>Китаї</w:t>
      </w:r>
      <w:r w:rsidRPr="003F1573">
        <w:rPr>
          <w:bCs/>
          <w:sz w:val="28"/>
        </w:rPr>
        <w:t xml:space="preserve"> на 2.05.2022 р. = </w:t>
      </w:r>
      <w:r w:rsidR="0090641F" w:rsidRPr="003F1573">
        <w:rPr>
          <w:bCs/>
          <w:sz w:val="28"/>
        </w:rPr>
        <w:t>2,13</w:t>
      </w:r>
      <w:r w:rsidRPr="003F1573">
        <w:rPr>
          <w:bCs/>
          <w:sz w:val="28"/>
        </w:rPr>
        <w:t>%;</w:t>
      </w:r>
      <w:r w:rsidR="002E2366" w:rsidRPr="003F1573">
        <w:rPr>
          <w:bCs/>
          <w:sz w:val="28"/>
        </w:rPr>
        <w:t xml:space="preserve"> </w:t>
      </w:r>
      <w:r w:rsidRPr="003F1573">
        <w:rPr>
          <w:bCs/>
          <w:sz w:val="28"/>
        </w:rPr>
        <w:t>ставка кредитування в Данії = -0,45%.</w:t>
      </w:r>
    </w:p>
    <w:p w:rsidR="00EF1838" w:rsidRPr="003F1573" w:rsidRDefault="00EF1838" w:rsidP="00EF1838">
      <w:pPr>
        <w:spacing w:line="360" w:lineRule="auto"/>
        <w:ind w:firstLine="567"/>
        <w:jc w:val="both"/>
        <w:rPr>
          <w:bCs/>
          <w:sz w:val="28"/>
        </w:rPr>
      </w:pPr>
      <w:r w:rsidRPr="003F1573">
        <w:rPr>
          <w:bCs/>
          <w:sz w:val="28"/>
        </w:rPr>
        <w:t xml:space="preserve">Реалізація стратегії для </w:t>
      </w:r>
      <w:r w:rsidR="0090641F" w:rsidRPr="003F1573">
        <w:rPr>
          <w:bCs/>
          <w:sz w:val="28"/>
        </w:rPr>
        <w:t>Китаю</w:t>
      </w:r>
      <w:r w:rsidRPr="003F1573">
        <w:rPr>
          <w:bCs/>
          <w:sz w:val="28"/>
        </w:rPr>
        <w:t xml:space="preserve">: беремо на рік 1 млн данських крон під відсоткову ставку -0,45% річних. Обмінюємо 1 млн данських крон на </w:t>
      </w:r>
      <w:r w:rsidR="0090641F" w:rsidRPr="003F1573">
        <w:rPr>
          <w:bCs/>
          <w:sz w:val="28"/>
        </w:rPr>
        <w:t>китайський юань</w:t>
      </w:r>
      <w:r w:rsidRPr="003F1573">
        <w:rPr>
          <w:bCs/>
          <w:sz w:val="28"/>
        </w:rPr>
        <w:t xml:space="preserve"> за курсом </w:t>
      </w:r>
      <w:r w:rsidR="0090641F" w:rsidRPr="003F1573">
        <w:rPr>
          <w:bCs/>
          <w:sz w:val="28"/>
        </w:rPr>
        <w:t>0,93</w:t>
      </w:r>
      <w:r w:rsidRPr="003F1573">
        <w:rPr>
          <w:bCs/>
          <w:sz w:val="28"/>
        </w:rPr>
        <w:t xml:space="preserve"> і отримуємо </w:t>
      </w:r>
      <w:r w:rsidR="0090641F" w:rsidRPr="003F1573">
        <w:rPr>
          <w:bCs/>
          <w:sz w:val="28"/>
        </w:rPr>
        <w:t>930000 китайських юанів</w:t>
      </w:r>
      <w:r w:rsidRPr="003F1573">
        <w:rPr>
          <w:bCs/>
          <w:sz w:val="28"/>
        </w:rPr>
        <w:t xml:space="preserve">. Купуємо на них </w:t>
      </w:r>
      <w:r w:rsidR="0090641F" w:rsidRPr="003F1573">
        <w:rPr>
          <w:bCs/>
          <w:sz w:val="28"/>
        </w:rPr>
        <w:t>китайські</w:t>
      </w:r>
      <w:r w:rsidRPr="003F1573">
        <w:rPr>
          <w:bCs/>
          <w:sz w:val="28"/>
        </w:rPr>
        <w:t xml:space="preserve"> облігації з дохідністю </w:t>
      </w:r>
      <w:r w:rsidR="0090641F" w:rsidRPr="003F1573">
        <w:rPr>
          <w:bCs/>
          <w:sz w:val="28"/>
        </w:rPr>
        <w:t>2</w:t>
      </w:r>
      <w:r w:rsidRPr="003F1573">
        <w:rPr>
          <w:bCs/>
          <w:sz w:val="28"/>
        </w:rPr>
        <w:t>,</w:t>
      </w:r>
      <w:r w:rsidR="0090641F" w:rsidRPr="003F1573">
        <w:rPr>
          <w:bCs/>
          <w:sz w:val="28"/>
        </w:rPr>
        <w:t>13</w:t>
      </w:r>
      <w:r w:rsidRPr="003F1573">
        <w:rPr>
          <w:bCs/>
          <w:sz w:val="28"/>
        </w:rPr>
        <w:t>% річних. Через рік облігації погашаються, а інвестор отримує відсотковий дохід чи збиток, тобто:</w:t>
      </w:r>
    </w:p>
    <w:p w:rsidR="00621FB8" w:rsidRPr="003F1573" w:rsidRDefault="0090641F" w:rsidP="00EF1838">
      <w:pPr>
        <w:spacing w:line="360" w:lineRule="auto"/>
        <w:ind w:firstLine="567"/>
        <w:jc w:val="both"/>
        <w:rPr>
          <w:bCs/>
          <w:sz w:val="28"/>
        </w:rPr>
      </w:pPr>
      <w:r w:rsidRPr="003F1573">
        <w:rPr>
          <w:bCs/>
          <w:sz w:val="28"/>
        </w:rPr>
        <w:t xml:space="preserve">930000 CNY + </w:t>
      </w:r>
      <w:r w:rsidR="00621FB8" w:rsidRPr="003F1573">
        <w:rPr>
          <w:bCs/>
          <w:sz w:val="28"/>
        </w:rPr>
        <w:t>(</w:t>
      </w:r>
      <w:r w:rsidRPr="003F1573">
        <w:rPr>
          <w:bCs/>
          <w:sz w:val="28"/>
        </w:rPr>
        <w:t>0,0213 від 930000 CNY</w:t>
      </w:r>
      <w:r w:rsidR="00621FB8" w:rsidRPr="003F1573">
        <w:rPr>
          <w:bCs/>
          <w:sz w:val="28"/>
        </w:rPr>
        <w:t>)</w:t>
      </w:r>
      <w:r w:rsidRPr="003F1573">
        <w:rPr>
          <w:bCs/>
          <w:sz w:val="28"/>
        </w:rPr>
        <w:t xml:space="preserve"> = 930000 CNY + </w:t>
      </w:r>
      <w:r w:rsidR="00621FB8" w:rsidRPr="003F1573">
        <w:rPr>
          <w:bCs/>
          <w:sz w:val="28"/>
        </w:rPr>
        <w:t xml:space="preserve">19809 CNY = </w:t>
      </w:r>
    </w:p>
    <w:p w:rsidR="00621FB8" w:rsidRPr="003F1573" w:rsidRDefault="00621FB8" w:rsidP="00621FB8">
      <w:pPr>
        <w:spacing w:line="360" w:lineRule="auto"/>
        <w:jc w:val="both"/>
        <w:rPr>
          <w:bCs/>
          <w:sz w:val="28"/>
        </w:rPr>
      </w:pPr>
      <w:r w:rsidRPr="003F1573">
        <w:rPr>
          <w:bCs/>
          <w:sz w:val="28"/>
        </w:rPr>
        <w:t>949809 CNY;</w:t>
      </w:r>
      <w:r w:rsidR="002E2366" w:rsidRPr="003F1573">
        <w:rPr>
          <w:bCs/>
          <w:sz w:val="28"/>
        </w:rPr>
        <w:t xml:space="preserve"> </w:t>
      </w:r>
      <w:r w:rsidRPr="003F1573">
        <w:rPr>
          <w:bCs/>
          <w:sz w:val="28"/>
        </w:rPr>
        <w:t>обмінюємо цю суму на данські крони, тобто 949809 CNY ділимо на 0,94 = 1010435,11 DKK;</w:t>
      </w:r>
      <w:r w:rsidR="002E2366" w:rsidRPr="003F1573">
        <w:rPr>
          <w:bCs/>
          <w:sz w:val="28"/>
        </w:rPr>
        <w:t xml:space="preserve"> </w:t>
      </w:r>
      <w:r w:rsidRPr="003F1573">
        <w:rPr>
          <w:bCs/>
          <w:sz w:val="28"/>
        </w:rPr>
        <w:t xml:space="preserve">віддаємо кредит із відсотком (-0,45%): </w:t>
      </w:r>
      <w:r w:rsidR="001155AC" w:rsidRPr="003F1573">
        <w:rPr>
          <w:bCs/>
          <w:sz w:val="28"/>
        </w:rPr>
        <w:t xml:space="preserve">1010435,11 </w:t>
      </w:r>
      <w:r w:rsidRPr="003F1573">
        <w:rPr>
          <w:bCs/>
          <w:sz w:val="28"/>
        </w:rPr>
        <w:t xml:space="preserve">DKK – 1000000 DKK – (-0,0045 </w:t>
      </w:r>
      <w:r w:rsidRPr="003F1573">
        <w:rPr>
          <w:b/>
          <w:bCs/>
          <w:sz w:val="28"/>
        </w:rPr>
        <w:t>·</w:t>
      </w:r>
      <w:r w:rsidRPr="003F1573">
        <w:rPr>
          <w:bCs/>
          <w:sz w:val="28"/>
        </w:rPr>
        <w:t xml:space="preserve"> 1000000 DKK) = </w:t>
      </w:r>
      <w:r w:rsidR="001155AC" w:rsidRPr="003F1573">
        <w:rPr>
          <w:bCs/>
          <w:sz w:val="28"/>
        </w:rPr>
        <w:t xml:space="preserve">1010435,11 </w:t>
      </w:r>
      <w:r w:rsidRPr="003F1573">
        <w:rPr>
          <w:bCs/>
          <w:sz w:val="28"/>
        </w:rPr>
        <w:t xml:space="preserve">DKK – 1000000 DKK – (-4500 DKK) = </w:t>
      </w:r>
      <w:r w:rsidR="001155AC" w:rsidRPr="003F1573">
        <w:rPr>
          <w:bCs/>
          <w:sz w:val="28"/>
        </w:rPr>
        <w:t xml:space="preserve">1010435,11 </w:t>
      </w:r>
      <w:r w:rsidRPr="003F1573">
        <w:rPr>
          <w:bCs/>
          <w:sz w:val="28"/>
        </w:rPr>
        <w:t xml:space="preserve">DKK – 1000000 DKK + 4500 DKK = </w:t>
      </w:r>
      <w:r w:rsidR="001155AC" w:rsidRPr="003F1573">
        <w:rPr>
          <w:bCs/>
          <w:sz w:val="28"/>
        </w:rPr>
        <w:t>14935,11</w:t>
      </w:r>
      <w:r w:rsidRPr="003F1573">
        <w:rPr>
          <w:bCs/>
          <w:sz w:val="28"/>
        </w:rPr>
        <w:t xml:space="preserve"> DKK – </w:t>
      </w:r>
      <w:r w:rsidR="001155AC" w:rsidRPr="003F1573">
        <w:rPr>
          <w:bCs/>
          <w:sz w:val="28"/>
        </w:rPr>
        <w:t>чистий прибуток</w:t>
      </w:r>
      <w:r w:rsidRPr="003F1573">
        <w:rPr>
          <w:bCs/>
          <w:sz w:val="28"/>
        </w:rPr>
        <w:t>.</w:t>
      </w:r>
    </w:p>
    <w:p w:rsidR="00621FB8" w:rsidRPr="003F1573" w:rsidRDefault="00621FB8" w:rsidP="0012752A">
      <w:pPr>
        <w:spacing w:line="360" w:lineRule="auto"/>
        <w:ind w:firstLine="567"/>
        <w:jc w:val="both"/>
        <w:rPr>
          <w:bCs/>
          <w:sz w:val="28"/>
        </w:rPr>
      </w:pPr>
      <w:r w:rsidRPr="003F1573">
        <w:rPr>
          <w:bCs/>
          <w:sz w:val="28"/>
        </w:rPr>
        <w:t xml:space="preserve">Дохідність операції під час використання позикових ресурсів склала </w:t>
      </w:r>
      <w:r w:rsidR="001155AC" w:rsidRPr="003F1573">
        <w:rPr>
          <w:bCs/>
          <w:sz w:val="28"/>
        </w:rPr>
        <w:t>1</w:t>
      </w:r>
      <w:r w:rsidRPr="003F1573">
        <w:rPr>
          <w:bCs/>
          <w:sz w:val="28"/>
        </w:rPr>
        <w:t>,</w:t>
      </w:r>
      <w:r w:rsidR="001155AC" w:rsidRPr="003F1573">
        <w:rPr>
          <w:bCs/>
          <w:sz w:val="28"/>
        </w:rPr>
        <w:t>49</w:t>
      </w:r>
      <w:r w:rsidRPr="003F1573">
        <w:rPr>
          <w:bCs/>
          <w:sz w:val="28"/>
        </w:rPr>
        <w:t>%.</w:t>
      </w:r>
    </w:p>
    <w:p w:rsidR="004F0365" w:rsidRPr="003F1573" w:rsidRDefault="004F0365" w:rsidP="004F0365">
      <w:pPr>
        <w:spacing w:line="360" w:lineRule="auto"/>
        <w:ind w:firstLine="567"/>
        <w:jc w:val="both"/>
        <w:rPr>
          <w:bCs/>
          <w:sz w:val="28"/>
        </w:rPr>
      </w:pPr>
      <w:r w:rsidRPr="003F1573">
        <w:rPr>
          <w:bCs/>
          <w:sz w:val="28"/>
        </w:rPr>
        <w:t>На 1 травня 2022 року 1 данська крона = 4,15 українських гривень (UAH);</w:t>
      </w:r>
    </w:p>
    <w:p w:rsidR="004F0365" w:rsidRPr="003F1573" w:rsidRDefault="004F0365" w:rsidP="004F0365">
      <w:pPr>
        <w:spacing w:line="360" w:lineRule="auto"/>
        <w:ind w:firstLine="567"/>
        <w:jc w:val="both"/>
        <w:rPr>
          <w:bCs/>
          <w:sz w:val="28"/>
        </w:rPr>
      </w:pPr>
      <w:r w:rsidRPr="003F1573">
        <w:rPr>
          <w:bCs/>
          <w:sz w:val="28"/>
        </w:rPr>
        <w:t>на 1 травня 2023 року 1 данська крона = 4,19 українських гривень (UAH) (враховуючи припущення, що через рік валютний курс України може збільшитися на 1%);</w:t>
      </w:r>
      <w:r w:rsidR="002E2366" w:rsidRPr="003F1573">
        <w:rPr>
          <w:bCs/>
          <w:sz w:val="28"/>
        </w:rPr>
        <w:t xml:space="preserve"> </w:t>
      </w:r>
      <w:r w:rsidRPr="003F1573">
        <w:rPr>
          <w:bCs/>
          <w:sz w:val="28"/>
        </w:rPr>
        <w:t>дохідність облігацій внутрішньої державної позики в Україні на 2.05.2022 р. = 35,85%;</w:t>
      </w:r>
      <w:r w:rsidR="002E2366" w:rsidRPr="003F1573">
        <w:rPr>
          <w:bCs/>
          <w:sz w:val="28"/>
        </w:rPr>
        <w:t xml:space="preserve"> </w:t>
      </w:r>
      <w:r w:rsidRPr="003F1573">
        <w:rPr>
          <w:bCs/>
          <w:sz w:val="28"/>
        </w:rPr>
        <w:t>ставка кредитування в Данії = -0,45%.</w:t>
      </w:r>
    </w:p>
    <w:p w:rsidR="004F0365" w:rsidRPr="003F1573" w:rsidRDefault="004F0365" w:rsidP="004F0365">
      <w:pPr>
        <w:spacing w:line="360" w:lineRule="auto"/>
        <w:ind w:firstLine="567"/>
        <w:jc w:val="both"/>
        <w:rPr>
          <w:bCs/>
          <w:sz w:val="28"/>
        </w:rPr>
      </w:pPr>
      <w:r w:rsidRPr="003F1573">
        <w:rPr>
          <w:bCs/>
          <w:sz w:val="28"/>
        </w:rPr>
        <w:t xml:space="preserve">Реалізація стратегії для України: беремо на рік 1 млн данських крон під відсоткову ставку -0,45% річних. Обмінюємо 1 млн данських крон на </w:t>
      </w:r>
      <w:r w:rsidR="00074500" w:rsidRPr="003F1573">
        <w:rPr>
          <w:bCs/>
          <w:sz w:val="28"/>
        </w:rPr>
        <w:t xml:space="preserve">українські гривні </w:t>
      </w:r>
      <w:r w:rsidRPr="003F1573">
        <w:rPr>
          <w:bCs/>
          <w:sz w:val="28"/>
        </w:rPr>
        <w:t xml:space="preserve">за курсом </w:t>
      </w:r>
      <w:r w:rsidR="00074500" w:rsidRPr="003F1573">
        <w:rPr>
          <w:bCs/>
          <w:sz w:val="28"/>
        </w:rPr>
        <w:t>4</w:t>
      </w:r>
      <w:r w:rsidRPr="003F1573">
        <w:rPr>
          <w:bCs/>
          <w:sz w:val="28"/>
        </w:rPr>
        <w:t>,</w:t>
      </w:r>
      <w:r w:rsidR="00074500" w:rsidRPr="003F1573">
        <w:rPr>
          <w:bCs/>
          <w:sz w:val="28"/>
        </w:rPr>
        <w:t>15</w:t>
      </w:r>
      <w:r w:rsidRPr="003F1573">
        <w:rPr>
          <w:bCs/>
          <w:sz w:val="28"/>
        </w:rPr>
        <w:t xml:space="preserve"> і отримуємо </w:t>
      </w:r>
      <w:r w:rsidR="00074500" w:rsidRPr="003F1573">
        <w:rPr>
          <w:bCs/>
          <w:sz w:val="28"/>
        </w:rPr>
        <w:t>4150000 українських гривень</w:t>
      </w:r>
      <w:r w:rsidRPr="003F1573">
        <w:rPr>
          <w:bCs/>
          <w:sz w:val="28"/>
        </w:rPr>
        <w:t xml:space="preserve">. Купуємо на них </w:t>
      </w:r>
      <w:r w:rsidR="00074500" w:rsidRPr="003F1573">
        <w:rPr>
          <w:bCs/>
          <w:sz w:val="28"/>
        </w:rPr>
        <w:t>українські</w:t>
      </w:r>
      <w:r w:rsidRPr="003F1573">
        <w:rPr>
          <w:bCs/>
          <w:sz w:val="28"/>
        </w:rPr>
        <w:t xml:space="preserve"> облігації з дохідністю </w:t>
      </w:r>
      <w:r w:rsidR="00074500" w:rsidRPr="003F1573">
        <w:rPr>
          <w:bCs/>
          <w:sz w:val="28"/>
        </w:rPr>
        <w:t>35</w:t>
      </w:r>
      <w:r w:rsidRPr="003F1573">
        <w:rPr>
          <w:bCs/>
          <w:sz w:val="28"/>
        </w:rPr>
        <w:t>,</w:t>
      </w:r>
      <w:r w:rsidR="00074500" w:rsidRPr="003F1573">
        <w:rPr>
          <w:bCs/>
          <w:sz w:val="28"/>
        </w:rPr>
        <w:t>85</w:t>
      </w:r>
      <w:r w:rsidRPr="003F1573">
        <w:rPr>
          <w:bCs/>
          <w:sz w:val="28"/>
        </w:rPr>
        <w:t>% річних. Через рік облігації погашаються, а інвестор отримує відсотковий дохід чи збиток, тобто:</w:t>
      </w:r>
    </w:p>
    <w:p w:rsidR="004F0365" w:rsidRPr="003F1573" w:rsidRDefault="00074500" w:rsidP="002E2366">
      <w:pPr>
        <w:spacing w:line="360" w:lineRule="auto"/>
        <w:ind w:firstLine="567"/>
        <w:jc w:val="both"/>
        <w:rPr>
          <w:bCs/>
          <w:sz w:val="28"/>
        </w:rPr>
      </w:pPr>
      <w:r w:rsidRPr="003F1573">
        <w:rPr>
          <w:bCs/>
          <w:sz w:val="28"/>
        </w:rPr>
        <w:t xml:space="preserve">4150000 UAH </w:t>
      </w:r>
      <w:r w:rsidR="004F0365" w:rsidRPr="003F1573">
        <w:rPr>
          <w:bCs/>
          <w:sz w:val="28"/>
        </w:rPr>
        <w:t>+ (0,</w:t>
      </w:r>
      <w:r w:rsidRPr="003F1573">
        <w:rPr>
          <w:bCs/>
          <w:sz w:val="28"/>
        </w:rPr>
        <w:t>3585</w:t>
      </w:r>
      <w:r w:rsidR="004F0365" w:rsidRPr="003F1573">
        <w:rPr>
          <w:bCs/>
          <w:sz w:val="28"/>
        </w:rPr>
        <w:t xml:space="preserve"> від </w:t>
      </w:r>
      <w:r w:rsidRPr="003F1573">
        <w:rPr>
          <w:bCs/>
          <w:sz w:val="28"/>
        </w:rPr>
        <w:t>4150000 UAH</w:t>
      </w:r>
      <w:r w:rsidR="004F0365" w:rsidRPr="003F1573">
        <w:rPr>
          <w:bCs/>
          <w:sz w:val="28"/>
        </w:rPr>
        <w:t xml:space="preserve">) = </w:t>
      </w:r>
      <w:r w:rsidRPr="003F1573">
        <w:rPr>
          <w:bCs/>
          <w:sz w:val="28"/>
        </w:rPr>
        <w:t>4150000 UAH</w:t>
      </w:r>
      <w:r w:rsidR="004F0365" w:rsidRPr="003F1573">
        <w:rPr>
          <w:bCs/>
          <w:sz w:val="28"/>
        </w:rPr>
        <w:t xml:space="preserve"> + </w:t>
      </w:r>
      <w:r w:rsidRPr="003F1573">
        <w:rPr>
          <w:bCs/>
          <w:sz w:val="28"/>
        </w:rPr>
        <w:t>1487775 UAH</w:t>
      </w:r>
      <w:r w:rsidR="004F0365" w:rsidRPr="003F1573">
        <w:rPr>
          <w:bCs/>
          <w:sz w:val="28"/>
        </w:rPr>
        <w:t xml:space="preserve"> = </w:t>
      </w:r>
      <w:r w:rsidRPr="003F1573">
        <w:rPr>
          <w:bCs/>
          <w:sz w:val="28"/>
        </w:rPr>
        <w:t>5637775</w:t>
      </w:r>
      <w:r w:rsidR="004F0365" w:rsidRPr="003F1573">
        <w:rPr>
          <w:bCs/>
          <w:sz w:val="28"/>
        </w:rPr>
        <w:t xml:space="preserve"> </w:t>
      </w:r>
      <w:r w:rsidRPr="003F1573">
        <w:rPr>
          <w:bCs/>
          <w:sz w:val="28"/>
        </w:rPr>
        <w:t>UAH</w:t>
      </w:r>
      <w:r w:rsidR="004F0365" w:rsidRPr="003F1573">
        <w:rPr>
          <w:bCs/>
          <w:sz w:val="28"/>
        </w:rPr>
        <w:t>;</w:t>
      </w:r>
      <w:r w:rsidR="002E2366" w:rsidRPr="003F1573">
        <w:rPr>
          <w:bCs/>
          <w:sz w:val="28"/>
        </w:rPr>
        <w:t xml:space="preserve"> </w:t>
      </w:r>
      <w:r w:rsidR="004F0365" w:rsidRPr="003F1573">
        <w:rPr>
          <w:bCs/>
          <w:sz w:val="28"/>
        </w:rPr>
        <w:t xml:space="preserve">обмінюємо цю суму на данські крони, тобто </w:t>
      </w:r>
      <w:r w:rsidRPr="003F1573">
        <w:rPr>
          <w:bCs/>
          <w:sz w:val="28"/>
        </w:rPr>
        <w:t>5637775 UAH</w:t>
      </w:r>
      <w:r w:rsidR="004F0365" w:rsidRPr="003F1573">
        <w:rPr>
          <w:bCs/>
          <w:sz w:val="28"/>
        </w:rPr>
        <w:t xml:space="preserve"> ділимо на </w:t>
      </w:r>
      <w:r w:rsidRPr="003F1573">
        <w:rPr>
          <w:bCs/>
          <w:sz w:val="28"/>
        </w:rPr>
        <w:t>4</w:t>
      </w:r>
      <w:r w:rsidR="004F0365" w:rsidRPr="003F1573">
        <w:rPr>
          <w:bCs/>
          <w:sz w:val="28"/>
        </w:rPr>
        <w:t>,</w:t>
      </w:r>
      <w:r w:rsidRPr="003F1573">
        <w:rPr>
          <w:bCs/>
          <w:sz w:val="28"/>
        </w:rPr>
        <w:t>19</w:t>
      </w:r>
      <w:r w:rsidR="004F0365" w:rsidRPr="003F1573">
        <w:rPr>
          <w:bCs/>
          <w:sz w:val="28"/>
        </w:rPr>
        <w:t xml:space="preserve"> = </w:t>
      </w:r>
      <w:r w:rsidRPr="003F1573">
        <w:rPr>
          <w:bCs/>
          <w:sz w:val="28"/>
        </w:rPr>
        <w:t>1345531,03</w:t>
      </w:r>
      <w:r w:rsidR="004F0365" w:rsidRPr="003F1573">
        <w:rPr>
          <w:bCs/>
          <w:sz w:val="28"/>
        </w:rPr>
        <w:t xml:space="preserve"> DKK;</w:t>
      </w:r>
      <w:r w:rsidR="002E2366" w:rsidRPr="003F1573">
        <w:rPr>
          <w:bCs/>
          <w:sz w:val="28"/>
        </w:rPr>
        <w:t xml:space="preserve"> </w:t>
      </w:r>
      <w:r w:rsidR="004F0365" w:rsidRPr="003F1573">
        <w:rPr>
          <w:bCs/>
          <w:sz w:val="28"/>
        </w:rPr>
        <w:t xml:space="preserve">віддаємо кредит із відсотком (-0,45%): </w:t>
      </w:r>
      <w:r w:rsidR="00C22992" w:rsidRPr="003F1573">
        <w:rPr>
          <w:bCs/>
          <w:sz w:val="28"/>
        </w:rPr>
        <w:t>1345531,03 DKK</w:t>
      </w:r>
      <w:r w:rsidR="004F0365" w:rsidRPr="003F1573">
        <w:rPr>
          <w:bCs/>
          <w:sz w:val="28"/>
        </w:rPr>
        <w:t xml:space="preserve"> – 1000000 DKK – (-0,0045 </w:t>
      </w:r>
      <w:r w:rsidR="004F0365" w:rsidRPr="003F1573">
        <w:rPr>
          <w:b/>
          <w:bCs/>
          <w:sz w:val="28"/>
        </w:rPr>
        <w:t>·</w:t>
      </w:r>
      <w:r w:rsidR="004F0365" w:rsidRPr="003F1573">
        <w:rPr>
          <w:bCs/>
          <w:sz w:val="28"/>
        </w:rPr>
        <w:t xml:space="preserve"> 1000000 DKK) = </w:t>
      </w:r>
      <w:r w:rsidR="00C22992" w:rsidRPr="003F1573">
        <w:rPr>
          <w:bCs/>
          <w:sz w:val="28"/>
        </w:rPr>
        <w:t>1345531,03 DKK</w:t>
      </w:r>
      <w:r w:rsidR="004F0365" w:rsidRPr="003F1573">
        <w:rPr>
          <w:bCs/>
          <w:sz w:val="28"/>
        </w:rPr>
        <w:t xml:space="preserve"> – 1000000 DKK – (-4500 DKK) = </w:t>
      </w:r>
      <w:r w:rsidR="00C22992" w:rsidRPr="003F1573">
        <w:rPr>
          <w:bCs/>
          <w:sz w:val="28"/>
        </w:rPr>
        <w:t>1345531,03 DKK</w:t>
      </w:r>
      <w:r w:rsidR="004F0365" w:rsidRPr="003F1573">
        <w:rPr>
          <w:bCs/>
          <w:sz w:val="28"/>
        </w:rPr>
        <w:t xml:space="preserve"> – 1000000 DKK + 4500 DKK = </w:t>
      </w:r>
      <w:r w:rsidR="00C22992" w:rsidRPr="003F1573">
        <w:rPr>
          <w:bCs/>
          <w:sz w:val="28"/>
        </w:rPr>
        <w:t>350031,03</w:t>
      </w:r>
      <w:r w:rsidR="004F0365" w:rsidRPr="003F1573">
        <w:rPr>
          <w:bCs/>
          <w:sz w:val="28"/>
        </w:rPr>
        <w:t xml:space="preserve"> DKK – чистий прибуток.</w:t>
      </w:r>
    </w:p>
    <w:p w:rsidR="004F0365" w:rsidRPr="003F1573" w:rsidRDefault="004F0365" w:rsidP="0012752A">
      <w:pPr>
        <w:spacing w:line="360" w:lineRule="auto"/>
        <w:ind w:firstLine="567"/>
        <w:jc w:val="both"/>
        <w:rPr>
          <w:bCs/>
          <w:sz w:val="28"/>
        </w:rPr>
      </w:pPr>
      <w:r w:rsidRPr="003F1573">
        <w:rPr>
          <w:bCs/>
          <w:sz w:val="28"/>
        </w:rPr>
        <w:t xml:space="preserve">Дохідність операції під час використання позикових ресурсів склала </w:t>
      </w:r>
      <w:r w:rsidR="00AC7694" w:rsidRPr="003F1573">
        <w:rPr>
          <w:bCs/>
          <w:sz w:val="28"/>
        </w:rPr>
        <w:t>35</w:t>
      </w:r>
      <w:r w:rsidRPr="003F1573">
        <w:rPr>
          <w:bCs/>
          <w:sz w:val="28"/>
        </w:rPr>
        <w:t>,</w:t>
      </w:r>
      <w:r w:rsidR="00AC7694" w:rsidRPr="003F1573">
        <w:rPr>
          <w:bCs/>
          <w:sz w:val="28"/>
        </w:rPr>
        <w:t>003</w:t>
      </w:r>
      <w:r w:rsidRPr="003F1573">
        <w:rPr>
          <w:bCs/>
          <w:sz w:val="28"/>
        </w:rPr>
        <w:t>%.</w:t>
      </w:r>
    </w:p>
    <w:p w:rsidR="001155AC" w:rsidRPr="003F1573" w:rsidRDefault="00BF25F9" w:rsidP="001155AC">
      <w:pPr>
        <w:spacing w:line="360" w:lineRule="auto"/>
        <w:ind w:firstLine="567"/>
        <w:jc w:val="both"/>
        <w:rPr>
          <w:bCs/>
          <w:sz w:val="28"/>
        </w:rPr>
      </w:pPr>
      <w:r w:rsidRPr="003F1573">
        <w:rPr>
          <w:bCs/>
          <w:sz w:val="28"/>
        </w:rPr>
        <w:t>Отже, за результат</w:t>
      </w:r>
      <w:r w:rsidR="0012752A" w:rsidRPr="003F1573">
        <w:rPr>
          <w:bCs/>
          <w:sz w:val="28"/>
        </w:rPr>
        <w:t>ами</w:t>
      </w:r>
      <w:r w:rsidRPr="003F1573">
        <w:rPr>
          <w:bCs/>
          <w:sz w:val="28"/>
        </w:rPr>
        <w:t xml:space="preserve"> проведених розрахунків бачимо, що </w:t>
      </w:r>
      <w:r w:rsidR="003002BB" w:rsidRPr="003F1573">
        <w:rPr>
          <w:bCs/>
          <w:sz w:val="28"/>
        </w:rPr>
        <w:t xml:space="preserve">в даному випадку </w:t>
      </w:r>
      <w:r w:rsidRPr="003F1573">
        <w:rPr>
          <w:bCs/>
          <w:sz w:val="28"/>
        </w:rPr>
        <w:t xml:space="preserve">найбільш </w:t>
      </w:r>
      <w:r w:rsidR="003002BB" w:rsidRPr="003F1573">
        <w:rPr>
          <w:bCs/>
          <w:sz w:val="28"/>
        </w:rPr>
        <w:t>високу дохідність при здійсненні операції carry trade мають</w:t>
      </w:r>
      <w:r w:rsidRPr="003F1573">
        <w:rPr>
          <w:bCs/>
          <w:sz w:val="28"/>
        </w:rPr>
        <w:t xml:space="preserve"> </w:t>
      </w:r>
      <w:r w:rsidR="003002BB" w:rsidRPr="003F1573">
        <w:rPr>
          <w:bCs/>
          <w:sz w:val="28"/>
        </w:rPr>
        <w:t>українські</w:t>
      </w:r>
      <w:r w:rsidRPr="003F1573">
        <w:rPr>
          <w:bCs/>
          <w:sz w:val="28"/>
        </w:rPr>
        <w:t xml:space="preserve"> цінні папери, </w:t>
      </w:r>
      <w:r w:rsidR="00D43042" w:rsidRPr="003F1573">
        <w:rPr>
          <w:bCs/>
          <w:sz w:val="28"/>
        </w:rPr>
        <w:t xml:space="preserve">це сталося </w:t>
      </w:r>
      <w:r w:rsidR="002D2044" w:rsidRPr="003F1573">
        <w:rPr>
          <w:bCs/>
          <w:sz w:val="28"/>
        </w:rPr>
        <w:t>насамперед</w:t>
      </w:r>
      <w:r w:rsidR="00D43042" w:rsidRPr="003F1573">
        <w:rPr>
          <w:bCs/>
          <w:sz w:val="28"/>
        </w:rPr>
        <w:t xml:space="preserve"> завдяки сприятливим валютному курсу та відсотковій ставці. Т</w:t>
      </w:r>
      <w:r w:rsidR="003002BB" w:rsidRPr="003F1573">
        <w:rPr>
          <w:bCs/>
          <w:sz w:val="28"/>
        </w:rPr>
        <w:t xml:space="preserve">ому </w:t>
      </w:r>
      <w:r w:rsidR="00800F6E" w:rsidRPr="003F1573">
        <w:rPr>
          <w:bCs/>
          <w:sz w:val="28"/>
        </w:rPr>
        <w:t>державн</w:t>
      </w:r>
      <w:r w:rsidR="003002BB" w:rsidRPr="003F1573">
        <w:rPr>
          <w:bCs/>
          <w:sz w:val="28"/>
        </w:rPr>
        <w:t>і</w:t>
      </w:r>
      <w:r w:rsidR="00800F6E" w:rsidRPr="003F1573">
        <w:rPr>
          <w:bCs/>
          <w:sz w:val="28"/>
        </w:rPr>
        <w:t xml:space="preserve"> облігаці</w:t>
      </w:r>
      <w:r w:rsidR="003002BB" w:rsidRPr="003F1573">
        <w:rPr>
          <w:bCs/>
          <w:sz w:val="28"/>
        </w:rPr>
        <w:t>ї</w:t>
      </w:r>
      <w:r w:rsidR="00800F6E" w:rsidRPr="003F1573">
        <w:rPr>
          <w:bCs/>
          <w:sz w:val="28"/>
        </w:rPr>
        <w:t xml:space="preserve"> </w:t>
      </w:r>
      <w:r w:rsidR="003002BB" w:rsidRPr="003F1573">
        <w:rPr>
          <w:bCs/>
          <w:sz w:val="28"/>
        </w:rPr>
        <w:t>України</w:t>
      </w:r>
      <w:r w:rsidR="00800F6E" w:rsidRPr="003F1573">
        <w:rPr>
          <w:bCs/>
          <w:sz w:val="28"/>
        </w:rPr>
        <w:t xml:space="preserve"> </w:t>
      </w:r>
      <w:r w:rsidR="003002BB" w:rsidRPr="003F1573">
        <w:rPr>
          <w:bCs/>
          <w:sz w:val="28"/>
        </w:rPr>
        <w:t xml:space="preserve">були б </w:t>
      </w:r>
      <w:r w:rsidR="00C66EC6" w:rsidRPr="003F1573">
        <w:rPr>
          <w:bCs/>
          <w:sz w:val="28"/>
        </w:rPr>
        <w:t xml:space="preserve">привабливими для китайських та японських інвесторів. Придбавши їх, уже в 2023 році іноземні інвестори могли б отримати достатньо високий прибуток у розмірі близько 350 тис. данських крон. Найнижчу дохідність мають державні облігації Японії, українські чи китайські інвестори отримають лише збитки, якщо вирішать стати їхніми власниками. </w:t>
      </w:r>
      <w:r w:rsidR="00747B09" w:rsidRPr="003F1573">
        <w:rPr>
          <w:bCs/>
          <w:sz w:val="28"/>
        </w:rPr>
        <w:t xml:space="preserve">У даний момент японські цінні папери є непривабливими та неприбутковими. </w:t>
      </w:r>
      <w:r w:rsidR="00B475F5" w:rsidRPr="003F1573">
        <w:rPr>
          <w:bCs/>
          <w:sz w:val="28"/>
        </w:rPr>
        <w:t xml:space="preserve">Цінні папери Китаю так само мають низьку, однак, трохи вищу за японські, дохідність. Тим не менш, українські чи японські інвестори після придбання у 2022 році китайських облігацій через рік все ж отримають </w:t>
      </w:r>
      <w:r w:rsidR="00E95DAA" w:rsidRPr="003F1573">
        <w:rPr>
          <w:bCs/>
          <w:sz w:val="28"/>
        </w:rPr>
        <w:t xml:space="preserve">невеликий </w:t>
      </w:r>
      <w:r w:rsidR="00B475F5" w:rsidRPr="003F1573">
        <w:rPr>
          <w:bCs/>
          <w:sz w:val="28"/>
        </w:rPr>
        <w:t xml:space="preserve">прибуток </w:t>
      </w:r>
      <w:r w:rsidR="00E95DAA" w:rsidRPr="003F1573">
        <w:rPr>
          <w:bCs/>
          <w:sz w:val="28"/>
        </w:rPr>
        <w:t>у розмірі близько 15 тис. данських крон.</w:t>
      </w:r>
    </w:p>
    <w:p w:rsidR="00621FB8" w:rsidRPr="003F1573" w:rsidRDefault="00621FB8" w:rsidP="00621FB8">
      <w:pPr>
        <w:spacing w:line="360" w:lineRule="auto"/>
        <w:ind w:firstLine="567"/>
        <w:jc w:val="both"/>
        <w:rPr>
          <w:bCs/>
          <w:sz w:val="28"/>
        </w:rPr>
      </w:pPr>
    </w:p>
    <w:p w:rsidR="00EF1838" w:rsidRPr="003F1573" w:rsidRDefault="00EF1838" w:rsidP="00EF1838">
      <w:pPr>
        <w:spacing w:line="360" w:lineRule="auto"/>
        <w:ind w:firstLine="567"/>
        <w:jc w:val="both"/>
        <w:rPr>
          <w:bCs/>
          <w:sz w:val="28"/>
        </w:rPr>
      </w:pPr>
    </w:p>
    <w:p w:rsidR="00EF1838" w:rsidRPr="003F1573" w:rsidRDefault="00EF1838" w:rsidP="00EF1838">
      <w:pPr>
        <w:spacing w:line="360" w:lineRule="auto"/>
        <w:ind w:firstLine="567"/>
        <w:jc w:val="both"/>
        <w:rPr>
          <w:bCs/>
          <w:sz w:val="28"/>
        </w:rPr>
      </w:pPr>
    </w:p>
    <w:p w:rsidR="00C64EA2" w:rsidRPr="003F1573" w:rsidRDefault="00C64EA2" w:rsidP="00BC2D39">
      <w:pPr>
        <w:spacing w:line="360" w:lineRule="auto"/>
        <w:ind w:firstLine="567"/>
        <w:jc w:val="both"/>
        <w:rPr>
          <w:bCs/>
          <w:sz w:val="28"/>
        </w:rPr>
      </w:pPr>
    </w:p>
    <w:p w:rsidR="001C7F96" w:rsidRDefault="001C7F96" w:rsidP="00AF6C77">
      <w:pPr>
        <w:spacing w:line="360" w:lineRule="auto"/>
        <w:ind w:firstLine="567"/>
        <w:jc w:val="both"/>
        <w:rPr>
          <w:bCs/>
          <w:sz w:val="28"/>
          <w:lang w:val="en-US"/>
        </w:rPr>
      </w:pPr>
    </w:p>
    <w:p w:rsidR="00313B0E" w:rsidRDefault="00313B0E" w:rsidP="00AF6C77">
      <w:pPr>
        <w:spacing w:line="360" w:lineRule="auto"/>
        <w:ind w:firstLine="567"/>
        <w:jc w:val="both"/>
        <w:rPr>
          <w:bCs/>
          <w:sz w:val="28"/>
          <w:lang w:val="en-US"/>
        </w:rPr>
      </w:pPr>
    </w:p>
    <w:p w:rsidR="00313B0E" w:rsidRDefault="00313B0E" w:rsidP="00AF6C77">
      <w:pPr>
        <w:spacing w:line="360" w:lineRule="auto"/>
        <w:ind w:firstLine="567"/>
        <w:jc w:val="both"/>
        <w:rPr>
          <w:bCs/>
          <w:sz w:val="28"/>
          <w:lang w:val="en-US"/>
        </w:rPr>
      </w:pPr>
    </w:p>
    <w:p w:rsidR="00313B0E" w:rsidRDefault="00313B0E" w:rsidP="00AF6C77">
      <w:pPr>
        <w:spacing w:line="360" w:lineRule="auto"/>
        <w:ind w:firstLine="567"/>
        <w:jc w:val="both"/>
        <w:rPr>
          <w:bCs/>
          <w:sz w:val="28"/>
          <w:lang w:val="en-US"/>
        </w:rPr>
      </w:pPr>
    </w:p>
    <w:p w:rsidR="00313B0E" w:rsidRPr="00313B0E" w:rsidRDefault="00313B0E" w:rsidP="00AF6C77">
      <w:pPr>
        <w:spacing w:line="360" w:lineRule="auto"/>
        <w:ind w:firstLine="567"/>
        <w:jc w:val="both"/>
        <w:rPr>
          <w:bCs/>
          <w:sz w:val="28"/>
          <w:lang w:val="en-US"/>
        </w:rPr>
      </w:pPr>
    </w:p>
    <w:p w:rsidR="00435945" w:rsidRPr="003F1573" w:rsidRDefault="00435945" w:rsidP="00CD0959">
      <w:pPr>
        <w:spacing w:line="360" w:lineRule="auto"/>
        <w:ind w:firstLine="567"/>
        <w:jc w:val="both"/>
        <w:rPr>
          <w:bCs/>
          <w:sz w:val="28"/>
        </w:rPr>
      </w:pPr>
    </w:p>
    <w:bookmarkEnd w:id="1"/>
    <w:p w:rsidR="00F33B27" w:rsidRPr="003F1573" w:rsidRDefault="00F33B27" w:rsidP="00EA786B">
      <w:pPr>
        <w:spacing w:line="360" w:lineRule="auto"/>
        <w:jc w:val="center"/>
        <w:rPr>
          <w:b/>
          <w:sz w:val="28"/>
          <w:szCs w:val="28"/>
        </w:rPr>
      </w:pPr>
      <w:r w:rsidRPr="003F1573">
        <w:rPr>
          <w:b/>
          <w:sz w:val="28"/>
          <w:szCs w:val="28"/>
        </w:rPr>
        <w:t>РОЗДІЛ 3</w:t>
      </w:r>
    </w:p>
    <w:p w:rsidR="00F33B27" w:rsidRPr="003F1573" w:rsidRDefault="00F33B27" w:rsidP="00EA786B">
      <w:pPr>
        <w:spacing w:line="360" w:lineRule="auto"/>
        <w:jc w:val="center"/>
        <w:rPr>
          <w:b/>
          <w:sz w:val="28"/>
          <w:szCs w:val="28"/>
        </w:rPr>
      </w:pPr>
      <w:r w:rsidRPr="003F1573">
        <w:rPr>
          <w:b/>
          <w:sz w:val="28"/>
          <w:szCs w:val="28"/>
        </w:rPr>
        <w:t>ОСОБЛИВОСТІ ЗОВНІШНЬОЕКОНОМІЧНИХ ОПЕРАЦІЙ ЯПОНІЇ</w:t>
      </w:r>
      <w:r w:rsidR="002E2366" w:rsidRPr="003F1573">
        <w:rPr>
          <w:b/>
          <w:sz w:val="28"/>
          <w:szCs w:val="28"/>
        </w:rPr>
        <w:t xml:space="preserve"> ТА</w:t>
      </w:r>
      <w:r w:rsidRPr="003F1573">
        <w:rPr>
          <w:b/>
          <w:sz w:val="28"/>
          <w:szCs w:val="28"/>
        </w:rPr>
        <w:t xml:space="preserve"> КИТАЮ З УКРАЇНОЮ</w:t>
      </w:r>
    </w:p>
    <w:p w:rsidR="005B076C" w:rsidRPr="003F1573" w:rsidRDefault="005B076C" w:rsidP="005B076C">
      <w:pPr>
        <w:spacing w:line="360" w:lineRule="auto"/>
        <w:jc w:val="center"/>
        <w:rPr>
          <w:sz w:val="28"/>
          <w:szCs w:val="28"/>
        </w:rPr>
      </w:pPr>
    </w:p>
    <w:p w:rsidR="00EA57F8" w:rsidRPr="003F1573" w:rsidRDefault="00EA57F8" w:rsidP="00EA57F8">
      <w:pPr>
        <w:spacing w:line="360" w:lineRule="auto"/>
        <w:ind w:firstLine="567"/>
        <w:jc w:val="both"/>
        <w:rPr>
          <w:sz w:val="28"/>
          <w:szCs w:val="28"/>
        </w:rPr>
      </w:pPr>
      <w:r w:rsidRPr="003F1573">
        <w:rPr>
          <w:sz w:val="28"/>
          <w:szCs w:val="28"/>
        </w:rPr>
        <w:t xml:space="preserve">Для того, щоб дослідити зовнішньоекономічні операції Японії, Китаю з Україною, проаналізуємо особливості взаємних </w:t>
      </w:r>
      <w:r w:rsidR="00295419" w:rsidRPr="003F1573">
        <w:rPr>
          <w:sz w:val="28"/>
          <w:szCs w:val="28"/>
        </w:rPr>
        <w:t xml:space="preserve">торгових та інвестиційних потоків цих країн, а саме динаміку торгівлі товарами, послугами та потоки прямих інвестицій з Японії й Китаю в Україну і навпаки протягом 2017-2021 років. Розглянемо таблицю 3.1, у якій наведені дані стосовно торгівлі товарами між цими країнами </w:t>
      </w:r>
      <w:r w:rsidR="00991E9A" w:rsidRPr="003F1573">
        <w:rPr>
          <w:sz w:val="28"/>
          <w:szCs w:val="28"/>
        </w:rPr>
        <w:t>за останні п’ять років.</w:t>
      </w:r>
    </w:p>
    <w:p w:rsidR="005B076C" w:rsidRPr="003F1573" w:rsidRDefault="005B076C" w:rsidP="005B076C">
      <w:pPr>
        <w:spacing w:line="360" w:lineRule="auto"/>
        <w:jc w:val="right"/>
        <w:rPr>
          <w:sz w:val="28"/>
          <w:szCs w:val="28"/>
        </w:rPr>
      </w:pPr>
      <w:r w:rsidRPr="003F1573">
        <w:rPr>
          <w:sz w:val="28"/>
          <w:szCs w:val="28"/>
        </w:rPr>
        <w:t>Таблиця 3.1.</w:t>
      </w:r>
    </w:p>
    <w:p w:rsidR="005B076C" w:rsidRPr="003F1573" w:rsidRDefault="005B076C" w:rsidP="005B076C">
      <w:pPr>
        <w:spacing w:line="360" w:lineRule="auto"/>
        <w:jc w:val="center"/>
        <w:rPr>
          <w:b/>
          <w:sz w:val="28"/>
          <w:szCs w:val="28"/>
        </w:rPr>
      </w:pPr>
      <w:r w:rsidRPr="003F1573">
        <w:rPr>
          <w:b/>
          <w:sz w:val="28"/>
          <w:szCs w:val="28"/>
        </w:rPr>
        <w:t xml:space="preserve">Статистика торгівлі товарами між Японією/Китаєм та Україною </w:t>
      </w:r>
    </w:p>
    <w:p w:rsidR="002035B6" w:rsidRPr="003F1573" w:rsidRDefault="005B076C" w:rsidP="005B076C">
      <w:pPr>
        <w:spacing w:line="360" w:lineRule="auto"/>
        <w:jc w:val="center"/>
        <w:rPr>
          <w:b/>
          <w:sz w:val="28"/>
          <w:szCs w:val="28"/>
        </w:rPr>
      </w:pPr>
      <w:r w:rsidRPr="003F1573">
        <w:rPr>
          <w:b/>
          <w:sz w:val="28"/>
          <w:szCs w:val="28"/>
        </w:rPr>
        <w:t>протягом 2017-2021 рр., млрд дол. США</w:t>
      </w:r>
    </w:p>
    <w:tbl>
      <w:tblPr>
        <w:tblStyle w:val="a7"/>
        <w:tblW w:w="0" w:type="auto"/>
        <w:jc w:val="center"/>
        <w:tblLook w:val="04A0" w:firstRow="1" w:lastRow="0" w:firstColumn="1" w:lastColumn="0" w:noHBand="0" w:noVBand="1"/>
      </w:tblPr>
      <w:tblGrid>
        <w:gridCol w:w="1326"/>
        <w:gridCol w:w="1312"/>
        <w:gridCol w:w="1355"/>
        <w:gridCol w:w="1382"/>
        <w:gridCol w:w="1341"/>
        <w:gridCol w:w="1491"/>
        <w:gridCol w:w="1476"/>
      </w:tblGrid>
      <w:tr w:rsidR="00F33B27" w:rsidRPr="003F1573" w:rsidTr="00EA57F8">
        <w:trPr>
          <w:jc w:val="center"/>
        </w:trPr>
        <w:tc>
          <w:tcPr>
            <w:tcW w:w="1330" w:type="dxa"/>
            <w:vMerge w:val="restart"/>
            <w:vAlign w:val="center"/>
          </w:tcPr>
          <w:p w:rsidR="00F33B27" w:rsidRPr="003F1573" w:rsidRDefault="002035B6" w:rsidP="00F33B27">
            <w:pPr>
              <w:spacing w:line="360" w:lineRule="auto"/>
              <w:jc w:val="center"/>
              <w:rPr>
                <w:b/>
                <w:sz w:val="24"/>
                <w:szCs w:val="24"/>
              </w:rPr>
            </w:pPr>
            <w:r w:rsidRPr="003F1573">
              <w:rPr>
                <w:b/>
                <w:sz w:val="24"/>
                <w:szCs w:val="24"/>
              </w:rPr>
              <w:t>Показник</w:t>
            </w:r>
          </w:p>
        </w:tc>
        <w:tc>
          <w:tcPr>
            <w:tcW w:w="2776" w:type="dxa"/>
            <w:gridSpan w:val="2"/>
            <w:vAlign w:val="center"/>
          </w:tcPr>
          <w:p w:rsidR="00F33B27" w:rsidRPr="00D72D19" w:rsidRDefault="00F33B27" w:rsidP="00F33B27">
            <w:pPr>
              <w:spacing w:line="360" w:lineRule="auto"/>
              <w:jc w:val="center"/>
              <w:rPr>
                <w:b/>
                <w:sz w:val="24"/>
                <w:szCs w:val="24"/>
              </w:rPr>
            </w:pPr>
            <w:r w:rsidRPr="00D72D19">
              <w:rPr>
                <w:b/>
                <w:sz w:val="24"/>
                <w:szCs w:val="24"/>
              </w:rPr>
              <w:t>Експорт товарів</w:t>
            </w:r>
          </w:p>
        </w:tc>
        <w:tc>
          <w:tcPr>
            <w:tcW w:w="2835" w:type="dxa"/>
            <w:gridSpan w:val="2"/>
            <w:vAlign w:val="center"/>
          </w:tcPr>
          <w:p w:rsidR="00F33B27" w:rsidRPr="00D72D19" w:rsidRDefault="002035B6" w:rsidP="00F33B27">
            <w:pPr>
              <w:spacing w:line="360" w:lineRule="auto"/>
              <w:jc w:val="center"/>
              <w:rPr>
                <w:b/>
                <w:sz w:val="24"/>
                <w:szCs w:val="24"/>
              </w:rPr>
            </w:pPr>
            <w:r w:rsidRPr="00D72D19">
              <w:rPr>
                <w:b/>
                <w:sz w:val="24"/>
                <w:szCs w:val="24"/>
              </w:rPr>
              <w:t>Імпорт товарів</w:t>
            </w:r>
          </w:p>
        </w:tc>
        <w:tc>
          <w:tcPr>
            <w:tcW w:w="3112" w:type="dxa"/>
            <w:gridSpan w:val="2"/>
            <w:vAlign w:val="center"/>
          </w:tcPr>
          <w:p w:rsidR="00F33B27" w:rsidRPr="00D72D19" w:rsidRDefault="002035B6" w:rsidP="00F33B27">
            <w:pPr>
              <w:spacing w:line="360" w:lineRule="auto"/>
              <w:jc w:val="center"/>
              <w:rPr>
                <w:b/>
                <w:sz w:val="24"/>
                <w:szCs w:val="24"/>
              </w:rPr>
            </w:pPr>
            <w:r w:rsidRPr="00D72D19">
              <w:rPr>
                <w:b/>
                <w:sz w:val="24"/>
                <w:szCs w:val="24"/>
              </w:rPr>
              <w:t>Сальдо торгівлі товарами</w:t>
            </w:r>
          </w:p>
        </w:tc>
      </w:tr>
      <w:tr w:rsidR="00F33B27" w:rsidRPr="003F1573" w:rsidTr="00EA57F8">
        <w:trPr>
          <w:jc w:val="center"/>
        </w:trPr>
        <w:tc>
          <w:tcPr>
            <w:tcW w:w="1330" w:type="dxa"/>
            <w:vMerge/>
            <w:vAlign w:val="center"/>
          </w:tcPr>
          <w:p w:rsidR="00F33B27" w:rsidRPr="003F1573" w:rsidRDefault="00F33B27" w:rsidP="00F33B27">
            <w:pPr>
              <w:spacing w:line="360" w:lineRule="auto"/>
              <w:jc w:val="center"/>
              <w:rPr>
                <w:b/>
                <w:sz w:val="24"/>
                <w:szCs w:val="24"/>
              </w:rPr>
            </w:pPr>
          </w:p>
        </w:tc>
        <w:tc>
          <w:tcPr>
            <w:tcW w:w="1359" w:type="dxa"/>
            <w:vAlign w:val="center"/>
          </w:tcPr>
          <w:p w:rsidR="00F33B27" w:rsidRPr="00D72D19" w:rsidRDefault="002035B6" w:rsidP="00F33B27">
            <w:pPr>
              <w:spacing w:line="360" w:lineRule="auto"/>
              <w:jc w:val="center"/>
              <w:rPr>
                <w:sz w:val="24"/>
                <w:szCs w:val="24"/>
              </w:rPr>
            </w:pPr>
            <w:r w:rsidRPr="00D72D19">
              <w:rPr>
                <w:sz w:val="24"/>
                <w:szCs w:val="24"/>
              </w:rPr>
              <w:t>Японія</w:t>
            </w:r>
          </w:p>
        </w:tc>
        <w:tc>
          <w:tcPr>
            <w:tcW w:w="1417" w:type="dxa"/>
            <w:vAlign w:val="center"/>
          </w:tcPr>
          <w:p w:rsidR="00F33B27" w:rsidRPr="00D72D19" w:rsidRDefault="002035B6" w:rsidP="00F33B27">
            <w:pPr>
              <w:spacing w:line="360" w:lineRule="auto"/>
              <w:jc w:val="center"/>
              <w:rPr>
                <w:sz w:val="24"/>
                <w:szCs w:val="24"/>
              </w:rPr>
            </w:pPr>
            <w:r w:rsidRPr="00D72D19">
              <w:rPr>
                <w:sz w:val="24"/>
                <w:szCs w:val="24"/>
              </w:rPr>
              <w:t>Китай</w:t>
            </w:r>
          </w:p>
        </w:tc>
        <w:tc>
          <w:tcPr>
            <w:tcW w:w="1437" w:type="dxa"/>
            <w:vAlign w:val="center"/>
          </w:tcPr>
          <w:p w:rsidR="00F33B27" w:rsidRPr="00D72D19" w:rsidRDefault="002035B6" w:rsidP="00F33B27">
            <w:pPr>
              <w:spacing w:line="360" w:lineRule="auto"/>
              <w:jc w:val="center"/>
              <w:rPr>
                <w:sz w:val="24"/>
                <w:szCs w:val="24"/>
              </w:rPr>
            </w:pPr>
            <w:r w:rsidRPr="00D72D19">
              <w:rPr>
                <w:sz w:val="24"/>
                <w:szCs w:val="24"/>
              </w:rPr>
              <w:t>Японія</w:t>
            </w:r>
          </w:p>
        </w:tc>
        <w:tc>
          <w:tcPr>
            <w:tcW w:w="1398" w:type="dxa"/>
            <w:vAlign w:val="center"/>
          </w:tcPr>
          <w:p w:rsidR="00F33B27" w:rsidRPr="00D72D19" w:rsidRDefault="002035B6" w:rsidP="00F33B27">
            <w:pPr>
              <w:spacing w:line="360" w:lineRule="auto"/>
              <w:jc w:val="center"/>
              <w:rPr>
                <w:sz w:val="24"/>
                <w:szCs w:val="24"/>
              </w:rPr>
            </w:pPr>
            <w:r w:rsidRPr="00D72D19">
              <w:rPr>
                <w:sz w:val="24"/>
                <w:szCs w:val="24"/>
              </w:rPr>
              <w:t>Китай</w:t>
            </w:r>
          </w:p>
        </w:tc>
        <w:tc>
          <w:tcPr>
            <w:tcW w:w="1559" w:type="dxa"/>
            <w:vAlign w:val="center"/>
          </w:tcPr>
          <w:p w:rsidR="00F33B27" w:rsidRPr="00D72D19" w:rsidRDefault="002035B6" w:rsidP="00F33B27">
            <w:pPr>
              <w:spacing w:line="360" w:lineRule="auto"/>
              <w:jc w:val="center"/>
              <w:rPr>
                <w:sz w:val="24"/>
                <w:szCs w:val="24"/>
              </w:rPr>
            </w:pPr>
            <w:r w:rsidRPr="00D72D19">
              <w:rPr>
                <w:sz w:val="24"/>
                <w:szCs w:val="24"/>
              </w:rPr>
              <w:t>Японія</w:t>
            </w:r>
          </w:p>
        </w:tc>
        <w:tc>
          <w:tcPr>
            <w:tcW w:w="1553" w:type="dxa"/>
            <w:vAlign w:val="center"/>
          </w:tcPr>
          <w:p w:rsidR="00F33B27" w:rsidRPr="00D72D19" w:rsidRDefault="002035B6" w:rsidP="00F33B27">
            <w:pPr>
              <w:spacing w:line="360" w:lineRule="auto"/>
              <w:jc w:val="center"/>
              <w:rPr>
                <w:sz w:val="24"/>
                <w:szCs w:val="24"/>
              </w:rPr>
            </w:pPr>
            <w:r w:rsidRPr="00D72D19">
              <w:rPr>
                <w:sz w:val="24"/>
                <w:szCs w:val="24"/>
              </w:rPr>
              <w:t>Китай</w:t>
            </w:r>
          </w:p>
        </w:tc>
      </w:tr>
      <w:tr w:rsidR="00F33B27" w:rsidRPr="003F1573" w:rsidTr="00EA57F8">
        <w:trPr>
          <w:jc w:val="center"/>
        </w:trPr>
        <w:tc>
          <w:tcPr>
            <w:tcW w:w="1330" w:type="dxa"/>
            <w:vAlign w:val="center"/>
          </w:tcPr>
          <w:p w:rsidR="00F33B27" w:rsidRPr="003F1573" w:rsidRDefault="002035B6" w:rsidP="00F33B27">
            <w:pPr>
              <w:spacing w:line="360" w:lineRule="auto"/>
              <w:jc w:val="center"/>
              <w:rPr>
                <w:b/>
                <w:sz w:val="24"/>
                <w:szCs w:val="24"/>
              </w:rPr>
            </w:pPr>
            <w:r w:rsidRPr="003F1573">
              <w:rPr>
                <w:b/>
                <w:sz w:val="24"/>
                <w:szCs w:val="24"/>
              </w:rPr>
              <w:t>2017</w:t>
            </w:r>
          </w:p>
        </w:tc>
        <w:tc>
          <w:tcPr>
            <w:tcW w:w="1359" w:type="dxa"/>
            <w:vAlign w:val="center"/>
          </w:tcPr>
          <w:p w:rsidR="00F33B27" w:rsidRPr="003F1573" w:rsidRDefault="00240FEE" w:rsidP="00F33B27">
            <w:pPr>
              <w:spacing w:line="360" w:lineRule="auto"/>
              <w:jc w:val="center"/>
              <w:rPr>
                <w:sz w:val="24"/>
                <w:szCs w:val="24"/>
              </w:rPr>
            </w:pPr>
            <w:r w:rsidRPr="003F1573">
              <w:rPr>
                <w:sz w:val="24"/>
                <w:szCs w:val="24"/>
              </w:rPr>
              <w:t>0,218</w:t>
            </w:r>
          </w:p>
        </w:tc>
        <w:tc>
          <w:tcPr>
            <w:tcW w:w="1417" w:type="dxa"/>
            <w:vAlign w:val="center"/>
          </w:tcPr>
          <w:p w:rsidR="00F33B27" w:rsidRPr="003F1573" w:rsidRDefault="002035B6" w:rsidP="00F33B27">
            <w:pPr>
              <w:spacing w:line="360" w:lineRule="auto"/>
              <w:jc w:val="center"/>
              <w:rPr>
                <w:sz w:val="24"/>
                <w:szCs w:val="24"/>
              </w:rPr>
            </w:pPr>
            <w:r w:rsidRPr="003F1573">
              <w:rPr>
                <w:sz w:val="24"/>
                <w:szCs w:val="24"/>
              </w:rPr>
              <w:t>2,039</w:t>
            </w:r>
          </w:p>
        </w:tc>
        <w:tc>
          <w:tcPr>
            <w:tcW w:w="1437" w:type="dxa"/>
            <w:vAlign w:val="center"/>
          </w:tcPr>
          <w:p w:rsidR="00F33B27" w:rsidRPr="003F1573" w:rsidRDefault="00240FEE" w:rsidP="00F33B27">
            <w:pPr>
              <w:spacing w:line="360" w:lineRule="auto"/>
              <w:jc w:val="center"/>
              <w:rPr>
                <w:sz w:val="24"/>
                <w:szCs w:val="24"/>
              </w:rPr>
            </w:pPr>
            <w:r w:rsidRPr="003F1573">
              <w:rPr>
                <w:sz w:val="24"/>
                <w:szCs w:val="24"/>
              </w:rPr>
              <w:t>0,724</w:t>
            </w:r>
          </w:p>
        </w:tc>
        <w:tc>
          <w:tcPr>
            <w:tcW w:w="1398" w:type="dxa"/>
            <w:vAlign w:val="center"/>
          </w:tcPr>
          <w:p w:rsidR="00F33B27" w:rsidRPr="003F1573" w:rsidRDefault="00240FEE" w:rsidP="00F33B27">
            <w:pPr>
              <w:spacing w:line="360" w:lineRule="auto"/>
              <w:jc w:val="center"/>
              <w:rPr>
                <w:sz w:val="24"/>
                <w:szCs w:val="24"/>
              </w:rPr>
            </w:pPr>
            <w:r w:rsidRPr="003F1573">
              <w:rPr>
                <w:sz w:val="24"/>
                <w:szCs w:val="24"/>
              </w:rPr>
              <w:t>5,649</w:t>
            </w:r>
          </w:p>
        </w:tc>
        <w:tc>
          <w:tcPr>
            <w:tcW w:w="1559" w:type="dxa"/>
            <w:vAlign w:val="center"/>
          </w:tcPr>
          <w:p w:rsidR="00F33B27" w:rsidRPr="003F1573" w:rsidRDefault="00240FEE" w:rsidP="00F33B27">
            <w:pPr>
              <w:spacing w:line="360" w:lineRule="auto"/>
              <w:jc w:val="center"/>
              <w:rPr>
                <w:sz w:val="24"/>
                <w:szCs w:val="24"/>
              </w:rPr>
            </w:pPr>
            <w:r w:rsidRPr="003F1573">
              <w:rPr>
                <w:sz w:val="24"/>
                <w:szCs w:val="24"/>
              </w:rPr>
              <w:t>-0,506</w:t>
            </w:r>
          </w:p>
        </w:tc>
        <w:tc>
          <w:tcPr>
            <w:tcW w:w="1553" w:type="dxa"/>
            <w:vAlign w:val="center"/>
          </w:tcPr>
          <w:p w:rsidR="00F33B27" w:rsidRPr="003F1573" w:rsidRDefault="00240FEE" w:rsidP="00F33B27">
            <w:pPr>
              <w:spacing w:line="360" w:lineRule="auto"/>
              <w:jc w:val="center"/>
              <w:rPr>
                <w:sz w:val="24"/>
                <w:szCs w:val="24"/>
              </w:rPr>
            </w:pPr>
            <w:r w:rsidRPr="003F1573">
              <w:rPr>
                <w:sz w:val="24"/>
                <w:szCs w:val="24"/>
              </w:rPr>
              <w:t>-3,61</w:t>
            </w:r>
          </w:p>
        </w:tc>
      </w:tr>
      <w:tr w:rsidR="00F33B27" w:rsidRPr="003F1573" w:rsidTr="00EA57F8">
        <w:trPr>
          <w:jc w:val="center"/>
        </w:trPr>
        <w:tc>
          <w:tcPr>
            <w:tcW w:w="1330" w:type="dxa"/>
            <w:vAlign w:val="center"/>
          </w:tcPr>
          <w:p w:rsidR="00F33B27" w:rsidRPr="003F1573" w:rsidRDefault="002035B6" w:rsidP="00F33B27">
            <w:pPr>
              <w:spacing w:line="360" w:lineRule="auto"/>
              <w:jc w:val="center"/>
              <w:rPr>
                <w:b/>
                <w:sz w:val="24"/>
                <w:szCs w:val="24"/>
              </w:rPr>
            </w:pPr>
            <w:r w:rsidRPr="003F1573">
              <w:rPr>
                <w:b/>
                <w:sz w:val="24"/>
                <w:szCs w:val="24"/>
              </w:rPr>
              <w:t>2018</w:t>
            </w:r>
          </w:p>
        </w:tc>
        <w:tc>
          <w:tcPr>
            <w:tcW w:w="1359" w:type="dxa"/>
            <w:vAlign w:val="center"/>
          </w:tcPr>
          <w:p w:rsidR="00F33B27" w:rsidRPr="003F1573" w:rsidRDefault="000408B5" w:rsidP="00F33B27">
            <w:pPr>
              <w:spacing w:line="360" w:lineRule="auto"/>
              <w:jc w:val="center"/>
              <w:rPr>
                <w:sz w:val="24"/>
                <w:szCs w:val="24"/>
              </w:rPr>
            </w:pPr>
            <w:r w:rsidRPr="003F1573">
              <w:rPr>
                <w:sz w:val="24"/>
                <w:szCs w:val="24"/>
              </w:rPr>
              <w:t>0,232</w:t>
            </w:r>
          </w:p>
        </w:tc>
        <w:tc>
          <w:tcPr>
            <w:tcW w:w="1417" w:type="dxa"/>
            <w:vAlign w:val="center"/>
          </w:tcPr>
          <w:p w:rsidR="00F33B27" w:rsidRPr="003F1573" w:rsidRDefault="00240FEE" w:rsidP="00F33B27">
            <w:pPr>
              <w:spacing w:line="360" w:lineRule="auto"/>
              <w:jc w:val="center"/>
              <w:rPr>
                <w:sz w:val="24"/>
                <w:szCs w:val="24"/>
              </w:rPr>
            </w:pPr>
            <w:r w:rsidRPr="003F1573">
              <w:rPr>
                <w:sz w:val="24"/>
                <w:szCs w:val="24"/>
              </w:rPr>
              <w:t>2,2</w:t>
            </w:r>
          </w:p>
        </w:tc>
        <w:tc>
          <w:tcPr>
            <w:tcW w:w="1437" w:type="dxa"/>
            <w:vAlign w:val="center"/>
          </w:tcPr>
          <w:p w:rsidR="00F33B27" w:rsidRPr="003F1573" w:rsidRDefault="000408B5" w:rsidP="00F33B27">
            <w:pPr>
              <w:spacing w:line="360" w:lineRule="auto"/>
              <w:jc w:val="center"/>
              <w:rPr>
                <w:sz w:val="24"/>
                <w:szCs w:val="24"/>
              </w:rPr>
            </w:pPr>
            <w:r w:rsidRPr="003F1573">
              <w:rPr>
                <w:sz w:val="24"/>
                <w:szCs w:val="24"/>
              </w:rPr>
              <w:t>0,737</w:t>
            </w:r>
          </w:p>
        </w:tc>
        <w:tc>
          <w:tcPr>
            <w:tcW w:w="1398" w:type="dxa"/>
            <w:vAlign w:val="center"/>
          </w:tcPr>
          <w:p w:rsidR="00F33B27" w:rsidRPr="003F1573" w:rsidRDefault="00240FEE" w:rsidP="00F33B27">
            <w:pPr>
              <w:spacing w:line="360" w:lineRule="auto"/>
              <w:jc w:val="center"/>
              <w:rPr>
                <w:sz w:val="24"/>
                <w:szCs w:val="24"/>
              </w:rPr>
            </w:pPr>
            <w:r w:rsidRPr="003F1573">
              <w:rPr>
                <w:sz w:val="24"/>
                <w:szCs w:val="24"/>
              </w:rPr>
              <w:t>7,608</w:t>
            </w:r>
          </w:p>
        </w:tc>
        <w:tc>
          <w:tcPr>
            <w:tcW w:w="1559" w:type="dxa"/>
            <w:vAlign w:val="center"/>
          </w:tcPr>
          <w:p w:rsidR="00F33B27" w:rsidRPr="003F1573" w:rsidRDefault="000408B5" w:rsidP="00F33B27">
            <w:pPr>
              <w:spacing w:line="360" w:lineRule="auto"/>
              <w:jc w:val="center"/>
              <w:rPr>
                <w:sz w:val="24"/>
                <w:szCs w:val="24"/>
              </w:rPr>
            </w:pPr>
            <w:r w:rsidRPr="003F1573">
              <w:rPr>
                <w:sz w:val="24"/>
                <w:szCs w:val="24"/>
              </w:rPr>
              <w:t>-0,505</w:t>
            </w:r>
          </w:p>
        </w:tc>
        <w:tc>
          <w:tcPr>
            <w:tcW w:w="1553" w:type="dxa"/>
            <w:vAlign w:val="center"/>
          </w:tcPr>
          <w:p w:rsidR="00F33B27" w:rsidRPr="003F1573" w:rsidRDefault="000408B5" w:rsidP="00F33B27">
            <w:pPr>
              <w:spacing w:line="360" w:lineRule="auto"/>
              <w:jc w:val="center"/>
              <w:rPr>
                <w:sz w:val="24"/>
                <w:szCs w:val="24"/>
              </w:rPr>
            </w:pPr>
            <w:r w:rsidRPr="003F1573">
              <w:rPr>
                <w:sz w:val="24"/>
                <w:szCs w:val="24"/>
              </w:rPr>
              <w:t>-5,408</w:t>
            </w:r>
          </w:p>
        </w:tc>
      </w:tr>
      <w:tr w:rsidR="00F33B27" w:rsidRPr="003F1573" w:rsidTr="00EA57F8">
        <w:trPr>
          <w:jc w:val="center"/>
        </w:trPr>
        <w:tc>
          <w:tcPr>
            <w:tcW w:w="1330" w:type="dxa"/>
            <w:vAlign w:val="center"/>
          </w:tcPr>
          <w:p w:rsidR="00F33B27" w:rsidRPr="003F1573" w:rsidRDefault="002035B6" w:rsidP="00F33B27">
            <w:pPr>
              <w:spacing w:line="360" w:lineRule="auto"/>
              <w:jc w:val="center"/>
              <w:rPr>
                <w:b/>
                <w:sz w:val="24"/>
                <w:szCs w:val="24"/>
              </w:rPr>
            </w:pPr>
            <w:r w:rsidRPr="003F1573">
              <w:rPr>
                <w:b/>
                <w:sz w:val="24"/>
                <w:szCs w:val="24"/>
              </w:rPr>
              <w:t>2019</w:t>
            </w:r>
          </w:p>
        </w:tc>
        <w:tc>
          <w:tcPr>
            <w:tcW w:w="1359" w:type="dxa"/>
            <w:vAlign w:val="center"/>
          </w:tcPr>
          <w:p w:rsidR="00F33B27" w:rsidRPr="003F1573" w:rsidRDefault="002D5171" w:rsidP="00F33B27">
            <w:pPr>
              <w:spacing w:line="360" w:lineRule="auto"/>
              <w:jc w:val="center"/>
              <w:rPr>
                <w:sz w:val="24"/>
                <w:szCs w:val="24"/>
              </w:rPr>
            </w:pPr>
            <w:r w:rsidRPr="003F1573">
              <w:rPr>
                <w:sz w:val="24"/>
                <w:szCs w:val="24"/>
              </w:rPr>
              <w:t>0,249</w:t>
            </w:r>
          </w:p>
        </w:tc>
        <w:tc>
          <w:tcPr>
            <w:tcW w:w="1417" w:type="dxa"/>
            <w:vAlign w:val="center"/>
          </w:tcPr>
          <w:p w:rsidR="00F33B27" w:rsidRPr="003F1573" w:rsidRDefault="000408B5" w:rsidP="00F33B27">
            <w:pPr>
              <w:spacing w:line="360" w:lineRule="auto"/>
              <w:jc w:val="center"/>
              <w:rPr>
                <w:sz w:val="24"/>
                <w:szCs w:val="24"/>
              </w:rPr>
            </w:pPr>
            <w:r w:rsidRPr="003F1573">
              <w:rPr>
                <w:sz w:val="24"/>
                <w:szCs w:val="24"/>
              </w:rPr>
              <w:t>3,593</w:t>
            </w:r>
          </w:p>
        </w:tc>
        <w:tc>
          <w:tcPr>
            <w:tcW w:w="1437" w:type="dxa"/>
            <w:vAlign w:val="center"/>
          </w:tcPr>
          <w:p w:rsidR="00F33B27" w:rsidRPr="003F1573" w:rsidRDefault="002D5171" w:rsidP="00F33B27">
            <w:pPr>
              <w:spacing w:line="360" w:lineRule="auto"/>
              <w:jc w:val="center"/>
              <w:rPr>
                <w:sz w:val="24"/>
                <w:szCs w:val="24"/>
              </w:rPr>
            </w:pPr>
            <w:r w:rsidRPr="003F1573">
              <w:rPr>
                <w:sz w:val="24"/>
                <w:szCs w:val="24"/>
              </w:rPr>
              <w:t>0,963</w:t>
            </w:r>
          </w:p>
        </w:tc>
        <w:tc>
          <w:tcPr>
            <w:tcW w:w="1398" w:type="dxa"/>
            <w:vAlign w:val="center"/>
          </w:tcPr>
          <w:p w:rsidR="00F33B27" w:rsidRPr="003F1573" w:rsidRDefault="000408B5" w:rsidP="00F33B27">
            <w:pPr>
              <w:spacing w:line="360" w:lineRule="auto"/>
              <w:jc w:val="center"/>
              <w:rPr>
                <w:sz w:val="24"/>
                <w:szCs w:val="24"/>
              </w:rPr>
            </w:pPr>
            <w:r w:rsidRPr="003F1573">
              <w:rPr>
                <w:sz w:val="24"/>
                <w:szCs w:val="24"/>
              </w:rPr>
              <w:t>9,205</w:t>
            </w:r>
          </w:p>
        </w:tc>
        <w:tc>
          <w:tcPr>
            <w:tcW w:w="1559" w:type="dxa"/>
            <w:vAlign w:val="center"/>
          </w:tcPr>
          <w:p w:rsidR="00F33B27" w:rsidRPr="003F1573" w:rsidRDefault="002D5171" w:rsidP="00F33B27">
            <w:pPr>
              <w:spacing w:line="360" w:lineRule="auto"/>
              <w:jc w:val="center"/>
              <w:rPr>
                <w:sz w:val="24"/>
                <w:szCs w:val="24"/>
              </w:rPr>
            </w:pPr>
            <w:r w:rsidRPr="003F1573">
              <w:rPr>
                <w:sz w:val="24"/>
                <w:szCs w:val="24"/>
              </w:rPr>
              <w:t>-0,714</w:t>
            </w:r>
          </w:p>
        </w:tc>
        <w:tc>
          <w:tcPr>
            <w:tcW w:w="1553" w:type="dxa"/>
            <w:vAlign w:val="center"/>
          </w:tcPr>
          <w:p w:rsidR="00F33B27" w:rsidRPr="003F1573" w:rsidRDefault="002D5171" w:rsidP="00F33B27">
            <w:pPr>
              <w:spacing w:line="360" w:lineRule="auto"/>
              <w:jc w:val="center"/>
              <w:rPr>
                <w:sz w:val="24"/>
                <w:szCs w:val="24"/>
              </w:rPr>
            </w:pPr>
            <w:r w:rsidRPr="003F1573">
              <w:rPr>
                <w:sz w:val="24"/>
                <w:szCs w:val="24"/>
              </w:rPr>
              <w:t>-5,612</w:t>
            </w:r>
          </w:p>
        </w:tc>
      </w:tr>
      <w:tr w:rsidR="00F33B27" w:rsidRPr="003F1573" w:rsidTr="00EA57F8">
        <w:trPr>
          <w:jc w:val="center"/>
        </w:trPr>
        <w:tc>
          <w:tcPr>
            <w:tcW w:w="1330" w:type="dxa"/>
            <w:vAlign w:val="center"/>
          </w:tcPr>
          <w:p w:rsidR="00F33B27" w:rsidRPr="003F1573" w:rsidRDefault="002035B6" w:rsidP="00F33B27">
            <w:pPr>
              <w:spacing w:line="360" w:lineRule="auto"/>
              <w:jc w:val="center"/>
              <w:rPr>
                <w:b/>
                <w:sz w:val="24"/>
                <w:szCs w:val="24"/>
              </w:rPr>
            </w:pPr>
            <w:r w:rsidRPr="003F1573">
              <w:rPr>
                <w:b/>
                <w:sz w:val="24"/>
                <w:szCs w:val="24"/>
              </w:rPr>
              <w:t>2020</w:t>
            </w:r>
          </w:p>
        </w:tc>
        <w:tc>
          <w:tcPr>
            <w:tcW w:w="1359" w:type="dxa"/>
            <w:vAlign w:val="center"/>
          </w:tcPr>
          <w:p w:rsidR="00F33B27" w:rsidRPr="003F1573" w:rsidRDefault="002D5171" w:rsidP="00F33B27">
            <w:pPr>
              <w:spacing w:line="360" w:lineRule="auto"/>
              <w:jc w:val="center"/>
              <w:rPr>
                <w:sz w:val="24"/>
                <w:szCs w:val="24"/>
              </w:rPr>
            </w:pPr>
            <w:r w:rsidRPr="003F1573">
              <w:rPr>
                <w:sz w:val="24"/>
                <w:szCs w:val="24"/>
              </w:rPr>
              <w:t>0,182</w:t>
            </w:r>
          </w:p>
        </w:tc>
        <w:tc>
          <w:tcPr>
            <w:tcW w:w="1417" w:type="dxa"/>
            <w:vAlign w:val="center"/>
          </w:tcPr>
          <w:p w:rsidR="00F33B27" w:rsidRPr="003F1573" w:rsidRDefault="002D5171" w:rsidP="00F33B27">
            <w:pPr>
              <w:spacing w:line="360" w:lineRule="auto"/>
              <w:jc w:val="center"/>
              <w:rPr>
                <w:sz w:val="24"/>
                <w:szCs w:val="24"/>
              </w:rPr>
            </w:pPr>
            <w:r w:rsidRPr="003F1573">
              <w:rPr>
                <w:sz w:val="24"/>
                <w:szCs w:val="24"/>
              </w:rPr>
              <w:t>7,099</w:t>
            </w:r>
          </w:p>
        </w:tc>
        <w:tc>
          <w:tcPr>
            <w:tcW w:w="1437" w:type="dxa"/>
            <w:vAlign w:val="center"/>
          </w:tcPr>
          <w:p w:rsidR="00F33B27" w:rsidRPr="003F1573" w:rsidRDefault="002D5171" w:rsidP="00F33B27">
            <w:pPr>
              <w:spacing w:line="360" w:lineRule="auto"/>
              <w:jc w:val="center"/>
              <w:rPr>
                <w:sz w:val="24"/>
                <w:szCs w:val="24"/>
              </w:rPr>
            </w:pPr>
            <w:r w:rsidRPr="003F1573">
              <w:rPr>
                <w:sz w:val="24"/>
                <w:szCs w:val="24"/>
              </w:rPr>
              <w:t>1,076</w:t>
            </w:r>
          </w:p>
        </w:tc>
        <w:tc>
          <w:tcPr>
            <w:tcW w:w="1398" w:type="dxa"/>
            <w:vAlign w:val="center"/>
          </w:tcPr>
          <w:p w:rsidR="00F33B27" w:rsidRPr="003F1573" w:rsidRDefault="002D5171" w:rsidP="00F33B27">
            <w:pPr>
              <w:spacing w:line="360" w:lineRule="auto"/>
              <w:jc w:val="center"/>
              <w:rPr>
                <w:sz w:val="24"/>
                <w:szCs w:val="24"/>
              </w:rPr>
            </w:pPr>
            <w:r w:rsidRPr="003F1573">
              <w:rPr>
                <w:sz w:val="24"/>
                <w:szCs w:val="24"/>
              </w:rPr>
              <w:t>8,318</w:t>
            </w:r>
          </w:p>
        </w:tc>
        <w:tc>
          <w:tcPr>
            <w:tcW w:w="1559" w:type="dxa"/>
            <w:vAlign w:val="center"/>
          </w:tcPr>
          <w:p w:rsidR="00F33B27" w:rsidRPr="003F1573" w:rsidRDefault="002D5171" w:rsidP="00F33B27">
            <w:pPr>
              <w:spacing w:line="360" w:lineRule="auto"/>
              <w:jc w:val="center"/>
              <w:rPr>
                <w:sz w:val="24"/>
                <w:szCs w:val="24"/>
              </w:rPr>
            </w:pPr>
            <w:r w:rsidRPr="003F1573">
              <w:rPr>
                <w:sz w:val="24"/>
                <w:szCs w:val="24"/>
              </w:rPr>
              <w:t>-0,894</w:t>
            </w:r>
          </w:p>
        </w:tc>
        <w:tc>
          <w:tcPr>
            <w:tcW w:w="1553" w:type="dxa"/>
            <w:vAlign w:val="center"/>
          </w:tcPr>
          <w:p w:rsidR="00F33B27" w:rsidRPr="003F1573" w:rsidRDefault="002D5171" w:rsidP="00F33B27">
            <w:pPr>
              <w:spacing w:line="360" w:lineRule="auto"/>
              <w:jc w:val="center"/>
              <w:rPr>
                <w:sz w:val="24"/>
                <w:szCs w:val="24"/>
              </w:rPr>
            </w:pPr>
            <w:r w:rsidRPr="003F1573">
              <w:rPr>
                <w:sz w:val="24"/>
                <w:szCs w:val="24"/>
              </w:rPr>
              <w:t>-1,219</w:t>
            </w:r>
          </w:p>
        </w:tc>
      </w:tr>
      <w:tr w:rsidR="00F33B27" w:rsidRPr="003F1573" w:rsidTr="00EA57F8">
        <w:trPr>
          <w:jc w:val="center"/>
        </w:trPr>
        <w:tc>
          <w:tcPr>
            <w:tcW w:w="1330" w:type="dxa"/>
            <w:vAlign w:val="center"/>
          </w:tcPr>
          <w:p w:rsidR="00F33B27" w:rsidRPr="003F1573" w:rsidRDefault="002035B6" w:rsidP="00F33B27">
            <w:pPr>
              <w:spacing w:line="360" w:lineRule="auto"/>
              <w:jc w:val="center"/>
              <w:rPr>
                <w:b/>
                <w:sz w:val="24"/>
                <w:szCs w:val="24"/>
              </w:rPr>
            </w:pPr>
            <w:r w:rsidRPr="003F1573">
              <w:rPr>
                <w:b/>
                <w:sz w:val="24"/>
                <w:szCs w:val="24"/>
              </w:rPr>
              <w:t>2021</w:t>
            </w:r>
          </w:p>
        </w:tc>
        <w:tc>
          <w:tcPr>
            <w:tcW w:w="1359" w:type="dxa"/>
            <w:vAlign w:val="center"/>
          </w:tcPr>
          <w:p w:rsidR="00F33B27" w:rsidRPr="003F1573" w:rsidRDefault="002D5171" w:rsidP="00F33B27">
            <w:pPr>
              <w:spacing w:line="360" w:lineRule="auto"/>
              <w:jc w:val="center"/>
              <w:rPr>
                <w:sz w:val="24"/>
                <w:szCs w:val="24"/>
              </w:rPr>
            </w:pPr>
            <w:r w:rsidRPr="003F1573">
              <w:rPr>
                <w:sz w:val="24"/>
                <w:szCs w:val="24"/>
              </w:rPr>
              <w:t>0,347</w:t>
            </w:r>
          </w:p>
        </w:tc>
        <w:tc>
          <w:tcPr>
            <w:tcW w:w="1417" w:type="dxa"/>
            <w:vAlign w:val="center"/>
          </w:tcPr>
          <w:p w:rsidR="00F33B27" w:rsidRPr="003F1573" w:rsidRDefault="002D5171" w:rsidP="00F33B27">
            <w:pPr>
              <w:spacing w:line="360" w:lineRule="auto"/>
              <w:jc w:val="center"/>
              <w:rPr>
                <w:sz w:val="24"/>
                <w:szCs w:val="24"/>
              </w:rPr>
            </w:pPr>
            <w:r w:rsidRPr="003F1573">
              <w:rPr>
                <w:sz w:val="24"/>
                <w:szCs w:val="24"/>
              </w:rPr>
              <w:t>8,004</w:t>
            </w:r>
          </w:p>
        </w:tc>
        <w:tc>
          <w:tcPr>
            <w:tcW w:w="1437" w:type="dxa"/>
            <w:vAlign w:val="center"/>
          </w:tcPr>
          <w:p w:rsidR="00F33B27" w:rsidRPr="003F1573" w:rsidRDefault="002D5171" w:rsidP="00F33B27">
            <w:pPr>
              <w:spacing w:line="360" w:lineRule="auto"/>
              <w:jc w:val="center"/>
              <w:rPr>
                <w:sz w:val="24"/>
                <w:szCs w:val="24"/>
              </w:rPr>
            </w:pPr>
            <w:r w:rsidRPr="003F1573">
              <w:rPr>
                <w:sz w:val="24"/>
                <w:szCs w:val="24"/>
              </w:rPr>
              <w:t>1,227</w:t>
            </w:r>
          </w:p>
        </w:tc>
        <w:tc>
          <w:tcPr>
            <w:tcW w:w="1398" w:type="dxa"/>
            <w:vAlign w:val="center"/>
          </w:tcPr>
          <w:p w:rsidR="00F33B27" w:rsidRPr="003F1573" w:rsidRDefault="002D5171" w:rsidP="00F33B27">
            <w:pPr>
              <w:spacing w:line="360" w:lineRule="auto"/>
              <w:jc w:val="center"/>
              <w:rPr>
                <w:sz w:val="24"/>
                <w:szCs w:val="24"/>
              </w:rPr>
            </w:pPr>
            <w:r w:rsidRPr="003F1573">
              <w:rPr>
                <w:sz w:val="24"/>
                <w:szCs w:val="24"/>
              </w:rPr>
              <w:t>10,972</w:t>
            </w:r>
          </w:p>
        </w:tc>
        <w:tc>
          <w:tcPr>
            <w:tcW w:w="1559" w:type="dxa"/>
            <w:vAlign w:val="center"/>
          </w:tcPr>
          <w:p w:rsidR="00F33B27" w:rsidRPr="003F1573" w:rsidRDefault="00013552" w:rsidP="00F33B27">
            <w:pPr>
              <w:spacing w:line="360" w:lineRule="auto"/>
              <w:jc w:val="center"/>
              <w:rPr>
                <w:sz w:val="24"/>
                <w:szCs w:val="24"/>
              </w:rPr>
            </w:pPr>
            <w:r w:rsidRPr="003F1573">
              <w:rPr>
                <w:sz w:val="24"/>
                <w:szCs w:val="24"/>
              </w:rPr>
              <w:t>-0,88</w:t>
            </w:r>
          </w:p>
        </w:tc>
        <w:tc>
          <w:tcPr>
            <w:tcW w:w="1553" w:type="dxa"/>
            <w:vAlign w:val="center"/>
          </w:tcPr>
          <w:p w:rsidR="00F33B27" w:rsidRPr="003F1573" w:rsidRDefault="002D5171" w:rsidP="00F33B27">
            <w:pPr>
              <w:spacing w:line="360" w:lineRule="auto"/>
              <w:jc w:val="center"/>
              <w:rPr>
                <w:sz w:val="24"/>
                <w:szCs w:val="24"/>
              </w:rPr>
            </w:pPr>
            <w:r w:rsidRPr="003F1573">
              <w:rPr>
                <w:sz w:val="24"/>
                <w:szCs w:val="24"/>
              </w:rPr>
              <w:t>-2,968</w:t>
            </w:r>
          </w:p>
        </w:tc>
      </w:tr>
    </w:tbl>
    <w:p w:rsidR="00F33B27" w:rsidRPr="003F1573" w:rsidRDefault="00991E9A" w:rsidP="00F33B27">
      <w:pPr>
        <w:spacing w:line="360" w:lineRule="auto"/>
        <w:ind w:firstLine="567"/>
        <w:jc w:val="both"/>
        <w:rPr>
          <w:sz w:val="28"/>
          <w:szCs w:val="28"/>
        </w:rPr>
      </w:pPr>
      <w:r w:rsidRPr="003F1573">
        <w:rPr>
          <w:sz w:val="28"/>
          <w:szCs w:val="28"/>
        </w:rPr>
        <w:t>Джерело: складено автором на основі даних [</w:t>
      </w:r>
      <w:r w:rsidR="00313B0E">
        <w:rPr>
          <w:sz w:val="28"/>
          <w:szCs w:val="28"/>
          <w:lang w:val="en-US"/>
        </w:rPr>
        <w:t>29</w:t>
      </w:r>
      <w:r w:rsidRPr="003F1573">
        <w:rPr>
          <w:sz w:val="28"/>
          <w:szCs w:val="28"/>
        </w:rPr>
        <w:t>].</w:t>
      </w:r>
    </w:p>
    <w:p w:rsidR="002E2366" w:rsidRPr="003F1573" w:rsidRDefault="002E2366" w:rsidP="00952E15">
      <w:pPr>
        <w:spacing w:line="360" w:lineRule="auto"/>
        <w:ind w:firstLine="567"/>
        <w:jc w:val="both"/>
        <w:rPr>
          <w:sz w:val="28"/>
          <w:szCs w:val="28"/>
        </w:rPr>
      </w:pPr>
    </w:p>
    <w:p w:rsidR="00991E9A" w:rsidRPr="003F1573" w:rsidRDefault="00FE1FF5" w:rsidP="00952E15">
      <w:pPr>
        <w:spacing w:line="360" w:lineRule="auto"/>
        <w:ind w:firstLine="567"/>
        <w:jc w:val="both"/>
        <w:rPr>
          <w:sz w:val="28"/>
          <w:szCs w:val="28"/>
        </w:rPr>
      </w:pPr>
      <w:r w:rsidRPr="003F1573">
        <w:rPr>
          <w:sz w:val="28"/>
          <w:szCs w:val="28"/>
        </w:rPr>
        <w:t xml:space="preserve">Японія </w:t>
      </w:r>
      <w:r w:rsidR="003C0AF7" w:rsidRPr="003F1573">
        <w:rPr>
          <w:sz w:val="28"/>
          <w:szCs w:val="28"/>
        </w:rPr>
        <w:t xml:space="preserve">й Китай </w:t>
      </w:r>
      <w:r w:rsidRPr="003F1573">
        <w:rPr>
          <w:sz w:val="28"/>
          <w:szCs w:val="28"/>
        </w:rPr>
        <w:t>є важливим</w:t>
      </w:r>
      <w:r w:rsidR="003C0AF7" w:rsidRPr="003F1573">
        <w:rPr>
          <w:sz w:val="28"/>
          <w:szCs w:val="28"/>
        </w:rPr>
        <w:t>и</w:t>
      </w:r>
      <w:r w:rsidRPr="003F1573">
        <w:rPr>
          <w:sz w:val="28"/>
          <w:szCs w:val="28"/>
        </w:rPr>
        <w:t xml:space="preserve"> торговельним</w:t>
      </w:r>
      <w:r w:rsidR="003C0AF7" w:rsidRPr="003F1573">
        <w:rPr>
          <w:sz w:val="28"/>
          <w:szCs w:val="28"/>
        </w:rPr>
        <w:t>и</w:t>
      </w:r>
      <w:r w:rsidRPr="003F1573">
        <w:rPr>
          <w:sz w:val="28"/>
          <w:szCs w:val="28"/>
        </w:rPr>
        <w:t xml:space="preserve"> партнер</w:t>
      </w:r>
      <w:r w:rsidR="003C0AF7" w:rsidRPr="003F1573">
        <w:rPr>
          <w:sz w:val="28"/>
          <w:szCs w:val="28"/>
        </w:rPr>
        <w:t>а</w:t>
      </w:r>
      <w:r w:rsidRPr="003F1573">
        <w:rPr>
          <w:sz w:val="28"/>
          <w:szCs w:val="28"/>
        </w:rPr>
        <w:t>м</w:t>
      </w:r>
      <w:r w:rsidR="003C0AF7" w:rsidRPr="003F1573">
        <w:rPr>
          <w:sz w:val="28"/>
          <w:szCs w:val="28"/>
        </w:rPr>
        <w:t>и</w:t>
      </w:r>
      <w:r w:rsidRPr="003F1573">
        <w:rPr>
          <w:sz w:val="28"/>
          <w:szCs w:val="28"/>
        </w:rPr>
        <w:t xml:space="preserve"> України. </w:t>
      </w:r>
      <w:r w:rsidR="007964FE" w:rsidRPr="003F1573">
        <w:rPr>
          <w:sz w:val="28"/>
          <w:szCs w:val="28"/>
        </w:rPr>
        <w:t>Двостороннє торговельно-економічне співробітництво протягом останніх років демонструє сталу позитивну динаміку.</w:t>
      </w:r>
      <w:r w:rsidR="00C63D33" w:rsidRPr="003F1573">
        <w:rPr>
          <w:sz w:val="28"/>
          <w:szCs w:val="28"/>
        </w:rPr>
        <w:t xml:space="preserve"> У 2021 році </w:t>
      </w:r>
      <w:r w:rsidR="00D04007" w:rsidRPr="003F1573">
        <w:rPr>
          <w:sz w:val="28"/>
          <w:szCs w:val="28"/>
        </w:rPr>
        <w:t>експорт украї</w:t>
      </w:r>
      <w:r w:rsidR="000F0144" w:rsidRPr="003F1573">
        <w:rPr>
          <w:sz w:val="28"/>
          <w:szCs w:val="28"/>
        </w:rPr>
        <w:t>н</w:t>
      </w:r>
      <w:r w:rsidR="00D04007" w:rsidRPr="003F1573">
        <w:rPr>
          <w:sz w:val="28"/>
          <w:szCs w:val="28"/>
        </w:rPr>
        <w:t>ських товарів у Японію</w:t>
      </w:r>
      <w:r w:rsidR="00C63D33" w:rsidRPr="003F1573">
        <w:rPr>
          <w:sz w:val="28"/>
          <w:szCs w:val="28"/>
        </w:rPr>
        <w:t xml:space="preserve"> склав 0,347 млрд дол. США</w:t>
      </w:r>
      <w:r w:rsidR="00D04007" w:rsidRPr="003F1573">
        <w:rPr>
          <w:sz w:val="28"/>
          <w:szCs w:val="28"/>
        </w:rPr>
        <w:t>, а імпорт Україною японських становив 1,227 млрд дол. США</w:t>
      </w:r>
      <w:r w:rsidR="00952E15" w:rsidRPr="003F1573">
        <w:rPr>
          <w:sz w:val="28"/>
          <w:szCs w:val="28"/>
        </w:rPr>
        <w:t>, що було більшим у порівнянні з 2017 роком приблизно на 37% та майже на 41% відповідно.</w:t>
      </w:r>
      <w:r w:rsidR="00451481" w:rsidRPr="003F1573">
        <w:rPr>
          <w:sz w:val="28"/>
          <w:szCs w:val="28"/>
        </w:rPr>
        <w:t xml:space="preserve"> Враховуючи тенденції зростання обсягів торгівлі товарами (див. рис. 3.1), очікується подальше збільшення не тільки торгових, а й </w:t>
      </w:r>
      <w:r w:rsidR="00701485" w:rsidRPr="003F1573">
        <w:rPr>
          <w:sz w:val="28"/>
          <w:szCs w:val="28"/>
        </w:rPr>
        <w:t xml:space="preserve">інвестиційних потоків. Це підтверджується і Експортною стратегією України («дорожньою картою» стратегічного розвитку торгівлі) на 2017-2021 роки, де Японію </w:t>
      </w:r>
      <w:r w:rsidR="003C0AF7" w:rsidRPr="003F1573">
        <w:rPr>
          <w:sz w:val="28"/>
          <w:szCs w:val="28"/>
        </w:rPr>
        <w:t xml:space="preserve">та Китай </w:t>
      </w:r>
      <w:r w:rsidR="00701485" w:rsidRPr="003F1573">
        <w:rPr>
          <w:sz w:val="28"/>
          <w:szCs w:val="28"/>
        </w:rPr>
        <w:t xml:space="preserve">віднесено </w:t>
      </w:r>
      <w:r w:rsidR="003C0AF7" w:rsidRPr="003F1573">
        <w:rPr>
          <w:sz w:val="28"/>
          <w:szCs w:val="28"/>
        </w:rPr>
        <w:t>до ринків у фокусі, на яких українські виробники мають значний потенціал для експорту продукції.</w:t>
      </w:r>
    </w:p>
    <w:p w:rsidR="00F33B27" w:rsidRPr="003F1573" w:rsidRDefault="003932EE" w:rsidP="00CA7AE6">
      <w:pPr>
        <w:spacing w:line="360" w:lineRule="auto"/>
        <w:jc w:val="center"/>
        <w:rPr>
          <w:b/>
          <w:sz w:val="28"/>
          <w:szCs w:val="28"/>
        </w:rPr>
      </w:pPr>
      <w:r w:rsidRPr="003F1573">
        <w:rPr>
          <w:noProof/>
          <w:lang w:eastAsia="uk-UA"/>
        </w:rPr>
        <w:drawing>
          <wp:inline distT="0" distB="0" distL="0" distR="0" wp14:anchorId="05598ECD" wp14:editId="57C7F1B0">
            <wp:extent cx="5076825" cy="2795588"/>
            <wp:effectExtent l="0" t="0" r="9525" b="5080"/>
            <wp:docPr id="5" name="Диаграмма 5">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AF97AAEB-E98C-49C0-854E-252C4F559B5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5B076C" w:rsidRPr="003F1573" w:rsidRDefault="003C0AF7" w:rsidP="003C0AF7">
      <w:pPr>
        <w:spacing w:line="360" w:lineRule="auto"/>
        <w:ind w:firstLine="567"/>
        <w:jc w:val="both"/>
        <w:rPr>
          <w:sz w:val="28"/>
          <w:szCs w:val="28"/>
        </w:rPr>
      </w:pPr>
      <w:r w:rsidRPr="003F1573">
        <w:rPr>
          <w:sz w:val="28"/>
          <w:szCs w:val="28"/>
        </w:rPr>
        <w:t>Рис. 3.1. Динаміка торгівлі товарами між Японією/Китаєм та Україною за 2017-2021 рр., млрд дол. США</w:t>
      </w:r>
    </w:p>
    <w:p w:rsidR="003C0AF7" w:rsidRPr="003F1573" w:rsidRDefault="003C0AF7" w:rsidP="003C0AF7">
      <w:pPr>
        <w:spacing w:line="360" w:lineRule="auto"/>
        <w:ind w:firstLine="567"/>
        <w:jc w:val="both"/>
        <w:rPr>
          <w:sz w:val="28"/>
          <w:szCs w:val="28"/>
        </w:rPr>
      </w:pPr>
      <w:r w:rsidRPr="003F1573">
        <w:rPr>
          <w:sz w:val="28"/>
          <w:szCs w:val="28"/>
        </w:rPr>
        <w:t>Джерело: складено автором на основі даних [</w:t>
      </w:r>
      <w:r w:rsidR="00313B0E">
        <w:rPr>
          <w:sz w:val="28"/>
          <w:szCs w:val="28"/>
          <w:lang w:val="en-US"/>
        </w:rPr>
        <w:t>29</w:t>
      </w:r>
      <w:r w:rsidRPr="003F1573">
        <w:rPr>
          <w:sz w:val="28"/>
          <w:szCs w:val="28"/>
        </w:rPr>
        <w:t>].</w:t>
      </w:r>
    </w:p>
    <w:p w:rsidR="003C0AF7" w:rsidRPr="003F1573" w:rsidRDefault="003C0AF7" w:rsidP="003C0AF7">
      <w:pPr>
        <w:spacing w:line="360" w:lineRule="auto"/>
        <w:ind w:firstLine="567"/>
        <w:jc w:val="both"/>
        <w:rPr>
          <w:sz w:val="28"/>
          <w:szCs w:val="28"/>
        </w:rPr>
      </w:pPr>
    </w:p>
    <w:p w:rsidR="003C0AF7" w:rsidRPr="003F1573" w:rsidRDefault="00952E15" w:rsidP="003C0AF7">
      <w:pPr>
        <w:spacing w:line="360" w:lineRule="auto"/>
        <w:ind w:firstLine="567"/>
        <w:jc w:val="both"/>
        <w:rPr>
          <w:sz w:val="28"/>
          <w:szCs w:val="28"/>
        </w:rPr>
      </w:pPr>
      <w:r w:rsidRPr="003F1573">
        <w:rPr>
          <w:sz w:val="28"/>
          <w:szCs w:val="28"/>
        </w:rPr>
        <w:t xml:space="preserve">Обсяг </w:t>
      </w:r>
      <w:r w:rsidR="00250DCD" w:rsidRPr="003F1573">
        <w:rPr>
          <w:sz w:val="28"/>
          <w:szCs w:val="28"/>
        </w:rPr>
        <w:t xml:space="preserve">експорту українських товарів у Китай за останні п’ять років виріс майже у чотири рази, водночас обсяг імпорту китайських товарів Україною також показав поступовий зріст більше, ніж у два рази. У 2020 році Китай займав перше місце у світі та серед країн Азіатсько-Тихоокеанського регіону за обсягами двосторонньої торгівлі товарами з Україною. </w:t>
      </w:r>
      <w:r w:rsidR="006B01DD" w:rsidRPr="003F1573">
        <w:rPr>
          <w:sz w:val="28"/>
          <w:szCs w:val="28"/>
        </w:rPr>
        <w:t xml:space="preserve">Дані країни мають багато точок торговельного дотику за низкою позицій. Наразі Україна та Китай домовляються про зону вільної торгівлі. Відповідна спільна заява щодо проведення оцінки потенціалу можливої Угоди про вільну торгівлю між країнами була підписана під час україно-китайської комісії 2020 року. </w:t>
      </w:r>
      <w:r w:rsidR="00B12D6F" w:rsidRPr="003F1573">
        <w:rPr>
          <w:sz w:val="28"/>
          <w:szCs w:val="28"/>
        </w:rPr>
        <w:t xml:space="preserve">В перспективі за 3-5 років Китай </w:t>
      </w:r>
      <w:r w:rsidR="001A7511" w:rsidRPr="003F1573">
        <w:rPr>
          <w:sz w:val="28"/>
          <w:szCs w:val="28"/>
        </w:rPr>
        <w:t xml:space="preserve">прагне подвоїти обсяги поставок харчових продуктів з України. Нарощенню співпраці між країнами сприятиме і той дефіцит продовольства, який виник через конфлікт у політичних стосунках між Китаєм та Австралією, коли вона практично зупинила постачання кукурудзи, пшениці у цю країну. </w:t>
      </w:r>
    </w:p>
    <w:p w:rsidR="001A7511" w:rsidRPr="003F1573" w:rsidRDefault="001A7511" w:rsidP="003C0AF7">
      <w:pPr>
        <w:spacing w:line="360" w:lineRule="auto"/>
        <w:ind w:firstLine="567"/>
        <w:jc w:val="both"/>
        <w:rPr>
          <w:sz w:val="28"/>
          <w:szCs w:val="28"/>
        </w:rPr>
      </w:pPr>
      <w:r w:rsidRPr="003F1573">
        <w:rPr>
          <w:sz w:val="28"/>
          <w:szCs w:val="28"/>
        </w:rPr>
        <w:t xml:space="preserve">Китай є також першим торговельним партнером для України з агропродукції. </w:t>
      </w:r>
      <w:r w:rsidR="00155DAB" w:rsidRPr="003F1573">
        <w:rPr>
          <w:sz w:val="28"/>
          <w:szCs w:val="28"/>
        </w:rPr>
        <w:t>Фактично близько 15% всього українського аграрного експорту відправляється у КНР. Гарна взаємодія спостерігається за класичними культурами, як, наприклад, кукурудза, ячмінь чи соняшникова олія. Україні також важливо</w:t>
      </w:r>
      <w:r w:rsidR="006C740A" w:rsidRPr="003F1573">
        <w:rPr>
          <w:sz w:val="28"/>
          <w:szCs w:val="28"/>
        </w:rPr>
        <w:t>,</w:t>
      </w:r>
      <w:r w:rsidR="00155DAB" w:rsidRPr="003F1573">
        <w:rPr>
          <w:sz w:val="28"/>
          <w:szCs w:val="28"/>
        </w:rPr>
        <w:t xml:space="preserve"> і вона готова вжити необхідних заходів, аби й інші культури мали постійний доступ до експорту в Китай (пшениця, соя тощо). </w:t>
      </w:r>
      <w:r w:rsidR="003C6097" w:rsidRPr="003F1573">
        <w:rPr>
          <w:sz w:val="28"/>
          <w:szCs w:val="28"/>
        </w:rPr>
        <w:t xml:space="preserve">Співпраця у сфері сільського господарства з КНР – це найпріоритетніший напрямок двосторонніх відносин, адже Китай – один із найбільших ринків </w:t>
      </w:r>
      <w:r w:rsidR="0035155E" w:rsidRPr="003F1573">
        <w:rPr>
          <w:sz w:val="28"/>
          <w:szCs w:val="28"/>
        </w:rPr>
        <w:t>споживання агропродукц</w:t>
      </w:r>
      <w:r w:rsidR="006C740A" w:rsidRPr="003F1573">
        <w:rPr>
          <w:sz w:val="28"/>
          <w:szCs w:val="28"/>
        </w:rPr>
        <w:t>і</w:t>
      </w:r>
      <w:r w:rsidR="0035155E" w:rsidRPr="003F1573">
        <w:rPr>
          <w:sz w:val="28"/>
          <w:szCs w:val="28"/>
        </w:rPr>
        <w:t xml:space="preserve">ї у світі, і він буде кількісно тільки зростати. Ініціатива України із започаткування процесу доступу до китайського ринку продиктована не лише бажанням українських експортерів розширити ринки збуту, а й тим, що імпортери Китаю були зацікавлені у співпраці з нашими виробниками. </w:t>
      </w:r>
      <w:r w:rsidR="00F41262" w:rsidRPr="003F1573">
        <w:rPr>
          <w:sz w:val="28"/>
          <w:szCs w:val="28"/>
        </w:rPr>
        <w:t>Стосовно ж найбільших товарних груп українського імпорту з Китаю, то ними є переважно електричні машини, ядерні реактори, котли, пластмаси, полімерні матеріали, засоби наземного транспорту, крім залізничного, та чорні метали.</w:t>
      </w:r>
    </w:p>
    <w:p w:rsidR="00F41262" w:rsidRPr="003F1573" w:rsidRDefault="00E325DB" w:rsidP="003C0AF7">
      <w:pPr>
        <w:spacing w:line="360" w:lineRule="auto"/>
        <w:ind w:firstLine="567"/>
        <w:jc w:val="both"/>
        <w:rPr>
          <w:sz w:val="28"/>
          <w:szCs w:val="28"/>
        </w:rPr>
      </w:pPr>
      <w:r w:rsidRPr="003F1573">
        <w:rPr>
          <w:sz w:val="28"/>
          <w:szCs w:val="28"/>
        </w:rPr>
        <w:t>У структурі ук</w:t>
      </w:r>
      <w:r w:rsidR="00F85461" w:rsidRPr="003F1573">
        <w:rPr>
          <w:sz w:val="28"/>
          <w:szCs w:val="28"/>
        </w:rPr>
        <w:t>раїнського товарного експорту в Японію традиційно домінували товари з низьким рівнем доданої вартості: руди та залізні концентрати</w:t>
      </w:r>
      <w:r w:rsidR="00296163" w:rsidRPr="003F1573">
        <w:rPr>
          <w:sz w:val="28"/>
          <w:szCs w:val="28"/>
        </w:rPr>
        <w:t xml:space="preserve">, тютюнові вироби. Серед інших груп можна виділити алюміній </w:t>
      </w:r>
      <w:r w:rsidR="00CE0A05" w:rsidRPr="003F1573">
        <w:rPr>
          <w:sz w:val="28"/>
          <w:szCs w:val="28"/>
        </w:rPr>
        <w:t xml:space="preserve">і вироби з нього, деревину та вироби з неї, а також чорні метали. Структура японського товарного імпорту характеризується стабільністю </w:t>
      </w:r>
      <w:r w:rsidR="008943F2" w:rsidRPr="003F1573">
        <w:rPr>
          <w:sz w:val="28"/>
          <w:szCs w:val="28"/>
        </w:rPr>
        <w:t>і складається насамперед з продукції машинобудування: наземний транспорт (переважно автомобілі), продукція важкого машинобудування, електричні машини, а також о</w:t>
      </w:r>
      <w:r w:rsidR="00ED6FD3" w:rsidRPr="003F1573">
        <w:rPr>
          <w:sz w:val="28"/>
          <w:szCs w:val="28"/>
        </w:rPr>
        <w:t>п</w:t>
      </w:r>
      <w:r w:rsidR="008943F2" w:rsidRPr="003F1573">
        <w:rPr>
          <w:sz w:val="28"/>
          <w:szCs w:val="28"/>
        </w:rPr>
        <w:t>тичні, фотографічні прилади та апарати. Протягом останніх п’яти років здійснювались заходи щодо сертифікації української аграрної продукції для забезпечення її доступу на ринок Японії, який пред’являє підвищені вимоги до якості продовольчих товарів</w:t>
      </w:r>
      <w:r w:rsidR="00C453FE" w:rsidRPr="003F1573">
        <w:rPr>
          <w:sz w:val="28"/>
          <w:szCs w:val="28"/>
        </w:rPr>
        <w:t xml:space="preserve">. У 2017 році було погоджено документацію та отримано дозвіл для імпорту до Японії продукції молочної галузі України. У 2019 році узгоджено сертифікати здоров’я на експорт з України до Японії м’яса курятини, а також свіжих яєць, призначених для споживання людиною. </w:t>
      </w:r>
      <w:r w:rsidR="0020055B" w:rsidRPr="003F1573">
        <w:rPr>
          <w:sz w:val="28"/>
          <w:szCs w:val="28"/>
        </w:rPr>
        <w:t xml:space="preserve">Україна зацікавлена також у початку проведення переговорів щодо укладення Угоди про зону вільної торгівлі з Японією, адже інтерес для української сторони становить не тільки потрапляння наших товарів на японський ринок. </w:t>
      </w:r>
      <w:r w:rsidR="002E4C8D" w:rsidRPr="003F1573">
        <w:rPr>
          <w:sz w:val="28"/>
          <w:szCs w:val="28"/>
        </w:rPr>
        <w:t>Ця</w:t>
      </w:r>
      <w:r w:rsidR="0020055B" w:rsidRPr="003F1573">
        <w:rPr>
          <w:sz w:val="28"/>
          <w:szCs w:val="28"/>
        </w:rPr>
        <w:t xml:space="preserve"> країна є </w:t>
      </w:r>
      <w:r w:rsidR="002E4C8D" w:rsidRPr="003F1573">
        <w:rPr>
          <w:sz w:val="28"/>
          <w:szCs w:val="28"/>
        </w:rPr>
        <w:t xml:space="preserve">значно важливішою для нас як глобальна потужна торговельна нація у світі, яка може допомогти Україні вийти на ринки значно ширшого кола країн у Азійському регіоні. </w:t>
      </w:r>
    </w:p>
    <w:p w:rsidR="005B076C" w:rsidRPr="003F1573" w:rsidRDefault="00252E01" w:rsidP="00252E01">
      <w:pPr>
        <w:spacing w:line="360" w:lineRule="auto"/>
        <w:ind w:firstLine="567"/>
        <w:jc w:val="both"/>
        <w:rPr>
          <w:sz w:val="28"/>
          <w:szCs w:val="28"/>
        </w:rPr>
      </w:pPr>
      <w:r w:rsidRPr="003F1573">
        <w:rPr>
          <w:sz w:val="28"/>
          <w:szCs w:val="28"/>
        </w:rPr>
        <w:t>Далі у таблиці 3.2 містяться дані стосовно торгівлі послугами між Японією, Китаєм та Україною станом на 2017-2021 роки.</w:t>
      </w:r>
    </w:p>
    <w:p w:rsidR="005B076C" w:rsidRPr="003F1573" w:rsidRDefault="005B076C" w:rsidP="00FE1FF5">
      <w:pPr>
        <w:spacing w:line="360" w:lineRule="auto"/>
        <w:jc w:val="right"/>
        <w:rPr>
          <w:sz w:val="28"/>
          <w:szCs w:val="28"/>
        </w:rPr>
      </w:pPr>
      <w:r w:rsidRPr="003F1573">
        <w:rPr>
          <w:sz w:val="28"/>
          <w:szCs w:val="28"/>
        </w:rPr>
        <w:t>Таблиця 3.2.</w:t>
      </w:r>
    </w:p>
    <w:p w:rsidR="005B076C" w:rsidRPr="003F1573" w:rsidRDefault="005B076C" w:rsidP="00FE1FF5">
      <w:pPr>
        <w:spacing w:line="360" w:lineRule="auto"/>
        <w:jc w:val="center"/>
        <w:rPr>
          <w:b/>
          <w:sz w:val="28"/>
          <w:szCs w:val="28"/>
        </w:rPr>
      </w:pPr>
      <w:r w:rsidRPr="003F1573">
        <w:rPr>
          <w:b/>
          <w:sz w:val="28"/>
          <w:szCs w:val="28"/>
        </w:rPr>
        <w:t xml:space="preserve">Статистика торгівлі послугами між Японією/Китаєм та Україною </w:t>
      </w:r>
    </w:p>
    <w:p w:rsidR="005B076C" w:rsidRPr="003F1573" w:rsidRDefault="005B076C" w:rsidP="005B076C">
      <w:pPr>
        <w:spacing w:line="360" w:lineRule="auto"/>
        <w:jc w:val="center"/>
        <w:rPr>
          <w:b/>
          <w:sz w:val="28"/>
          <w:szCs w:val="28"/>
        </w:rPr>
      </w:pPr>
      <w:r w:rsidRPr="003F1573">
        <w:rPr>
          <w:b/>
          <w:sz w:val="28"/>
          <w:szCs w:val="28"/>
        </w:rPr>
        <w:t>протягом 2017-2021 рр., млрд дол. США</w:t>
      </w:r>
    </w:p>
    <w:tbl>
      <w:tblPr>
        <w:tblStyle w:val="a7"/>
        <w:tblW w:w="0" w:type="auto"/>
        <w:jc w:val="center"/>
        <w:tblLook w:val="04A0" w:firstRow="1" w:lastRow="0" w:firstColumn="1" w:lastColumn="0" w:noHBand="0" w:noVBand="1"/>
      </w:tblPr>
      <w:tblGrid>
        <w:gridCol w:w="1327"/>
        <w:gridCol w:w="1313"/>
        <w:gridCol w:w="1355"/>
        <w:gridCol w:w="1382"/>
        <w:gridCol w:w="1338"/>
        <w:gridCol w:w="1491"/>
        <w:gridCol w:w="1477"/>
      </w:tblGrid>
      <w:tr w:rsidR="003932EE" w:rsidRPr="003F1573" w:rsidTr="00EA57F8">
        <w:trPr>
          <w:jc w:val="center"/>
        </w:trPr>
        <w:tc>
          <w:tcPr>
            <w:tcW w:w="1330" w:type="dxa"/>
            <w:vMerge w:val="restart"/>
            <w:vAlign w:val="center"/>
          </w:tcPr>
          <w:p w:rsidR="003932EE" w:rsidRPr="003F1573" w:rsidRDefault="003932EE" w:rsidP="00CA7AE6">
            <w:pPr>
              <w:spacing w:line="360" w:lineRule="auto"/>
              <w:jc w:val="center"/>
              <w:rPr>
                <w:b/>
                <w:sz w:val="24"/>
                <w:szCs w:val="24"/>
              </w:rPr>
            </w:pPr>
            <w:r w:rsidRPr="003F1573">
              <w:rPr>
                <w:b/>
                <w:sz w:val="24"/>
                <w:szCs w:val="24"/>
              </w:rPr>
              <w:t>Показник</w:t>
            </w:r>
          </w:p>
        </w:tc>
        <w:tc>
          <w:tcPr>
            <w:tcW w:w="2776" w:type="dxa"/>
            <w:gridSpan w:val="2"/>
            <w:vAlign w:val="center"/>
          </w:tcPr>
          <w:p w:rsidR="003932EE" w:rsidRPr="00D72D19" w:rsidRDefault="003932EE" w:rsidP="00CA7AE6">
            <w:pPr>
              <w:spacing w:line="360" w:lineRule="auto"/>
              <w:jc w:val="center"/>
              <w:rPr>
                <w:sz w:val="24"/>
                <w:szCs w:val="24"/>
              </w:rPr>
            </w:pPr>
            <w:r w:rsidRPr="00D72D19">
              <w:rPr>
                <w:sz w:val="24"/>
                <w:szCs w:val="24"/>
              </w:rPr>
              <w:t xml:space="preserve">Експорт </w:t>
            </w:r>
            <w:r w:rsidR="00B90AA2" w:rsidRPr="00D72D19">
              <w:rPr>
                <w:sz w:val="24"/>
                <w:szCs w:val="24"/>
              </w:rPr>
              <w:t>послуг</w:t>
            </w:r>
          </w:p>
        </w:tc>
        <w:tc>
          <w:tcPr>
            <w:tcW w:w="2835" w:type="dxa"/>
            <w:gridSpan w:val="2"/>
            <w:vAlign w:val="center"/>
          </w:tcPr>
          <w:p w:rsidR="003932EE" w:rsidRPr="00D72D19" w:rsidRDefault="003932EE" w:rsidP="00CA7AE6">
            <w:pPr>
              <w:spacing w:line="360" w:lineRule="auto"/>
              <w:jc w:val="center"/>
              <w:rPr>
                <w:sz w:val="24"/>
                <w:szCs w:val="24"/>
              </w:rPr>
            </w:pPr>
            <w:r w:rsidRPr="00D72D19">
              <w:rPr>
                <w:sz w:val="24"/>
                <w:szCs w:val="24"/>
              </w:rPr>
              <w:t xml:space="preserve">Імпорт </w:t>
            </w:r>
            <w:r w:rsidR="00B90AA2" w:rsidRPr="00D72D19">
              <w:rPr>
                <w:sz w:val="24"/>
                <w:szCs w:val="24"/>
              </w:rPr>
              <w:t>послуг</w:t>
            </w:r>
          </w:p>
        </w:tc>
        <w:tc>
          <w:tcPr>
            <w:tcW w:w="3112" w:type="dxa"/>
            <w:gridSpan w:val="2"/>
            <w:vAlign w:val="center"/>
          </w:tcPr>
          <w:p w:rsidR="003932EE" w:rsidRPr="00D72D19" w:rsidRDefault="003932EE" w:rsidP="00CA7AE6">
            <w:pPr>
              <w:spacing w:line="360" w:lineRule="auto"/>
              <w:jc w:val="center"/>
              <w:rPr>
                <w:sz w:val="24"/>
                <w:szCs w:val="24"/>
              </w:rPr>
            </w:pPr>
            <w:r w:rsidRPr="00D72D19">
              <w:rPr>
                <w:sz w:val="24"/>
                <w:szCs w:val="24"/>
              </w:rPr>
              <w:t xml:space="preserve">Сальдо торгівлі </w:t>
            </w:r>
            <w:r w:rsidR="00B90AA2" w:rsidRPr="00D72D19">
              <w:rPr>
                <w:sz w:val="24"/>
                <w:szCs w:val="24"/>
              </w:rPr>
              <w:t>послугами</w:t>
            </w:r>
          </w:p>
        </w:tc>
      </w:tr>
      <w:tr w:rsidR="003932EE" w:rsidRPr="003F1573" w:rsidTr="00EA57F8">
        <w:trPr>
          <w:jc w:val="center"/>
        </w:trPr>
        <w:tc>
          <w:tcPr>
            <w:tcW w:w="1330" w:type="dxa"/>
            <w:vMerge/>
            <w:vAlign w:val="center"/>
          </w:tcPr>
          <w:p w:rsidR="003932EE" w:rsidRPr="003F1573" w:rsidRDefault="003932EE" w:rsidP="00CA7AE6">
            <w:pPr>
              <w:spacing w:line="360" w:lineRule="auto"/>
              <w:jc w:val="center"/>
              <w:rPr>
                <w:b/>
                <w:sz w:val="24"/>
                <w:szCs w:val="24"/>
              </w:rPr>
            </w:pPr>
          </w:p>
        </w:tc>
        <w:tc>
          <w:tcPr>
            <w:tcW w:w="1359" w:type="dxa"/>
            <w:vAlign w:val="center"/>
          </w:tcPr>
          <w:p w:rsidR="003932EE" w:rsidRPr="00D72D19" w:rsidRDefault="003932EE" w:rsidP="00CA7AE6">
            <w:pPr>
              <w:spacing w:line="360" w:lineRule="auto"/>
              <w:jc w:val="center"/>
              <w:rPr>
                <w:sz w:val="24"/>
                <w:szCs w:val="24"/>
              </w:rPr>
            </w:pPr>
            <w:r w:rsidRPr="00D72D19">
              <w:rPr>
                <w:sz w:val="24"/>
                <w:szCs w:val="24"/>
              </w:rPr>
              <w:t>Японія</w:t>
            </w:r>
          </w:p>
        </w:tc>
        <w:tc>
          <w:tcPr>
            <w:tcW w:w="1417" w:type="dxa"/>
            <w:vAlign w:val="center"/>
          </w:tcPr>
          <w:p w:rsidR="003932EE" w:rsidRPr="00D72D19" w:rsidRDefault="003932EE" w:rsidP="00CA7AE6">
            <w:pPr>
              <w:spacing w:line="360" w:lineRule="auto"/>
              <w:jc w:val="center"/>
              <w:rPr>
                <w:sz w:val="24"/>
                <w:szCs w:val="24"/>
              </w:rPr>
            </w:pPr>
            <w:r w:rsidRPr="00D72D19">
              <w:rPr>
                <w:sz w:val="24"/>
                <w:szCs w:val="24"/>
              </w:rPr>
              <w:t>Китай</w:t>
            </w:r>
          </w:p>
        </w:tc>
        <w:tc>
          <w:tcPr>
            <w:tcW w:w="1437" w:type="dxa"/>
            <w:vAlign w:val="center"/>
          </w:tcPr>
          <w:p w:rsidR="003932EE" w:rsidRPr="00D72D19" w:rsidRDefault="003932EE" w:rsidP="00CA7AE6">
            <w:pPr>
              <w:spacing w:line="360" w:lineRule="auto"/>
              <w:jc w:val="center"/>
              <w:rPr>
                <w:sz w:val="24"/>
                <w:szCs w:val="24"/>
              </w:rPr>
            </w:pPr>
            <w:r w:rsidRPr="00D72D19">
              <w:rPr>
                <w:sz w:val="24"/>
                <w:szCs w:val="24"/>
              </w:rPr>
              <w:t>Японія</w:t>
            </w:r>
          </w:p>
        </w:tc>
        <w:tc>
          <w:tcPr>
            <w:tcW w:w="1398" w:type="dxa"/>
            <w:vAlign w:val="center"/>
          </w:tcPr>
          <w:p w:rsidR="003932EE" w:rsidRPr="00D72D19" w:rsidRDefault="003932EE" w:rsidP="00CA7AE6">
            <w:pPr>
              <w:spacing w:line="360" w:lineRule="auto"/>
              <w:jc w:val="center"/>
              <w:rPr>
                <w:sz w:val="24"/>
                <w:szCs w:val="24"/>
              </w:rPr>
            </w:pPr>
            <w:r w:rsidRPr="00D72D19">
              <w:rPr>
                <w:sz w:val="24"/>
                <w:szCs w:val="24"/>
              </w:rPr>
              <w:t>Китай</w:t>
            </w:r>
          </w:p>
        </w:tc>
        <w:tc>
          <w:tcPr>
            <w:tcW w:w="1559" w:type="dxa"/>
            <w:vAlign w:val="center"/>
          </w:tcPr>
          <w:p w:rsidR="003932EE" w:rsidRPr="00D72D19" w:rsidRDefault="003932EE" w:rsidP="00CA7AE6">
            <w:pPr>
              <w:spacing w:line="360" w:lineRule="auto"/>
              <w:jc w:val="center"/>
              <w:rPr>
                <w:sz w:val="24"/>
                <w:szCs w:val="24"/>
              </w:rPr>
            </w:pPr>
            <w:r w:rsidRPr="00D72D19">
              <w:rPr>
                <w:sz w:val="24"/>
                <w:szCs w:val="24"/>
              </w:rPr>
              <w:t>Японія</w:t>
            </w:r>
          </w:p>
        </w:tc>
        <w:tc>
          <w:tcPr>
            <w:tcW w:w="1553" w:type="dxa"/>
            <w:vAlign w:val="center"/>
          </w:tcPr>
          <w:p w:rsidR="003932EE" w:rsidRPr="00D72D19" w:rsidRDefault="003932EE" w:rsidP="00CA7AE6">
            <w:pPr>
              <w:spacing w:line="360" w:lineRule="auto"/>
              <w:jc w:val="center"/>
              <w:rPr>
                <w:sz w:val="24"/>
                <w:szCs w:val="24"/>
              </w:rPr>
            </w:pPr>
            <w:r w:rsidRPr="00D72D19">
              <w:rPr>
                <w:sz w:val="24"/>
                <w:szCs w:val="24"/>
              </w:rPr>
              <w:t>Китай</w:t>
            </w:r>
          </w:p>
        </w:tc>
      </w:tr>
      <w:tr w:rsidR="003932EE" w:rsidRPr="003F1573" w:rsidTr="00EA57F8">
        <w:trPr>
          <w:jc w:val="center"/>
        </w:trPr>
        <w:tc>
          <w:tcPr>
            <w:tcW w:w="1330" w:type="dxa"/>
            <w:vAlign w:val="center"/>
          </w:tcPr>
          <w:p w:rsidR="003932EE" w:rsidRPr="003F1573" w:rsidRDefault="003932EE" w:rsidP="00CA7AE6">
            <w:pPr>
              <w:spacing w:line="360" w:lineRule="auto"/>
              <w:jc w:val="center"/>
              <w:rPr>
                <w:b/>
                <w:sz w:val="24"/>
                <w:szCs w:val="24"/>
              </w:rPr>
            </w:pPr>
            <w:r w:rsidRPr="003F1573">
              <w:rPr>
                <w:b/>
                <w:sz w:val="24"/>
                <w:szCs w:val="24"/>
              </w:rPr>
              <w:t>2017</w:t>
            </w:r>
          </w:p>
        </w:tc>
        <w:tc>
          <w:tcPr>
            <w:tcW w:w="1359" w:type="dxa"/>
            <w:vAlign w:val="center"/>
          </w:tcPr>
          <w:p w:rsidR="003932EE" w:rsidRPr="003F1573" w:rsidRDefault="00497DFE" w:rsidP="00CA7AE6">
            <w:pPr>
              <w:spacing w:line="360" w:lineRule="auto"/>
              <w:jc w:val="center"/>
              <w:rPr>
                <w:sz w:val="24"/>
                <w:szCs w:val="24"/>
              </w:rPr>
            </w:pPr>
            <w:r w:rsidRPr="003F1573">
              <w:rPr>
                <w:sz w:val="24"/>
                <w:szCs w:val="24"/>
              </w:rPr>
              <w:t>0,008</w:t>
            </w:r>
          </w:p>
        </w:tc>
        <w:tc>
          <w:tcPr>
            <w:tcW w:w="1417" w:type="dxa"/>
            <w:vAlign w:val="center"/>
          </w:tcPr>
          <w:p w:rsidR="003932EE" w:rsidRPr="003F1573" w:rsidRDefault="00B90AA2" w:rsidP="00CA7AE6">
            <w:pPr>
              <w:spacing w:line="360" w:lineRule="auto"/>
              <w:jc w:val="center"/>
              <w:rPr>
                <w:sz w:val="24"/>
                <w:szCs w:val="24"/>
              </w:rPr>
            </w:pPr>
            <w:r w:rsidRPr="003F1573">
              <w:rPr>
                <w:sz w:val="24"/>
                <w:szCs w:val="24"/>
              </w:rPr>
              <w:t>0,075</w:t>
            </w:r>
          </w:p>
        </w:tc>
        <w:tc>
          <w:tcPr>
            <w:tcW w:w="1437" w:type="dxa"/>
            <w:vAlign w:val="center"/>
          </w:tcPr>
          <w:p w:rsidR="003932EE" w:rsidRPr="003F1573" w:rsidRDefault="00497DFE" w:rsidP="00CA7AE6">
            <w:pPr>
              <w:spacing w:line="360" w:lineRule="auto"/>
              <w:jc w:val="center"/>
              <w:rPr>
                <w:sz w:val="24"/>
                <w:szCs w:val="24"/>
              </w:rPr>
            </w:pPr>
            <w:r w:rsidRPr="003F1573">
              <w:rPr>
                <w:sz w:val="24"/>
                <w:szCs w:val="24"/>
              </w:rPr>
              <w:t>0,014</w:t>
            </w:r>
          </w:p>
        </w:tc>
        <w:tc>
          <w:tcPr>
            <w:tcW w:w="1398" w:type="dxa"/>
            <w:vAlign w:val="center"/>
          </w:tcPr>
          <w:p w:rsidR="003932EE" w:rsidRPr="003F1573" w:rsidRDefault="00B90AA2" w:rsidP="00CA7AE6">
            <w:pPr>
              <w:spacing w:line="360" w:lineRule="auto"/>
              <w:jc w:val="center"/>
              <w:rPr>
                <w:sz w:val="24"/>
                <w:szCs w:val="24"/>
              </w:rPr>
            </w:pPr>
            <w:r w:rsidRPr="003F1573">
              <w:rPr>
                <w:sz w:val="24"/>
                <w:szCs w:val="24"/>
              </w:rPr>
              <w:t>0,165</w:t>
            </w:r>
          </w:p>
        </w:tc>
        <w:tc>
          <w:tcPr>
            <w:tcW w:w="1559" w:type="dxa"/>
            <w:vAlign w:val="center"/>
          </w:tcPr>
          <w:p w:rsidR="003932EE" w:rsidRPr="003F1573" w:rsidRDefault="00CA7AE6" w:rsidP="00CA7AE6">
            <w:pPr>
              <w:spacing w:line="360" w:lineRule="auto"/>
              <w:jc w:val="center"/>
              <w:rPr>
                <w:sz w:val="24"/>
                <w:szCs w:val="24"/>
              </w:rPr>
            </w:pPr>
            <w:r w:rsidRPr="003F1573">
              <w:rPr>
                <w:sz w:val="24"/>
                <w:szCs w:val="24"/>
              </w:rPr>
              <w:t>-0,006</w:t>
            </w:r>
          </w:p>
        </w:tc>
        <w:tc>
          <w:tcPr>
            <w:tcW w:w="1553" w:type="dxa"/>
            <w:vAlign w:val="center"/>
          </w:tcPr>
          <w:p w:rsidR="003932EE" w:rsidRPr="003F1573" w:rsidRDefault="00CA7AE6" w:rsidP="00CA7AE6">
            <w:pPr>
              <w:spacing w:line="360" w:lineRule="auto"/>
              <w:jc w:val="center"/>
              <w:rPr>
                <w:sz w:val="24"/>
                <w:szCs w:val="24"/>
              </w:rPr>
            </w:pPr>
            <w:r w:rsidRPr="003F1573">
              <w:rPr>
                <w:sz w:val="24"/>
                <w:szCs w:val="24"/>
              </w:rPr>
              <w:t>-0,09</w:t>
            </w:r>
          </w:p>
        </w:tc>
      </w:tr>
      <w:tr w:rsidR="003932EE" w:rsidRPr="003F1573" w:rsidTr="00EA57F8">
        <w:trPr>
          <w:jc w:val="center"/>
        </w:trPr>
        <w:tc>
          <w:tcPr>
            <w:tcW w:w="1330" w:type="dxa"/>
            <w:vAlign w:val="center"/>
          </w:tcPr>
          <w:p w:rsidR="003932EE" w:rsidRPr="003F1573" w:rsidRDefault="003932EE" w:rsidP="00CA7AE6">
            <w:pPr>
              <w:spacing w:line="360" w:lineRule="auto"/>
              <w:jc w:val="center"/>
              <w:rPr>
                <w:b/>
                <w:sz w:val="24"/>
                <w:szCs w:val="24"/>
              </w:rPr>
            </w:pPr>
            <w:r w:rsidRPr="003F1573">
              <w:rPr>
                <w:b/>
                <w:sz w:val="24"/>
                <w:szCs w:val="24"/>
              </w:rPr>
              <w:t>2018</w:t>
            </w:r>
          </w:p>
        </w:tc>
        <w:tc>
          <w:tcPr>
            <w:tcW w:w="1359" w:type="dxa"/>
            <w:vAlign w:val="center"/>
          </w:tcPr>
          <w:p w:rsidR="003932EE" w:rsidRPr="003F1573" w:rsidRDefault="00497DFE" w:rsidP="00CA7AE6">
            <w:pPr>
              <w:spacing w:line="360" w:lineRule="auto"/>
              <w:jc w:val="center"/>
              <w:rPr>
                <w:sz w:val="24"/>
                <w:szCs w:val="24"/>
              </w:rPr>
            </w:pPr>
            <w:r w:rsidRPr="003F1573">
              <w:rPr>
                <w:sz w:val="24"/>
                <w:szCs w:val="24"/>
              </w:rPr>
              <w:t>0,01</w:t>
            </w:r>
          </w:p>
        </w:tc>
        <w:tc>
          <w:tcPr>
            <w:tcW w:w="1417" w:type="dxa"/>
            <w:vAlign w:val="center"/>
          </w:tcPr>
          <w:p w:rsidR="003932EE" w:rsidRPr="003F1573" w:rsidRDefault="00B90AA2" w:rsidP="00CA7AE6">
            <w:pPr>
              <w:spacing w:line="360" w:lineRule="auto"/>
              <w:jc w:val="center"/>
              <w:rPr>
                <w:sz w:val="24"/>
                <w:szCs w:val="24"/>
              </w:rPr>
            </w:pPr>
            <w:r w:rsidRPr="003F1573">
              <w:rPr>
                <w:sz w:val="24"/>
                <w:szCs w:val="24"/>
              </w:rPr>
              <w:t>0,105</w:t>
            </w:r>
          </w:p>
        </w:tc>
        <w:tc>
          <w:tcPr>
            <w:tcW w:w="1437" w:type="dxa"/>
            <w:vAlign w:val="center"/>
          </w:tcPr>
          <w:p w:rsidR="003932EE" w:rsidRPr="003F1573" w:rsidRDefault="00497DFE" w:rsidP="00CA7AE6">
            <w:pPr>
              <w:spacing w:line="360" w:lineRule="auto"/>
              <w:jc w:val="center"/>
              <w:rPr>
                <w:sz w:val="24"/>
                <w:szCs w:val="24"/>
              </w:rPr>
            </w:pPr>
            <w:r w:rsidRPr="003F1573">
              <w:rPr>
                <w:sz w:val="24"/>
                <w:szCs w:val="24"/>
              </w:rPr>
              <w:t>0,005</w:t>
            </w:r>
          </w:p>
        </w:tc>
        <w:tc>
          <w:tcPr>
            <w:tcW w:w="1398" w:type="dxa"/>
            <w:vAlign w:val="center"/>
          </w:tcPr>
          <w:p w:rsidR="003932EE" w:rsidRPr="003F1573" w:rsidRDefault="00B90AA2" w:rsidP="00CA7AE6">
            <w:pPr>
              <w:spacing w:line="360" w:lineRule="auto"/>
              <w:jc w:val="center"/>
              <w:rPr>
                <w:sz w:val="24"/>
                <w:szCs w:val="24"/>
              </w:rPr>
            </w:pPr>
            <w:r w:rsidRPr="003F1573">
              <w:rPr>
                <w:sz w:val="24"/>
                <w:szCs w:val="24"/>
              </w:rPr>
              <w:t>0,184</w:t>
            </w:r>
          </w:p>
        </w:tc>
        <w:tc>
          <w:tcPr>
            <w:tcW w:w="1559" w:type="dxa"/>
            <w:vAlign w:val="center"/>
          </w:tcPr>
          <w:p w:rsidR="003932EE" w:rsidRPr="003F1573" w:rsidRDefault="00CA7AE6" w:rsidP="00CA7AE6">
            <w:pPr>
              <w:spacing w:line="360" w:lineRule="auto"/>
              <w:jc w:val="center"/>
              <w:rPr>
                <w:sz w:val="24"/>
                <w:szCs w:val="24"/>
              </w:rPr>
            </w:pPr>
            <w:r w:rsidRPr="003F1573">
              <w:rPr>
                <w:sz w:val="24"/>
                <w:szCs w:val="24"/>
              </w:rPr>
              <w:t>0,005</w:t>
            </w:r>
          </w:p>
        </w:tc>
        <w:tc>
          <w:tcPr>
            <w:tcW w:w="1553" w:type="dxa"/>
            <w:vAlign w:val="center"/>
          </w:tcPr>
          <w:p w:rsidR="003932EE" w:rsidRPr="003F1573" w:rsidRDefault="00CA7AE6" w:rsidP="00CA7AE6">
            <w:pPr>
              <w:spacing w:line="360" w:lineRule="auto"/>
              <w:jc w:val="center"/>
              <w:rPr>
                <w:sz w:val="24"/>
                <w:szCs w:val="24"/>
              </w:rPr>
            </w:pPr>
            <w:r w:rsidRPr="003F1573">
              <w:rPr>
                <w:sz w:val="24"/>
                <w:szCs w:val="24"/>
              </w:rPr>
              <w:t>-0,079</w:t>
            </w:r>
          </w:p>
        </w:tc>
      </w:tr>
      <w:tr w:rsidR="003932EE" w:rsidRPr="003F1573" w:rsidTr="00EA57F8">
        <w:trPr>
          <w:jc w:val="center"/>
        </w:trPr>
        <w:tc>
          <w:tcPr>
            <w:tcW w:w="1330" w:type="dxa"/>
            <w:vAlign w:val="center"/>
          </w:tcPr>
          <w:p w:rsidR="003932EE" w:rsidRPr="003F1573" w:rsidRDefault="003932EE" w:rsidP="00CA7AE6">
            <w:pPr>
              <w:spacing w:line="360" w:lineRule="auto"/>
              <w:jc w:val="center"/>
              <w:rPr>
                <w:b/>
                <w:sz w:val="24"/>
                <w:szCs w:val="24"/>
              </w:rPr>
            </w:pPr>
            <w:r w:rsidRPr="003F1573">
              <w:rPr>
                <w:b/>
                <w:sz w:val="24"/>
                <w:szCs w:val="24"/>
              </w:rPr>
              <w:t>2019</w:t>
            </w:r>
          </w:p>
        </w:tc>
        <w:tc>
          <w:tcPr>
            <w:tcW w:w="1359" w:type="dxa"/>
            <w:vAlign w:val="center"/>
          </w:tcPr>
          <w:p w:rsidR="003932EE" w:rsidRPr="003F1573" w:rsidRDefault="00497DFE" w:rsidP="00CA7AE6">
            <w:pPr>
              <w:spacing w:line="360" w:lineRule="auto"/>
              <w:jc w:val="center"/>
              <w:rPr>
                <w:sz w:val="24"/>
                <w:szCs w:val="24"/>
              </w:rPr>
            </w:pPr>
            <w:r w:rsidRPr="003F1573">
              <w:rPr>
                <w:sz w:val="24"/>
                <w:szCs w:val="24"/>
              </w:rPr>
              <w:t>0,01</w:t>
            </w:r>
          </w:p>
        </w:tc>
        <w:tc>
          <w:tcPr>
            <w:tcW w:w="1417" w:type="dxa"/>
            <w:vAlign w:val="center"/>
          </w:tcPr>
          <w:p w:rsidR="003932EE" w:rsidRPr="003F1573" w:rsidRDefault="00B90AA2" w:rsidP="00CA7AE6">
            <w:pPr>
              <w:spacing w:line="360" w:lineRule="auto"/>
              <w:jc w:val="center"/>
              <w:rPr>
                <w:sz w:val="24"/>
                <w:szCs w:val="24"/>
              </w:rPr>
            </w:pPr>
            <w:r w:rsidRPr="003F1573">
              <w:rPr>
                <w:sz w:val="24"/>
                <w:szCs w:val="24"/>
              </w:rPr>
              <w:t>0,163</w:t>
            </w:r>
          </w:p>
        </w:tc>
        <w:tc>
          <w:tcPr>
            <w:tcW w:w="1437" w:type="dxa"/>
            <w:vAlign w:val="center"/>
          </w:tcPr>
          <w:p w:rsidR="003932EE" w:rsidRPr="003F1573" w:rsidRDefault="00497DFE" w:rsidP="00CA7AE6">
            <w:pPr>
              <w:spacing w:line="360" w:lineRule="auto"/>
              <w:jc w:val="center"/>
              <w:rPr>
                <w:sz w:val="24"/>
                <w:szCs w:val="24"/>
              </w:rPr>
            </w:pPr>
            <w:r w:rsidRPr="003F1573">
              <w:rPr>
                <w:sz w:val="24"/>
                <w:szCs w:val="24"/>
              </w:rPr>
              <w:t>0,013</w:t>
            </w:r>
          </w:p>
        </w:tc>
        <w:tc>
          <w:tcPr>
            <w:tcW w:w="1398" w:type="dxa"/>
            <w:vAlign w:val="center"/>
          </w:tcPr>
          <w:p w:rsidR="003932EE" w:rsidRPr="003F1573" w:rsidRDefault="00B90AA2" w:rsidP="00CA7AE6">
            <w:pPr>
              <w:spacing w:line="360" w:lineRule="auto"/>
              <w:jc w:val="center"/>
              <w:rPr>
                <w:sz w:val="24"/>
                <w:szCs w:val="24"/>
              </w:rPr>
            </w:pPr>
            <w:r w:rsidRPr="003F1573">
              <w:rPr>
                <w:sz w:val="24"/>
                <w:szCs w:val="24"/>
              </w:rPr>
              <w:t>0,222</w:t>
            </w:r>
          </w:p>
        </w:tc>
        <w:tc>
          <w:tcPr>
            <w:tcW w:w="1559" w:type="dxa"/>
            <w:vAlign w:val="center"/>
          </w:tcPr>
          <w:p w:rsidR="003932EE" w:rsidRPr="003F1573" w:rsidRDefault="00CA7AE6" w:rsidP="00CA7AE6">
            <w:pPr>
              <w:spacing w:line="360" w:lineRule="auto"/>
              <w:jc w:val="center"/>
              <w:rPr>
                <w:sz w:val="24"/>
                <w:szCs w:val="24"/>
              </w:rPr>
            </w:pPr>
            <w:r w:rsidRPr="003F1573">
              <w:rPr>
                <w:sz w:val="24"/>
                <w:szCs w:val="24"/>
              </w:rPr>
              <w:t>-0,003</w:t>
            </w:r>
          </w:p>
        </w:tc>
        <w:tc>
          <w:tcPr>
            <w:tcW w:w="1553" w:type="dxa"/>
            <w:vAlign w:val="center"/>
          </w:tcPr>
          <w:p w:rsidR="003932EE" w:rsidRPr="003F1573" w:rsidRDefault="00CA7AE6" w:rsidP="00CA7AE6">
            <w:pPr>
              <w:spacing w:line="360" w:lineRule="auto"/>
              <w:jc w:val="center"/>
              <w:rPr>
                <w:sz w:val="24"/>
                <w:szCs w:val="24"/>
              </w:rPr>
            </w:pPr>
            <w:r w:rsidRPr="003F1573">
              <w:rPr>
                <w:sz w:val="24"/>
                <w:szCs w:val="24"/>
              </w:rPr>
              <w:t>-0,059</w:t>
            </w:r>
          </w:p>
        </w:tc>
      </w:tr>
      <w:tr w:rsidR="003932EE" w:rsidRPr="003F1573" w:rsidTr="00EA57F8">
        <w:trPr>
          <w:jc w:val="center"/>
        </w:trPr>
        <w:tc>
          <w:tcPr>
            <w:tcW w:w="1330" w:type="dxa"/>
            <w:vAlign w:val="center"/>
          </w:tcPr>
          <w:p w:rsidR="003932EE" w:rsidRPr="003F1573" w:rsidRDefault="003932EE" w:rsidP="00CA7AE6">
            <w:pPr>
              <w:spacing w:line="360" w:lineRule="auto"/>
              <w:jc w:val="center"/>
              <w:rPr>
                <w:b/>
                <w:sz w:val="24"/>
                <w:szCs w:val="24"/>
              </w:rPr>
            </w:pPr>
            <w:r w:rsidRPr="003F1573">
              <w:rPr>
                <w:b/>
                <w:sz w:val="24"/>
                <w:szCs w:val="24"/>
              </w:rPr>
              <w:t>2020</w:t>
            </w:r>
          </w:p>
        </w:tc>
        <w:tc>
          <w:tcPr>
            <w:tcW w:w="1359" w:type="dxa"/>
            <w:vAlign w:val="center"/>
          </w:tcPr>
          <w:p w:rsidR="003932EE" w:rsidRPr="003F1573" w:rsidRDefault="00497DFE" w:rsidP="00CA7AE6">
            <w:pPr>
              <w:spacing w:line="360" w:lineRule="auto"/>
              <w:jc w:val="center"/>
              <w:rPr>
                <w:sz w:val="24"/>
                <w:szCs w:val="24"/>
              </w:rPr>
            </w:pPr>
            <w:r w:rsidRPr="003F1573">
              <w:rPr>
                <w:sz w:val="24"/>
                <w:szCs w:val="24"/>
              </w:rPr>
              <w:t>0,009</w:t>
            </w:r>
          </w:p>
        </w:tc>
        <w:tc>
          <w:tcPr>
            <w:tcW w:w="1417" w:type="dxa"/>
            <w:vAlign w:val="center"/>
          </w:tcPr>
          <w:p w:rsidR="003932EE" w:rsidRPr="003F1573" w:rsidRDefault="00B90AA2" w:rsidP="00CA7AE6">
            <w:pPr>
              <w:spacing w:line="360" w:lineRule="auto"/>
              <w:jc w:val="center"/>
              <w:rPr>
                <w:sz w:val="24"/>
                <w:szCs w:val="24"/>
              </w:rPr>
            </w:pPr>
            <w:r w:rsidRPr="003F1573">
              <w:rPr>
                <w:sz w:val="24"/>
                <w:szCs w:val="24"/>
              </w:rPr>
              <w:t>0,121</w:t>
            </w:r>
          </w:p>
        </w:tc>
        <w:tc>
          <w:tcPr>
            <w:tcW w:w="1437" w:type="dxa"/>
            <w:vAlign w:val="center"/>
          </w:tcPr>
          <w:p w:rsidR="003932EE" w:rsidRPr="003F1573" w:rsidRDefault="00497DFE" w:rsidP="00CA7AE6">
            <w:pPr>
              <w:spacing w:line="360" w:lineRule="auto"/>
              <w:jc w:val="center"/>
              <w:rPr>
                <w:sz w:val="24"/>
                <w:szCs w:val="24"/>
              </w:rPr>
            </w:pPr>
            <w:r w:rsidRPr="003F1573">
              <w:rPr>
                <w:sz w:val="24"/>
                <w:szCs w:val="24"/>
              </w:rPr>
              <w:t>0,003</w:t>
            </w:r>
          </w:p>
        </w:tc>
        <w:tc>
          <w:tcPr>
            <w:tcW w:w="1398" w:type="dxa"/>
            <w:vAlign w:val="center"/>
          </w:tcPr>
          <w:p w:rsidR="003932EE" w:rsidRPr="003F1573" w:rsidRDefault="00B90AA2" w:rsidP="00CA7AE6">
            <w:pPr>
              <w:spacing w:line="360" w:lineRule="auto"/>
              <w:jc w:val="center"/>
              <w:rPr>
                <w:sz w:val="24"/>
                <w:szCs w:val="24"/>
              </w:rPr>
            </w:pPr>
            <w:r w:rsidRPr="003F1573">
              <w:rPr>
                <w:sz w:val="24"/>
                <w:szCs w:val="24"/>
              </w:rPr>
              <w:t>0,191</w:t>
            </w:r>
          </w:p>
        </w:tc>
        <w:tc>
          <w:tcPr>
            <w:tcW w:w="1559" w:type="dxa"/>
            <w:vAlign w:val="center"/>
          </w:tcPr>
          <w:p w:rsidR="003932EE" w:rsidRPr="003F1573" w:rsidRDefault="00CA7AE6" w:rsidP="00CA7AE6">
            <w:pPr>
              <w:spacing w:line="360" w:lineRule="auto"/>
              <w:jc w:val="center"/>
              <w:rPr>
                <w:sz w:val="24"/>
                <w:szCs w:val="24"/>
              </w:rPr>
            </w:pPr>
            <w:r w:rsidRPr="003F1573">
              <w:rPr>
                <w:sz w:val="24"/>
                <w:szCs w:val="24"/>
              </w:rPr>
              <w:t>0,006</w:t>
            </w:r>
          </w:p>
        </w:tc>
        <w:tc>
          <w:tcPr>
            <w:tcW w:w="1553" w:type="dxa"/>
            <w:vAlign w:val="center"/>
          </w:tcPr>
          <w:p w:rsidR="003932EE" w:rsidRPr="003F1573" w:rsidRDefault="00CA7AE6" w:rsidP="00CA7AE6">
            <w:pPr>
              <w:spacing w:line="360" w:lineRule="auto"/>
              <w:jc w:val="center"/>
              <w:rPr>
                <w:sz w:val="24"/>
                <w:szCs w:val="24"/>
              </w:rPr>
            </w:pPr>
            <w:r w:rsidRPr="003F1573">
              <w:rPr>
                <w:sz w:val="24"/>
                <w:szCs w:val="24"/>
              </w:rPr>
              <w:t>0,115</w:t>
            </w:r>
          </w:p>
        </w:tc>
      </w:tr>
      <w:tr w:rsidR="003932EE" w:rsidRPr="003F1573" w:rsidTr="00EA57F8">
        <w:trPr>
          <w:jc w:val="center"/>
        </w:trPr>
        <w:tc>
          <w:tcPr>
            <w:tcW w:w="1330" w:type="dxa"/>
            <w:vAlign w:val="center"/>
          </w:tcPr>
          <w:p w:rsidR="003932EE" w:rsidRPr="003F1573" w:rsidRDefault="003932EE" w:rsidP="00CA7AE6">
            <w:pPr>
              <w:spacing w:line="360" w:lineRule="auto"/>
              <w:jc w:val="center"/>
              <w:rPr>
                <w:b/>
                <w:sz w:val="24"/>
                <w:szCs w:val="24"/>
              </w:rPr>
            </w:pPr>
            <w:r w:rsidRPr="003F1573">
              <w:rPr>
                <w:b/>
                <w:sz w:val="24"/>
                <w:szCs w:val="24"/>
              </w:rPr>
              <w:t>2021</w:t>
            </w:r>
          </w:p>
        </w:tc>
        <w:tc>
          <w:tcPr>
            <w:tcW w:w="1359" w:type="dxa"/>
            <w:vAlign w:val="center"/>
          </w:tcPr>
          <w:p w:rsidR="003932EE" w:rsidRPr="003F1573" w:rsidRDefault="00497DFE" w:rsidP="00CA7AE6">
            <w:pPr>
              <w:spacing w:line="360" w:lineRule="auto"/>
              <w:jc w:val="center"/>
              <w:rPr>
                <w:sz w:val="24"/>
                <w:szCs w:val="24"/>
              </w:rPr>
            </w:pPr>
            <w:r w:rsidRPr="003F1573">
              <w:rPr>
                <w:sz w:val="24"/>
                <w:szCs w:val="24"/>
              </w:rPr>
              <w:t>0,013</w:t>
            </w:r>
          </w:p>
        </w:tc>
        <w:tc>
          <w:tcPr>
            <w:tcW w:w="1417" w:type="dxa"/>
            <w:vAlign w:val="center"/>
          </w:tcPr>
          <w:p w:rsidR="003932EE" w:rsidRPr="003F1573" w:rsidRDefault="00497DFE" w:rsidP="00CA7AE6">
            <w:pPr>
              <w:spacing w:line="360" w:lineRule="auto"/>
              <w:jc w:val="center"/>
              <w:rPr>
                <w:sz w:val="24"/>
                <w:szCs w:val="24"/>
              </w:rPr>
            </w:pPr>
            <w:r w:rsidRPr="003F1573">
              <w:rPr>
                <w:sz w:val="24"/>
                <w:szCs w:val="24"/>
              </w:rPr>
              <w:t>0,089</w:t>
            </w:r>
          </w:p>
        </w:tc>
        <w:tc>
          <w:tcPr>
            <w:tcW w:w="1437" w:type="dxa"/>
            <w:vAlign w:val="center"/>
          </w:tcPr>
          <w:p w:rsidR="003932EE" w:rsidRPr="003F1573" w:rsidRDefault="00497DFE" w:rsidP="00CA7AE6">
            <w:pPr>
              <w:spacing w:line="360" w:lineRule="auto"/>
              <w:jc w:val="center"/>
              <w:rPr>
                <w:sz w:val="24"/>
                <w:szCs w:val="24"/>
              </w:rPr>
            </w:pPr>
            <w:r w:rsidRPr="003F1573">
              <w:rPr>
                <w:sz w:val="24"/>
                <w:szCs w:val="24"/>
              </w:rPr>
              <w:t>0,003</w:t>
            </w:r>
          </w:p>
        </w:tc>
        <w:tc>
          <w:tcPr>
            <w:tcW w:w="1398" w:type="dxa"/>
            <w:vAlign w:val="center"/>
          </w:tcPr>
          <w:p w:rsidR="003932EE" w:rsidRPr="003F1573" w:rsidRDefault="00497DFE" w:rsidP="00CA7AE6">
            <w:pPr>
              <w:spacing w:line="360" w:lineRule="auto"/>
              <w:jc w:val="center"/>
              <w:rPr>
                <w:sz w:val="24"/>
                <w:szCs w:val="24"/>
              </w:rPr>
            </w:pPr>
            <w:r w:rsidRPr="003F1573">
              <w:rPr>
                <w:sz w:val="24"/>
                <w:szCs w:val="24"/>
              </w:rPr>
              <w:t>0,292</w:t>
            </w:r>
          </w:p>
        </w:tc>
        <w:tc>
          <w:tcPr>
            <w:tcW w:w="1559" w:type="dxa"/>
            <w:vAlign w:val="center"/>
          </w:tcPr>
          <w:p w:rsidR="003932EE" w:rsidRPr="003F1573" w:rsidRDefault="00CA7AE6" w:rsidP="00CA7AE6">
            <w:pPr>
              <w:spacing w:line="360" w:lineRule="auto"/>
              <w:jc w:val="center"/>
              <w:rPr>
                <w:sz w:val="24"/>
                <w:szCs w:val="24"/>
              </w:rPr>
            </w:pPr>
            <w:r w:rsidRPr="003F1573">
              <w:rPr>
                <w:sz w:val="24"/>
                <w:szCs w:val="24"/>
              </w:rPr>
              <w:t>0,01</w:t>
            </w:r>
          </w:p>
        </w:tc>
        <w:tc>
          <w:tcPr>
            <w:tcW w:w="1553" w:type="dxa"/>
            <w:vAlign w:val="center"/>
          </w:tcPr>
          <w:p w:rsidR="003932EE" w:rsidRPr="003F1573" w:rsidRDefault="00CA7AE6" w:rsidP="00CA7AE6">
            <w:pPr>
              <w:spacing w:line="360" w:lineRule="auto"/>
              <w:jc w:val="center"/>
              <w:rPr>
                <w:sz w:val="24"/>
                <w:szCs w:val="24"/>
              </w:rPr>
            </w:pPr>
            <w:r w:rsidRPr="003F1573">
              <w:rPr>
                <w:sz w:val="24"/>
                <w:szCs w:val="24"/>
              </w:rPr>
              <w:t>-0,203</w:t>
            </w:r>
          </w:p>
        </w:tc>
      </w:tr>
    </w:tbl>
    <w:p w:rsidR="00F33B27" w:rsidRPr="003F1573" w:rsidRDefault="00252E01" w:rsidP="00252E01">
      <w:pPr>
        <w:spacing w:line="360" w:lineRule="auto"/>
        <w:ind w:firstLine="567"/>
        <w:jc w:val="both"/>
        <w:rPr>
          <w:sz w:val="28"/>
          <w:szCs w:val="28"/>
        </w:rPr>
      </w:pPr>
      <w:r w:rsidRPr="003F1573">
        <w:rPr>
          <w:sz w:val="28"/>
          <w:szCs w:val="28"/>
        </w:rPr>
        <w:t>Джерело: складено автором на основі даних [</w:t>
      </w:r>
      <w:r w:rsidR="000675F4" w:rsidRPr="003F1573">
        <w:rPr>
          <w:sz w:val="28"/>
          <w:szCs w:val="28"/>
        </w:rPr>
        <w:t>3</w:t>
      </w:r>
      <w:r w:rsidR="00313B0E">
        <w:rPr>
          <w:sz w:val="28"/>
          <w:szCs w:val="28"/>
          <w:lang w:val="en-US"/>
        </w:rPr>
        <w:t>5</w:t>
      </w:r>
      <w:r w:rsidRPr="003F1573">
        <w:rPr>
          <w:sz w:val="28"/>
          <w:szCs w:val="28"/>
        </w:rPr>
        <w:t>].</w:t>
      </w:r>
    </w:p>
    <w:p w:rsidR="00252E01" w:rsidRPr="003F1573" w:rsidRDefault="00EB629A" w:rsidP="00252E01">
      <w:pPr>
        <w:spacing w:line="360" w:lineRule="auto"/>
        <w:ind w:firstLine="567"/>
        <w:jc w:val="both"/>
        <w:rPr>
          <w:sz w:val="28"/>
          <w:szCs w:val="28"/>
        </w:rPr>
      </w:pPr>
      <w:r w:rsidRPr="003F1573">
        <w:rPr>
          <w:sz w:val="28"/>
          <w:szCs w:val="28"/>
        </w:rPr>
        <w:t xml:space="preserve">За вищенаведеними даними </w:t>
      </w:r>
      <w:r w:rsidR="008849C5" w:rsidRPr="003F1573">
        <w:rPr>
          <w:sz w:val="28"/>
          <w:szCs w:val="28"/>
        </w:rPr>
        <w:t xml:space="preserve">бачимо, що розміри експорту та імпорту послуг між </w:t>
      </w:r>
      <w:r w:rsidR="00A6045D" w:rsidRPr="003F1573">
        <w:rPr>
          <w:sz w:val="28"/>
          <w:szCs w:val="28"/>
        </w:rPr>
        <w:t>Японією та Україною в цілому суттєво не відрізняються. Протягом тих п’яти років, які розглядалися</w:t>
      </w:r>
      <w:r w:rsidR="00ED6FD3" w:rsidRPr="003F1573">
        <w:rPr>
          <w:sz w:val="28"/>
          <w:szCs w:val="28"/>
        </w:rPr>
        <w:t>,</w:t>
      </w:r>
      <w:r w:rsidR="00A6045D" w:rsidRPr="003F1573">
        <w:rPr>
          <w:sz w:val="28"/>
          <w:szCs w:val="28"/>
        </w:rPr>
        <w:t xml:space="preserve"> обсяг експорту з</w:t>
      </w:r>
      <w:r w:rsidR="00FB7C72" w:rsidRPr="003F1573">
        <w:rPr>
          <w:sz w:val="28"/>
          <w:szCs w:val="28"/>
        </w:rPr>
        <w:t>бі</w:t>
      </w:r>
      <w:r w:rsidR="00A6045D" w:rsidRPr="003F1573">
        <w:rPr>
          <w:sz w:val="28"/>
          <w:szCs w:val="28"/>
        </w:rPr>
        <w:t xml:space="preserve">льшився майже на 39%, а от імпорту, навпаки, значно знизився аж на 79% (див. рис. 3.2). </w:t>
      </w:r>
      <w:r w:rsidR="00C45F81" w:rsidRPr="003F1573">
        <w:rPr>
          <w:sz w:val="28"/>
          <w:szCs w:val="28"/>
        </w:rPr>
        <w:t>Стосовно Китаю</w:t>
      </w:r>
      <w:r w:rsidR="00CC3A01" w:rsidRPr="003F1573">
        <w:rPr>
          <w:sz w:val="28"/>
          <w:szCs w:val="28"/>
        </w:rPr>
        <w:t>, знову ж таки</w:t>
      </w:r>
      <w:r w:rsidR="00C45F81" w:rsidRPr="003F1573">
        <w:rPr>
          <w:sz w:val="28"/>
          <w:szCs w:val="28"/>
        </w:rPr>
        <w:t xml:space="preserve"> спостерігаємо</w:t>
      </w:r>
      <w:r w:rsidR="00CC3A01" w:rsidRPr="003F1573">
        <w:rPr>
          <w:sz w:val="28"/>
          <w:szCs w:val="28"/>
        </w:rPr>
        <w:t xml:space="preserve"> </w:t>
      </w:r>
      <w:r w:rsidR="00C45F81" w:rsidRPr="003F1573">
        <w:rPr>
          <w:sz w:val="28"/>
          <w:szCs w:val="28"/>
        </w:rPr>
        <w:t xml:space="preserve">значно вищі показники. Протягом 2017-2019 років експорт послуг </w:t>
      </w:r>
      <w:r w:rsidR="00FB7C72" w:rsidRPr="003F1573">
        <w:rPr>
          <w:sz w:val="28"/>
          <w:szCs w:val="28"/>
        </w:rPr>
        <w:t xml:space="preserve">зростав майже на 54% і досяг свого максимуму у 0,163 млрд дол. США. Згодом почав поступово знижуватися і у 2021 році перевищував показник 2017 року лише на </w:t>
      </w:r>
      <w:r w:rsidR="00CC3A01" w:rsidRPr="003F1573">
        <w:rPr>
          <w:sz w:val="28"/>
          <w:szCs w:val="28"/>
        </w:rPr>
        <w:t xml:space="preserve">16%. Імпорт послуг між Україною та Китаєм за своїми обсягами перевищує експорт. До 2019 року він стрімко зростав і досяг позначки у 0,222 млрд дол. США. У 2020 році спостерігаємо незначне зниження даного показника, а вже у 2021 році – його максимальне значення у 0,292 млрд дол. США, що перевищує </w:t>
      </w:r>
      <w:r w:rsidR="00387C7C" w:rsidRPr="003F1573">
        <w:rPr>
          <w:sz w:val="28"/>
          <w:szCs w:val="28"/>
        </w:rPr>
        <w:t>обсяг імпорту послуг 2017 року на 43%.</w:t>
      </w:r>
      <w:r w:rsidR="00CC3A01" w:rsidRPr="003F1573">
        <w:rPr>
          <w:sz w:val="28"/>
          <w:szCs w:val="28"/>
        </w:rPr>
        <w:t xml:space="preserve"> </w:t>
      </w:r>
    </w:p>
    <w:p w:rsidR="00F33B27" w:rsidRPr="003F1573" w:rsidRDefault="00231366" w:rsidP="00EA786B">
      <w:pPr>
        <w:spacing w:line="360" w:lineRule="auto"/>
        <w:jc w:val="center"/>
        <w:rPr>
          <w:b/>
          <w:sz w:val="28"/>
          <w:szCs w:val="28"/>
        </w:rPr>
      </w:pPr>
      <w:r w:rsidRPr="003F1573">
        <w:rPr>
          <w:noProof/>
          <w:lang w:eastAsia="uk-UA"/>
        </w:rPr>
        <w:drawing>
          <wp:inline distT="0" distB="0" distL="0" distR="0" wp14:anchorId="2C8FD504" wp14:editId="24EBB965">
            <wp:extent cx="5295901" cy="2928939"/>
            <wp:effectExtent l="0" t="0" r="0" b="5080"/>
            <wp:docPr id="12" name="Диаграмма 12">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216E2909-4DF7-4165-A6FA-BB9BBBC5E7C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5B076C" w:rsidRPr="003F1573" w:rsidRDefault="00ED72D5" w:rsidP="00387C7C">
      <w:pPr>
        <w:spacing w:line="360" w:lineRule="auto"/>
        <w:ind w:firstLine="567"/>
        <w:jc w:val="both"/>
        <w:rPr>
          <w:sz w:val="28"/>
          <w:szCs w:val="28"/>
        </w:rPr>
      </w:pPr>
      <w:r w:rsidRPr="003F1573">
        <w:rPr>
          <w:sz w:val="28"/>
          <w:szCs w:val="28"/>
        </w:rPr>
        <w:t>Рис. 3.2. Динаміка торгівлі послугами між Японією/Китаєм та Україною за 2017-2021 рр., млрд дол. США</w:t>
      </w:r>
    </w:p>
    <w:p w:rsidR="00ED72D5" w:rsidRPr="003F1573" w:rsidRDefault="00ED72D5" w:rsidP="00387C7C">
      <w:pPr>
        <w:spacing w:line="360" w:lineRule="auto"/>
        <w:ind w:firstLine="567"/>
        <w:jc w:val="both"/>
        <w:rPr>
          <w:sz w:val="28"/>
          <w:szCs w:val="28"/>
        </w:rPr>
      </w:pPr>
      <w:r w:rsidRPr="003F1573">
        <w:rPr>
          <w:sz w:val="28"/>
          <w:szCs w:val="28"/>
        </w:rPr>
        <w:t>Джерело: складено автором на основі даних [</w:t>
      </w:r>
      <w:r w:rsidR="0086241E" w:rsidRPr="003F1573">
        <w:rPr>
          <w:sz w:val="28"/>
          <w:szCs w:val="28"/>
        </w:rPr>
        <w:t>3</w:t>
      </w:r>
      <w:r w:rsidR="00313B0E">
        <w:rPr>
          <w:sz w:val="28"/>
          <w:szCs w:val="28"/>
          <w:lang w:val="en-US"/>
        </w:rPr>
        <w:t>5</w:t>
      </w:r>
      <w:r w:rsidRPr="003F1573">
        <w:rPr>
          <w:sz w:val="28"/>
          <w:szCs w:val="28"/>
        </w:rPr>
        <w:t>].</w:t>
      </w:r>
    </w:p>
    <w:p w:rsidR="00ED72D5" w:rsidRPr="003F1573" w:rsidRDefault="00ED72D5" w:rsidP="00387C7C">
      <w:pPr>
        <w:spacing w:line="360" w:lineRule="auto"/>
        <w:ind w:firstLine="567"/>
        <w:jc w:val="both"/>
        <w:rPr>
          <w:sz w:val="28"/>
          <w:szCs w:val="28"/>
        </w:rPr>
      </w:pPr>
    </w:p>
    <w:p w:rsidR="00ED72D5" w:rsidRPr="003F1573" w:rsidRDefault="00ED72D5" w:rsidP="00387C7C">
      <w:pPr>
        <w:spacing w:line="360" w:lineRule="auto"/>
        <w:ind w:firstLine="567"/>
        <w:jc w:val="both"/>
        <w:rPr>
          <w:sz w:val="28"/>
          <w:szCs w:val="28"/>
        </w:rPr>
      </w:pPr>
      <w:r w:rsidRPr="003F1573">
        <w:rPr>
          <w:sz w:val="28"/>
          <w:szCs w:val="28"/>
        </w:rPr>
        <w:t xml:space="preserve">Однак, торгівля послугами поки займає незначне місце у загальній торгівлі товарами та послугами між Україною і Китаєм. </w:t>
      </w:r>
      <w:r w:rsidR="009D2DC3" w:rsidRPr="003F1573">
        <w:rPr>
          <w:sz w:val="28"/>
          <w:szCs w:val="28"/>
        </w:rPr>
        <w:t>Разом з тим, протягом останніх п’яти років спостерігалася тенденція до збільшення частки послуг у двосторонній торгівлі з Китаєм. Україна більше імпортує пос</w:t>
      </w:r>
      <w:r w:rsidR="00ED6FD3" w:rsidRPr="003F1573">
        <w:rPr>
          <w:sz w:val="28"/>
          <w:szCs w:val="28"/>
        </w:rPr>
        <w:t>л</w:t>
      </w:r>
      <w:r w:rsidR="009D2DC3" w:rsidRPr="003F1573">
        <w:rPr>
          <w:sz w:val="28"/>
          <w:szCs w:val="28"/>
        </w:rPr>
        <w:t>уги з Китаю, ніж експортує. У структурі українського експорту послуг до Китаю майже 50% займають транспортні послуги, причому переважна частка з них припадала на повітряний транспорт. Важливе місце в експорті також займають ділові послуги</w:t>
      </w:r>
      <w:r w:rsidR="003A46AD" w:rsidRPr="003F1573">
        <w:rPr>
          <w:sz w:val="28"/>
          <w:szCs w:val="28"/>
        </w:rPr>
        <w:t xml:space="preserve"> (36,5%)</w:t>
      </w:r>
      <w:r w:rsidR="009D2DC3" w:rsidRPr="003F1573">
        <w:rPr>
          <w:sz w:val="28"/>
          <w:szCs w:val="28"/>
        </w:rPr>
        <w:t xml:space="preserve">, з них найбільші обсяги демонстрували послуги дослідження та розробки. Послуги, пов’язані з подорожами </w:t>
      </w:r>
      <w:r w:rsidR="003A46AD" w:rsidRPr="003F1573">
        <w:rPr>
          <w:sz w:val="28"/>
          <w:szCs w:val="28"/>
        </w:rPr>
        <w:t>та у сфері телекомунікації, комп’ютерні та інформаційні послуги займають 5,7% та 3,3% відповідно. Проте, в останні роки експорт послуг, пов’язаних з подорожами та послуг з переробки матеріальних ресурсів знижувався.</w:t>
      </w:r>
    </w:p>
    <w:p w:rsidR="00507522" w:rsidRPr="003F1573" w:rsidRDefault="00507522" w:rsidP="00387C7C">
      <w:pPr>
        <w:spacing w:line="360" w:lineRule="auto"/>
        <w:ind w:firstLine="567"/>
        <w:jc w:val="both"/>
        <w:rPr>
          <w:sz w:val="28"/>
          <w:szCs w:val="28"/>
        </w:rPr>
      </w:pPr>
      <w:r w:rsidRPr="003F1573">
        <w:rPr>
          <w:sz w:val="28"/>
          <w:szCs w:val="28"/>
        </w:rPr>
        <w:t xml:space="preserve">В імпорті послуг з Китаю до України переважають послуги, пов’язані з фінансовою діяльністю (близько 50%). Попит України на ділові та транспортні послуги (переважно морського транспорту) </w:t>
      </w:r>
      <w:r w:rsidR="00126EC2" w:rsidRPr="003F1573">
        <w:rPr>
          <w:sz w:val="28"/>
          <w:szCs w:val="28"/>
        </w:rPr>
        <w:t xml:space="preserve">також високий – 14,4% та 13,1%. </w:t>
      </w:r>
      <w:r w:rsidRPr="003F1573">
        <w:rPr>
          <w:sz w:val="28"/>
          <w:szCs w:val="28"/>
        </w:rPr>
        <w:t>В імпорті послуг роялті та інших послуг, пов’язаних з використанням інтелектуальної власності, домінують послуги у сфері ліцензійної діяльності (</w:t>
      </w:r>
      <w:r w:rsidR="00126EC2" w:rsidRPr="003F1573">
        <w:rPr>
          <w:sz w:val="28"/>
          <w:szCs w:val="28"/>
        </w:rPr>
        <w:t>6%</w:t>
      </w:r>
      <w:r w:rsidRPr="003F1573">
        <w:rPr>
          <w:sz w:val="28"/>
          <w:szCs w:val="28"/>
        </w:rPr>
        <w:t>)</w:t>
      </w:r>
      <w:r w:rsidR="00126EC2" w:rsidRPr="003F1573">
        <w:rPr>
          <w:sz w:val="28"/>
          <w:szCs w:val="28"/>
        </w:rPr>
        <w:t>. Україна також імпортує послуги телекомунікації, комп’ютерні та інформаційні послуги, державні й урядові, а також послуги, пов’язані з подорожами</w:t>
      </w:r>
      <w:r w:rsidR="00BD18F0" w:rsidRPr="003F1573">
        <w:rPr>
          <w:sz w:val="28"/>
          <w:szCs w:val="28"/>
        </w:rPr>
        <w:t xml:space="preserve"> [</w:t>
      </w:r>
      <w:r w:rsidR="000675F4" w:rsidRPr="003F1573">
        <w:rPr>
          <w:sz w:val="28"/>
          <w:szCs w:val="28"/>
        </w:rPr>
        <w:t>3</w:t>
      </w:r>
      <w:r w:rsidR="00313B0E">
        <w:rPr>
          <w:sz w:val="28"/>
          <w:szCs w:val="28"/>
          <w:lang w:val="en-US"/>
        </w:rPr>
        <w:t>6</w:t>
      </w:r>
      <w:r w:rsidR="00BD18F0" w:rsidRPr="003F1573">
        <w:rPr>
          <w:sz w:val="28"/>
          <w:szCs w:val="28"/>
        </w:rPr>
        <w:t>]</w:t>
      </w:r>
      <w:r w:rsidR="00126EC2" w:rsidRPr="003F1573">
        <w:rPr>
          <w:sz w:val="28"/>
          <w:szCs w:val="28"/>
        </w:rPr>
        <w:t>.</w:t>
      </w:r>
    </w:p>
    <w:p w:rsidR="005B076C" w:rsidRPr="003F1573" w:rsidRDefault="0005605E" w:rsidP="00BD18F0">
      <w:pPr>
        <w:spacing w:line="360" w:lineRule="auto"/>
        <w:ind w:firstLine="567"/>
        <w:jc w:val="both"/>
        <w:rPr>
          <w:sz w:val="28"/>
          <w:szCs w:val="28"/>
        </w:rPr>
      </w:pPr>
      <w:r w:rsidRPr="003F1573">
        <w:rPr>
          <w:sz w:val="28"/>
          <w:szCs w:val="28"/>
        </w:rPr>
        <w:t xml:space="preserve">Проаналізуємо особливості інвестиційних потоків між Японією, Китаєм та Україною. </w:t>
      </w:r>
      <w:r w:rsidR="00872C32" w:rsidRPr="003F1573">
        <w:rPr>
          <w:sz w:val="28"/>
          <w:szCs w:val="28"/>
        </w:rPr>
        <w:t xml:space="preserve">У таблиці 3.3 </w:t>
      </w:r>
      <w:r w:rsidR="00C24044" w:rsidRPr="003F1573">
        <w:rPr>
          <w:sz w:val="28"/>
          <w:szCs w:val="28"/>
        </w:rPr>
        <w:t xml:space="preserve">наведені дані стосовно прямих інвестицій, які надходять з Японії та Китаю в економіку України і, навпаки, з України в японську й китайську економіки. </w:t>
      </w:r>
    </w:p>
    <w:p w:rsidR="005B076C" w:rsidRPr="003F1573" w:rsidRDefault="005B076C" w:rsidP="00FE1FF5">
      <w:pPr>
        <w:spacing w:line="360" w:lineRule="auto"/>
        <w:jc w:val="right"/>
        <w:rPr>
          <w:sz w:val="28"/>
          <w:szCs w:val="28"/>
        </w:rPr>
      </w:pPr>
      <w:r w:rsidRPr="003F1573">
        <w:rPr>
          <w:sz w:val="28"/>
          <w:szCs w:val="28"/>
        </w:rPr>
        <w:t>Таблиця 3.3.</w:t>
      </w:r>
    </w:p>
    <w:p w:rsidR="005B076C" w:rsidRPr="003F1573" w:rsidRDefault="005B076C" w:rsidP="005B076C">
      <w:pPr>
        <w:spacing w:line="360" w:lineRule="auto"/>
        <w:jc w:val="center"/>
        <w:rPr>
          <w:b/>
          <w:sz w:val="28"/>
          <w:szCs w:val="28"/>
        </w:rPr>
      </w:pPr>
      <w:r w:rsidRPr="003F1573">
        <w:rPr>
          <w:b/>
          <w:sz w:val="28"/>
          <w:szCs w:val="28"/>
        </w:rPr>
        <w:t>Статистика потоків прямих іноземних інвестицій між Японією/Китаєм та Україною протягом 2017-2021 рр., млн дол. США</w:t>
      </w:r>
    </w:p>
    <w:tbl>
      <w:tblPr>
        <w:tblStyle w:val="a7"/>
        <w:tblW w:w="0" w:type="auto"/>
        <w:jc w:val="center"/>
        <w:tblLook w:val="04A0" w:firstRow="1" w:lastRow="0" w:firstColumn="1" w:lastColumn="0" w:noHBand="0" w:noVBand="1"/>
      </w:tblPr>
      <w:tblGrid>
        <w:gridCol w:w="1293"/>
        <w:gridCol w:w="1963"/>
        <w:gridCol w:w="1984"/>
        <w:gridCol w:w="1985"/>
        <w:gridCol w:w="2153"/>
      </w:tblGrid>
      <w:tr w:rsidR="005A6109" w:rsidRPr="003F1573" w:rsidTr="00EA57F8">
        <w:trPr>
          <w:jc w:val="center"/>
        </w:trPr>
        <w:tc>
          <w:tcPr>
            <w:tcW w:w="1293" w:type="dxa"/>
            <w:vMerge w:val="restart"/>
            <w:vAlign w:val="center"/>
          </w:tcPr>
          <w:p w:rsidR="005A6109" w:rsidRPr="003F1573" w:rsidRDefault="005A6109" w:rsidP="00520279">
            <w:pPr>
              <w:spacing w:line="360" w:lineRule="auto"/>
              <w:jc w:val="center"/>
              <w:rPr>
                <w:b/>
                <w:sz w:val="24"/>
                <w:szCs w:val="24"/>
              </w:rPr>
            </w:pPr>
            <w:r w:rsidRPr="003F1573">
              <w:rPr>
                <w:b/>
                <w:sz w:val="24"/>
                <w:szCs w:val="24"/>
              </w:rPr>
              <w:t>Показник</w:t>
            </w:r>
          </w:p>
        </w:tc>
        <w:tc>
          <w:tcPr>
            <w:tcW w:w="3947" w:type="dxa"/>
            <w:gridSpan w:val="2"/>
            <w:vAlign w:val="center"/>
          </w:tcPr>
          <w:p w:rsidR="005A6109" w:rsidRPr="003F1573" w:rsidRDefault="005A6109" w:rsidP="00BD18F0">
            <w:pPr>
              <w:spacing w:line="276" w:lineRule="auto"/>
              <w:jc w:val="center"/>
              <w:rPr>
                <w:sz w:val="24"/>
                <w:szCs w:val="24"/>
              </w:rPr>
            </w:pPr>
            <w:r w:rsidRPr="003F1573">
              <w:rPr>
                <w:sz w:val="24"/>
                <w:szCs w:val="24"/>
              </w:rPr>
              <w:t xml:space="preserve">Прямі іноземні інвестиції </w:t>
            </w:r>
          </w:p>
          <w:p w:rsidR="005A6109" w:rsidRPr="003F1573" w:rsidRDefault="005A6109" w:rsidP="00BD18F0">
            <w:pPr>
              <w:spacing w:line="276" w:lineRule="auto"/>
              <w:jc w:val="center"/>
              <w:rPr>
                <w:sz w:val="24"/>
                <w:szCs w:val="24"/>
              </w:rPr>
            </w:pPr>
            <w:r w:rsidRPr="003F1573">
              <w:rPr>
                <w:sz w:val="24"/>
                <w:szCs w:val="24"/>
              </w:rPr>
              <w:t>в Україну</w:t>
            </w:r>
          </w:p>
        </w:tc>
        <w:tc>
          <w:tcPr>
            <w:tcW w:w="4138" w:type="dxa"/>
            <w:gridSpan w:val="2"/>
            <w:vAlign w:val="center"/>
          </w:tcPr>
          <w:p w:rsidR="005A6109" w:rsidRPr="003F1573" w:rsidRDefault="005A6109" w:rsidP="00BD18F0">
            <w:pPr>
              <w:spacing w:line="276" w:lineRule="auto"/>
              <w:jc w:val="center"/>
              <w:rPr>
                <w:sz w:val="24"/>
                <w:szCs w:val="24"/>
              </w:rPr>
            </w:pPr>
            <w:r w:rsidRPr="003F1573">
              <w:rPr>
                <w:sz w:val="24"/>
                <w:szCs w:val="24"/>
              </w:rPr>
              <w:t xml:space="preserve">Прямі іноземні інвестиції </w:t>
            </w:r>
          </w:p>
          <w:p w:rsidR="005A6109" w:rsidRPr="003F1573" w:rsidRDefault="005A6109" w:rsidP="00BD18F0">
            <w:pPr>
              <w:spacing w:line="276" w:lineRule="auto"/>
              <w:jc w:val="center"/>
              <w:rPr>
                <w:sz w:val="24"/>
                <w:szCs w:val="24"/>
              </w:rPr>
            </w:pPr>
            <w:r w:rsidRPr="003F1573">
              <w:rPr>
                <w:sz w:val="24"/>
                <w:szCs w:val="24"/>
              </w:rPr>
              <w:t>з України</w:t>
            </w:r>
          </w:p>
        </w:tc>
      </w:tr>
      <w:tr w:rsidR="005A6109" w:rsidRPr="003F1573" w:rsidTr="00EA57F8">
        <w:trPr>
          <w:jc w:val="center"/>
        </w:trPr>
        <w:tc>
          <w:tcPr>
            <w:tcW w:w="1293" w:type="dxa"/>
            <w:vMerge/>
            <w:vAlign w:val="center"/>
          </w:tcPr>
          <w:p w:rsidR="005A6109" w:rsidRPr="003F1573" w:rsidRDefault="005A6109" w:rsidP="00520279">
            <w:pPr>
              <w:spacing w:line="360" w:lineRule="auto"/>
              <w:jc w:val="center"/>
              <w:rPr>
                <w:b/>
                <w:sz w:val="24"/>
                <w:szCs w:val="24"/>
              </w:rPr>
            </w:pPr>
          </w:p>
        </w:tc>
        <w:tc>
          <w:tcPr>
            <w:tcW w:w="1963" w:type="dxa"/>
            <w:vAlign w:val="center"/>
          </w:tcPr>
          <w:p w:rsidR="005A6109" w:rsidRPr="003F1573" w:rsidRDefault="005A6109" w:rsidP="00520279">
            <w:pPr>
              <w:spacing w:line="360" w:lineRule="auto"/>
              <w:jc w:val="center"/>
              <w:rPr>
                <w:sz w:val="24"/>
                <w:szCs w:val="24"/>
              </w:rPr>
            </w:pPr>
            <w:r w:rsidRPr="003F1573">
              <w:rPr>
                <w:sz w:val="24"/>
                <w:szCs w:val="24"/>
              </w:rPr>
              <w:t>з Японії</w:t>
            </w:r>
          </w:p>
        </w:tc>
        <w:tc>
          <w:tcPr>
            <w:tcW w:w="1984" w:type="dxa"/>
            <w:vAlign w:val="center"/>
          </w:tcPr>
          <w:p w:rsidR="005A6109" w:rsidRPr="003F1573" w:rsidRDefault="005A6109" w:rsidP="00520279">
            <w:pPr>
              <w:spacing w:line="360" w:lineRule="auto"/>
              <w:jc w:val="center"/>
              <w:rPr>
                <w:sz w:val="24"/>
                <w:szCs w:val="24"/>
              </w:rPr>
            </w:pPr>
            <w:r w:rsidRPr="003F1573">
              <w:rPr>
                <w:sz w:val="24"/>
                <w:szCs w:val="24"/>
              </w:rPr>
              <w:t>з Китаю</w:t>
            </w:r>
          </w:p>
        </w:tc>
        <w:tc>
          <w:tcPr>
            <w:tcW w:w="1985" w:type="dxa"/>
            <w:vAlign w:val="center"/>
          </w:tcPr>
          <w:p w:rsidR="005A6109" w:rsidRPr="003F1573" w:rsidRDefault="005A6109" w:rsidP="00520279">
            <w:pPr>
              <w:spacing w:line="360" w:lineRule="auto"/>
              <w:jc w:val="center"/>
              <w:rPr>
                <w:sz w:val="24"/>
                <w:szCs w:val="24"/>
              </w:rPr>
            </w:pPr>
            <w:r w:rsidRPr="003F1573">
              <w:rPr>
                <w:sz w:val="24"/>
                <w:szCs w:val="24"/>
              </w:rPr>
              <w:t>в Японію</w:t>
            </w:r>
          </w:p>
        </w:tc>
        <w:tc>
          <w:tcPr>
            <w:tcW w:w="2153" w:type="dxa"/>
            <w:vAlign w:val="center"/>
          </w:tcPr>
          <w:p w:rsidR="005A6109" w:rsidRPr="003F1573" w:rsidRDefault="005A6109" w:rsidP="00520279">
            <w:pPr>
              <w:spacing w:line="360" w:lineRule="auto"/>
              <w:jc w:val="center"/>
              <w:rPr>
                <w:sz w:val="24"/>
                <w:szCs w:val="24"/>
              </w:rPr>
            </w:pPr>
            <w:r w:rsidRPr="003F1573">
              <w:rPr>
                <w:sz w:val="24"/>
                <w:szCs w:val="24"/>
              </w:rPr>
              <w:t>в Китай</w:t>
            </w:r>
          </w:p>
        </w:tc>
      </w:tr>
      <w:tr w:rsidR="005A6109" w:rsidRPr="003F1573" w:rsidTr="00EA57F8">
        <w:trPr>
          <w:jc w:val="center"/>
        </w:trPr>
        <w:tc>
          <w:tcPr>
            <w:tcW w:w="1293" w:type="dxa"/>
            <w:vAlign w:val="center"/>
          </w:tcPr>
          <w:p w:rsidR="005A6109" w:rsidRPr="003F1573" w:rsidRDefault="005A6109" w:rsidP="00520279">
            <w:pPr>
              <w:spacing w:line="360" w:lineRule="auto"/>
              <w:jc w:val="center"/>
              <w:rPr>
                <w:b/>
                <w:sz w:val="24"/>
                <w:szCs w:val="24"/>
              </w:rPr>
            </w:pPr>
            <w:r w:rsidRPr="003F1573">
              <w:rPr>
                <w:b/>
                <w:sz w:val="24"/>
                <w:szCs w:val="24"/>
              </w:rPr>
              <w:t>2017</w:t>
            </w:r>
          </w:p>
        </w:tc>
        <w:tc>
          <w:tcPr>
            <w:tcW w:w="1963" w:type="dxa"/>
            <w:vAlign w:val="center"/>
          </w:tcPr>
          <w:p w:rsidR="005A6109" w:rsidRPr="003F1573" w:rsidRDefault="00542FAA" w:rsidP="00520279">
            <w:pPr>
              <w:spacing w:line="360" w:lineRule="auto"/>
              <w:jc w:val="center"/>
              <w:rPr>
                <w:sz w:val="24"/>
                <w:szCs w:val="24"/>
              </w:rPr>
            </w:pPr>
            <w:r w:rsidRPr="003F1573">
              <w:rPr>
                <w:sz w:val="24"/>
                <w:szCs w:val="24"/>
              </w:rPr>
              <w:t>18,6</w:t>
            </w:r>
          </w:p>
        </w:tc>
        <w:tc>
          <w:tcPr>
            <w:tcW w:w="1984" w:type="dxa"/>
            <w:vAlign w:val="center"/>
          </w:tcPr>
          <w:p w:rsidR="005A6109" w:rsidRPr="003F1573" w:rsidRDefault="00542FAA" w:rsidP="00520279">
            <w:pPr>
              <w:spacing w:line="360" w:lineRule="auto"/>
              <w:jc w:val="center"/>
              <w:rPr>
                <w:sz w:val="24"/>
                <w:szCs w:val="24"/>
              </w:rPr>
            </w:pPr>
            <w:r w:rsidRPr="003F1573">
              <w:rPr>
                <w:sz w:val="24"/>
                <w:szCs w:val="24"/>
              </w:rPr>
              <w:t>3,1</w:t>
            </w:r>
          </w:p>
        </w:tc>
        <w:tc>
          <w:tcPr>
            <w:tcW w:w="1985" w:type="dxa"/>
            <w:vAlign w:val="center"/>
          </w:tcPr>
          <w:p w:rsidR="005A6109" w:rsidRPr="003F1573" w:rsidRDefault="00542FAA" w:rsidP="00520279">
            <w:pPr>
              <w:spacing w:line="360" w:lineRule="auto"/>
              <w:jc w:val="center"/>
              <w:rPr>
                <w:sz w:val="24"/>
                <w:szCs w:val="24"/>
              </w:rPr>
            </w:pPr>
            <w:r w:rsidRPr="003F1573">
              <w:rPr>
                <w:sz w:val="24"/>
                <w:szCs w:val="24"/>
              </w:rPr>
              <w:t>-</w:t>
            </w:r>
          </w:p>
        </w:tc>
        <w:tc>
          <w:tcPr>
            <w:tcW w:w="2153" w:type="dxa"/>
            <w:vAlign w:val="center"/>
          </w:tcPr>
          <w:p w:rsidR="005A6109" w:rsidRPr="003F1573" w:rsidRDefault="00542FAA" w:rsidP="00520279">
            <w:pPr>
              <w:spacing w:line="360" w:lineRule="auto"/>
              <w:jc w:val="center"/>
              <w:rPr>
                <w:sz w:val="24"/>
                <w:szCs w:val="24"/>
              </w:rPr>
            </w:pPr>
            <w:r w:rsidRPr="003F1573">
              <w:rPr>
                <w:sz w:val="24"/>
                <w:szCs w:val="24"/>
              </w:rPr>
              <w:t>1,1</w:t>
            </w:r>
          </w:p>
        </w:tc>
      </w:tr>
      <w:tr w:rsidR="005A6109" w:rsidRPr="003F1573" w:rsidTr="00EA57F8">
        <w:trPr>
          <w:jc w:val="center"/>
        </w:trPr>
        <w:tc>
          <w:tcPr>
            <w:tcW w:w="1293" w:type="dxa"/>
            <w:vAlign w:val="center"/>
          </w:tcPr>
          <w:p w:rsidR="005A6109" w:rsidRPr="003F1573" w:rsidRDefault="005A6109" w:rsidP="00520279">
            <w:pPr>
              <w:spacing w:line="360" w:lineRule="auto"/>
              <w:jc w:val="center"/>
              <w:rPr>
                <w:b/>
                <w:sz w:val="24"/>
                <w:szCs w:val="24"/>
              </w:rPr>
            </w:pPr>
            <w:r w:rsidRPr="003F1573">
              <w:rPr>
                <w:b/>
                <w:sz w:val="24"/>
                <w:szCs w:val="24"/>
              </w:rPr>
              <w:t>2018</w:t>
            </w:r>
          </w:p>
        </w:tc>
        <w:tc>
          <w:tcPr>
            <w:tcW w:w="1963" w:type="dxa"/>
            <w:vAlign w:val="center"/>
          </w:tcPr>
          <w:p w:rsidR="005A6109" w:rsidRPr="003F1573" w:rsidRDefault="00542FAA" w:rsidP="00520279">
            <w:pPr>
              <w:spacing w:line="360" w:lineRule="auto"/>
              <w:jc w:val="center"/>
              <w:rPr>
                <w:sz w:val="24"/>
                <w:szCs w:val="24"/>
              </w:rPr>
            </w:pPr>
            <w:r w:rsidRPr="003F1573">
              <w:rPr>
                <w:sz w:val="24"/>
                <w:szCs w:val="24"/>
              </w:rPr>
              <w:t>-71,6</w:t>
            </w:r>
          </w:p>
        </w:tc>
        <w:tc>
          <w:tcPr>
            <w:tcW w:w="1984" w:type="dxa"/>
            <w:vAlign w:val="center"/>
          </w:tcPr>
          <w:p w:rsidR="005A6109" w:rsidRPr="003F1573" w:rsidRDefault="00542FAA" w:rsidP="00520279">
            <w:pPr>
              <w:spacing w:line="360" w:lineRule="auto"/>
              <w:jc w:val="center"/>
              <w:rPr>
                <w:sz w:val="24"/>
                <w:szCs w:val="24"/>
              </w:rPr>
            </w:pPr>
            <w:r w:rsidRPr="003F1573">
              <w:rPr>
                <w:sz w:val="24"/>
                <w:szCs w:val="24"/>
              </w:rPr>
              <w:t>-0,4</w:t>
            </w:r>
          </w:p>
        </w:tc>
        <w:tc>
          <w:tcPr>
            <w:tcW w:w="1985" w:type="dxa"/>
            <w:vAlign w:val="center"/>
          </w:tcPr>
          <w:p w:rsidR="005A6109" w:rsidRPr="003F1573" w:rsidRDefault="00542FAA" w:rsidP="00520279">
            <w:pPr>
              <w:spacing w:line="360" w:lineRule="auto"/>
              <w:jc w:val="center"/>
              <w:rPr>
                <w:sz w:val="24"/>
                <w:szCs w:val="24"/>
              </w:rPr>
            </w:pPr>
            <w:r w:rsidRPr="003F1573">
              <w:rPr>
                <w:sz w:val="24"/>
                <w:szCs w:val="24"/>
              </w:rPr>
              <w:t>-</w:t>
            </w:r>
          </w:p>
        </w:tc>
        <w:tc>
          <w:tcPr>
            <w:tcW w:w="2153" w:type="dxa"/>
            <w:vAlign w:val="center"/>
          </w:tcPr>
          <w:p w:rsidR="005A6109" w:rsidRPr="003F1573" w:rsidRDefault="00542FAA" w:rsidP="00520279">
            <w:pPr>
              <w:spacing w:line="360" w:lineRule="auto"/>
              <w:jc w:val="center"/>
              <w:rPr>
                <w:sz w:val="24"/>
                <w:szCs w:val="24"/>
              </w:rPr>
            </w:pPr>
            <w:r w:rsidRPr="003F1573">
              <w:rPr>
                <w:sz w:val="24"/>
                <w:szCs w:val="24"/>
              </w:rPr>
              <w:t>0,6</w:t>
            </w:r>
          </w:p>
        </w:tc>
      </w:tr>
      <w:tr w:rsidR="005A6109" w:rsidRPr="003F1573" w:rsidTr="00EA57F8">
        <w:trPr>
          <w:jc w:val="center"/>
        </w:trPr>
        <w:tc>
          <w:tcPr>
            <w:tcW w:w="1293" w:type="dxa"/>
            <w:vAlign w:val="center"/>
          </w:tcPr>
          <w:p w:rsidR="005A6109" w:rsidRPr="003F1573" w:rsidRDefault="005A6109" w:rsidP="00520279">
            <w:pPr>
              <w:spacing w:line="360" w:lineRule="auto"/>
              <w:jc w:val="center"/>
              <w:rPr>
                <w:b/>
                <w:sz w:val="24"/>
                <w:szCs w:val="24"/>
              </w:rPr>
            </w:pPr>
            <w:r w:rsidRPr="003F1573">
              <w:rPr>
                <w:b/>
                <w:sz w:val="24"/>
                <w:szCs w:val="24"/>
              </w:rPr>
              <w:t>2019</w:t>
            </w:r>
          </w:p>
        </w:tc>
        <w:tc>
          <w:tcPr>
            <w:tcW w:w="1963" w:type="dxa"/>
            <w:vAlign w:val="center"/>
          </w:tcPr>
          <w:p w:rsidR="005A6109" w:rsidRPr="003F1573" w:rsidRDefault="00542FAA" w:rsidP="00520279">
            <w:pPr>
              <w:spacing w:line="360" w:lineRule="auto"/>
              <w:jc w:val="center"/>
              <w:rPr>
                <w:sz w:val="24"/>
                <w:szCs w:val="24"/>
              </w:rPr>
            </w:pPr>
            <w:r w:rsidRPr="003F1573">
              <w:rPr>
                <w:sz w:val="24"/>
                <w:szCs w:val="24"/>
              </w:rPr>
              <w:t>0,3</w:t>
            </w:r>
          </w:p>
        </w:tc>
        <w:tc>
          <w:tcPr>
            <w:tcW w:w="1984" w:type="dxa"/>
            <w:vAlign w:val="center"/>
          </w:tcPr>
          <w:p w:rsidR="005A6109" w:rsidRPr="003F1573" w:rsidRDefault="00542FAA" w:rsidP="00520279">
            <w:pPr>
              <w:spacing w:line="360" w:lineRule="auto"/>
              <w:jc w:val="center"/>
              <w:rPr>
                <w:sz w:val="24"/>
                <w:szCs w:val="24"/>
              </w:rPr>
            </w:pPr>
            <w:r w:rsidRPr="003F1573">
              <w:rPr>
                <w:sz w:val="24"/>
                <w:szCs w:val="24"/>
              </w:rPr>
              <w:t>19,8</w:t>
            </w:r>
          </w:p>
        </w:tc>
        <w:tc>
          <w:tcPr>
            <w:tcW w:w="1985" w:type="dxa"/>
            <w:vAlign w:val="center"/>
          </w:tcPr>
          <w:p w:rsidR="005A6109" w:rsidRPr="003F1573" w:rsidRDefault="00542FAA" w:rsidP="00520279">
            <w:pPr>
              <w:spacing w:line="360" w:lineRule="auto"/>
              <w:jc w:val="center"/>
              <w:rPr>
                <w:sz w:val="24"/>
                <w:szCs w:val="24"/>
              </w:rPr>
            </w:pPr>
            <w:r w:rsidRPr="003F1573">
              <w:rPr>
                <w:sz w:val="24"/>
                <w:szCs w:val="24"/>
              </w:rPr>
              <w:t>-</w:t>
            </w:r>
          </w:p>
        </w:tc>
        <w:tc>
          <w:tcPr>
            <w:tcW w:w="2153" w:type="dxa"/>
            <w:vAlign w:val="center"/>
          </w:tcPr>
          <w:p w:rsidR="005A6109" w:rsidRPr="003F1573" w:rsidRDefault="00542FAA" w:rsidP="00520279">
            <w:pPr>
              <w:spacing w:line="360" w:lineRule="auto"/>
              <w:jc w:val="center"/>
              <w:rPr>
                <w:sz w:val="24"/>
                <w:szCs w:val="24"/>
              </w:rPr>
            </w:pPr>
            <w:r w:rsidRPr="003F1573">
              <w:rPr>
                <w:sz w:val="24"/>
                <w:szCs w:val="24"/>
              </w:rPr>
              <w:t>0,6</w:t>
            </w:r>
          </w:p>
        </w:tc>
      </w:tr>
      <w:tr w:rsidR="005A6109" w:rsidRPr="003F1573" w:rsidTr="00EA57F8">
        <w:trPr>
          <w:jc w:val="center"/>
        </w:trPr>
        <w:tc>
          <w:tcPr>
            <w:tcW w:w="1293" w:type="dxa"/>
            <w:vAlign w:val="center"/>
          </w:tcPr>
          <w:p w:rsidR="005A6109" w:rsidRPr="003F1573" w:rsidRDefault="005A6109" w:rsidP="00520279">
            <w:pPr>
              <w:spacing w:line="360" w:lineRule="auto"/>
              <w:jc w:val="center"/>
              <w:rPr>
                <w:b/>
                <w:sz w:val="24"/>
                <w:szCs w:val="24"/>
              </w:rPr>
            </w:pPr>
            <w:r w:rsidRPr="003F1573">
              <w:rPr>
                <w:b/>
                <w:sz w:val="24"/>
                <w:szCs w:val="24"/>
              </w:rPr>
              <w:t>2020</w:t>
            </w:r>
          </w:p>
        </w:tc>
        <w:tc>
          <w:tcPr>
            <w:tcW w:w="1963" w:type="dxa"/>
            <w:vAlign w:val="center"/>
          </w:tcPr>
          <w:p w:rsidR="005A6109" w:rsidRPr="003F1573" w:rsidRDefault="00542FAA" w:rsidP="00520279">
            <w:pPr>
              <w:spacing w:line="360" w:lineRule="auto"/>
              <w:jc w:val="center"/>
              <w:rPr>
                <w:sz w:val="24"/>
                <w:szCs w:val="24"/>
              </w:rPr>
            </w:pPr>
            <w:r w:rsidRPr="003F1573">
              <w:rPr>
                <w:sz w:val="24"/>
                <w:szCs w:val="24"/>
              </w:rPr>
              <w:t>34,7</w:t>
            </w:r>
          </w:p>
        </w:tc>
        <w:tc>
          <w:tcPr>
            <w:tcW w:w="1984" w:type="dxa"/>
            <w:vAlign w:val="center"/>
          </w:tcPr>
          <w:p w:rsidR="005A6109" w:rsidRPr="003F1573" w:rsidRDefault="00542FAA" w:rsidP="00520279">
            <w:pPr>
              <w:spacing w:line="360" w:lineRule="auto"/>
              <w:jc w:val="center"/>
              <w:rPr>
                <w:sz w:val="24"/>
                <w:szCs w:val="24"/>
              </w:rPr>
            </w:pPr>
            <w:r w:rsidRPr="003F1573">
              <w:rPr>
                <w:sz w:val="24"/>
                <w:szCs w:val="24"/>
              </w:rPr>
              <w:t>-15,8</w:t>
            </w:r>
          </w:p>
        </w:tc>
        <w:tc>
          <w:tcPr>
            <w:tcW w:w="1985" w:type="dxa"/>
            <w:vAlign w:val="center"/>
          </w:tcPr>
          <w:p w:rsidR="005A6109" w:rsidRPr="003F1573" w:rsidRDefault="00542FAA" w:rsidP="00520279">
            <w:pPr>
              <w:spacing w:line="360" w:lineRule="auto"/>
              <w:jc w:val="center"/>
              <w:rPr>
                <w:sz w:val="24"/>
                <w:szCs w:val="24"/>
              </w:rPr>
            </w:pPr>
            <w:r w:rsidRPr="003F1573">
              <w:rPr>
                <w:sz w:val="24"/>
                <w:szCs w:val="24"/>
              </w:rPr>
              <w:t>-</w:t>
            </w:r>
          </w:p>
        </w:tc>
        <w:tc>
          <w:tcPr>
            <w:tcW w:w="2153" w:type="dxa"/>
            <w:vAlign w:val="center"/>
          </w:tcPr>
          <w:p w:rsidR="005A6109" w:rsidRPr="003F1573" w:rsidRDefault="00542FAA" w:rsidP="00520279">
            <w:pPr>
              <w:spacing w:line="360" w:lineRule="auto"/>
              <w:jc w:val="center"/>
              <w:rPr>
                <w:sz w:val="24"/>
                <w:szCs w:val="24"/>
              </w:rPr>
            </w:pPr>
            <w:r w:rsidRPr="003F1573">
              <w:rPr>
                <w:sz w:val="24"/>
                <w:szCs w:val="24"/>
              </w:rPr>
              <w:t>0,3</w:t>
            </w:r>
          </w:p>
        </w:tc>
      </w:tr>
      <w:tr w:rsidR="005A6109" w:rsidRPr="003F1573" w:rsidTr="00EA57F8">
        <w:trPr>
          <w:jc w:val="center"/>
        </w:trPr>
        <w:tc>
          <w:tcPr>
            <w:tcW w:w="1293" w:type="dxa"/>
            <w:vAlign w:val="center"/>
          </w:tcPr>
          <w:p w:rsidR="005A6109" w:rsidRPr="003F1573" w:rsidRDefault="005A6109" w:rsidP="00520279">
            <w:pPr>
              <w:spacing w:line="360" w:lineRule="auto"/>
              <w:jc w:val="center"/>
              <w:rPr>
                <w:b/>
                <w:sz w:val="24"/>
                <w:szCs w:val="24"/>
              </w:rPr>
            </w:pPr>
            <w:r w:rsidRPr="003F1573">
              <w:rPr>
                <w:b/>
                <w:sz w:val="24"/>
                <w:szCs w:val="24"/>
              </w:rPr>
              <w:t>2021</w:t>
            </w:r>
          </w:p>
        </w:tc>
        <w:tc>
          <w:tcPr>
            <w:tcW w:w="1963" w:type="dxa"/>
            <w:vAlign w:val="center"/>
          </w:tcPr>
          <w:p w:rsidR="005A6109" w:rsidRPr="003F1573" w:rsidRDefault="00542FAA" w:rsidP="00520279">
            <w:pPr>
              <w:spacing w:line="360" w:lineRule="auto"/>
              <w:jc w:val="center"/>
              <w:rPr>
                <w:sz w:val="24"/>
                <w:szCs w:val="24"/>
              </w:rPr>
            </w:pPr>
            <w:r w:rsidRPr="003F1573">
              <w:rPr>
                <w:sz w:val="24"/>
                <w:szCs w:val="24"/>
              </w:rPr>
              <w:t>18,1</w:t>
            </w:r>
          </w:p>
        </w:tc>
        <w:tc>
          <w:tcPr>
            <w:tcW w:w="1984" w:type="dxa"/>
            <w:vAlign w:val="center"/>
          </w:tcPr>
          <w:p w:rsidR="005A6109" w:rsidRPr="003F1573" w:rsidRDefault="00542FAA" w:rsidP="00520279">
            <w:pPr>
              <w:spacing w:line="360" w:lineRule="auto"/>
              <w:jc w:val="center"/>
              <w:rPr>
                <w:sz w:val="24"/>
                <w:szCs w:val="24"/>
              </w:rPr>
            </w:pPr>
            <w:r w:rsidRPr="003F1573">
              <w:rPr>
                <w:sz w:val="24"/>
                <w:szCs w:val="24"/>
              </w:rPr>
              <w:t>23,8</w:t>
            </w:r>
          </w:p>
        </w:tc>
        <w:tc>
          <w:tcPr>
            <w:tcW w:w="1985" w:type="dxa"/>
            <w:vAlign w:val="center"/>
          </w:tcPr>
          <w:p w:rsidR="005A6109" w:rsidRPr="003F1573" w:rsidRDefault="00542FAA" w:rsidP="00520279">
            <w:pPr>
              <w:spacing w:line="360" w:lineRule="auto"/>
              <w:jc w:val="center"/>
              <w:rPr>
                <w:sz w:val="24"/>
                <w:szCs w:val="24"/>
              </w:rPr>
            </w:pPr>
            <w:r w:rsidRPr="003F1573">
              <w:rPr>
                <w:sz w:val="24"/>
                <w:szCs w:val="24"/>
              </w:rPr>
              <w:t>-</w:t>
            </w:r>
          </w:p>
        </w:tc>
        <w:tc>
          <w:tcPr>
            <w:tcW w:w="2153" w:type="dxa"/>
            <w:vAlign w:val="center"/>
          </w:tcPr>
          <w:p w:rsidR="005A6109" w:rsidRPr="003F1573" w:rsidRDefault="00542FAA" w:rsidP="00520279">
            <w:pPr>
              <w:spacing w:line="360" w:lineRule="auto"/>
              <w:jc w:val="center"/>
              <w:rPr>
                <w:sz w:val="24"/>
                <w:szCs w:val="24"/>
              </w:rPr>
            </w:pPr>
            <w:r w:rsidRPr="003F1573">
              <w:rPr>
                <w:sz w:val="24"/>
                <w:szCs w:val="24"/>
              </w:rPr>
              <w:t>0,3</w:t>
            </w:r>
          </w:p>
        </w:tc>
      </w:tr>
    </w:tbl>
    <w:p w:rsidR="00231366" w:rsidRPr="003F1573" w:rsidRDefault="00E03834" w:rsidP="00E03834">
      <w:pPr>
        <w:spacing w:line="360" w:lineRule="auto"/>
        <w:ind w:firstLine="567"/>
        <w:jc w:val="both"/>
        <w:rPr>
          <w:sz w:val="28"/>
          <w:szCs w:val="28"/>
        </w:rPr>
      </w:pPr>
      <w:r w:rsidRPr="003F1573">
        <w:rPr>
          <w:sz w:val="28"/>
          <w:szCs w:val="28"/>
        </w:rPr>
        <w:t>Джерело: складено автором на основі даних [</w:t>
      </w:r>
      <w:r w:rsidR="00626C34" w:rsidRPr="003F1573">
        <w:rPr>
          <w:sz w:val="28"/>
          <w:szCs w:val="28"/>
        </w:rPr>
        <w:t>3</w:t>
      </w:r>
      <w:r w:rsidR="00313B0E">
        <w:rPr>
          <w:sz w:val="28"/>
          <w:szCs w:val="28"/>
          <w:lang w:val="en-US"/>
        </w:rPr>
        <w:t>7</w:t>
      </w:r>
      <w:r w:rsidRPr="003F1573">
        <w:rPr>
          <w:sz w:val="28"/>
          <w:szCs w:val="28"/>
        </w:rPr>
        <w:t>].</w:t>
      </w:r>
    </w:p>
    <w:p w:rsidR="002E2366" w:rsidRPr="003F1573" w:rsidRDefault="002E2366" w:rsidP="00E03834">
      <w:pPr>
        <w:spacing w:line="360" w:lineRule="auto"/>
        <w:ind w:firstLine="567"/>
        <w:jc w:val="both"/>
        <w:rPr>
          <w:sz w:val="28"/>
          <w:szCs w:val="28"/>
        </w:rPr>
      </w:pPr>
    </w:p>
    <w:p w:rsidR="00E03834" w:rsidRPr="003F1573" w:rsidRDefault="00C40A52" w:rsidP="00E03834">
      <w:pPr>
        <w:spacing w:line="360" w:lineRule="auto"/>
        <w:ind w:firstLine="567"/>
        <w:jc w:val="both"/>
        <w:rPr>
          <w:sz w:val="28"/>
          <w:szCs w:val="28"/>
        </w:rPr>
      </w:pPr>
      <w:r w:rsidRPr="003F1573">
        <w:rPr>
          <w:sz w:val="28"/>
          <w:szCs w:val="28"/>
        </w:rPr>
        <w:t>Китай вкладає все більше коштів в Україну</w:t>
      </w:r>
      <w:r w:rsidR="00617E86" w:rsidRPr="003F1573">
        <w:rPr>
          <w:sz w:val="28"/>
          <w:szCs w:val="28"/>
        </w:rPr>
        <w:t xml:space="preserve"> як через прямі іноземні інвестиції, так і через позики та участь в інфраструктурних проєктах. Стрімке нарощування китайських інвестицій</w:t>
      </w:r>
      <w:r w:rsidR="00484D6B" w:rsidRPr="003F1573">
        <w:rPr>
          <w:sz w:val="28"/>
          <w:szCs w:val="28"/>
        </w:rPr>
        <w:t xml:space="preserve">, </w:t>
      </w:r>
      <w:r w:rsidR="00617E86" w:rsidRPr="003F1573">
        <w:rPr>
          <w:sz w:val="28"/>
          <w:szCs w:val="28"/>
        </w:rPr>
        <w:t>усемеро з 2017 року</w:t>
      </w:r>
      <w:r w:rsidR="00484D6B" w:rsidRPr="003F1573">
        <w:rPr>
          <w:sz w:val="28"/>
          <w:szCs w:val="28"/>
        </w:rPr>
        <w:t xml:space="preserve"> (див. рис. 3.3),</w:t>
      </w:r>
      <w:r w:rsidR="00617E86" w:rsidRPr="003F1573">
        <w:rPr>
          <w:sz w:val="28"/>
          <w:szCs w:val="28"/>
        </w:rPr>
        <w:t xml:space="preserve"> вважають позитивним як українські урядовці, так і китайські дипломати в Україні. </w:t>
      </w:r>
      <w:r w:rsidR="0042391E" w:rsidRPr="003F1573">
        <w:rPr>
          <w:sz w:val="28"/>
          <w:szCs w:val="28"/>
        </w:rPr>
        <w:t>Наша країна є важливим учасником китайської ініціативи «Один пояс</w:t>
      </w:r>
      <w:r w:rsidR="00DF54F7" w:rsidRPr="003F1573">
        <w:rPr>
          <w:sz w:val="28"/>
          <w:szCs w:val="28"/>
        </w:rPr>
        <w:t xml:space="preserve">, </w:t>
      </w:r>
      <w:r w:rsidR="0042391E" w:rsidRPr="003F1573">
        <w:rPr>
          <w:sz w:val="28"/>
          <w:szCs w:val="28"/>
        </w:rPr>
        <w:t>один шлях», і свого часу приєдналася до неї однією з перших.</w:t>
      </w:r>
    </w:p>
    <w:p w:rsidR="00F33B27" w:rsidRPr="003F1573" w:rsidRDefault="00520279" w:rsidP="00EA786B">
      <w:pPr>
        <w:spacing w:line="360" w:lineRule="auto"/>
        <w:jc w:val="center"/>
        <w:rPr>
          <w:b/>
          <w:sz w:val="28"/>
          <w:szCs w:val="28"/>
        </w:rPr>
      </w:pPr>
      <w:r w:rsidRPr="003F1573">
        <w:rPr>
          <w:noProof/>
          <w:lang w:eastAsia="uk-UA"/>
        </w:rPr>
        <w:drawing>
          <wp:inline distT="0" distB="0" distL="0" distR="0" wp14:anchorId="0234215A" wp14:editId="24F01C04">
            <wp:extent cx="4572000" cy="2743200"/>
            <wp:effectExtent l="0" t="0" r="0" b="0"/>
            <wp:docPr id="8" name="Диаграмма 8">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83730E12-2F20-4A02-96E5-9B324EC49F8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520279" w:rsidRPr="003F1573" w:rsidRDefault="0042391E" w:rsidP="0042391E">
      <w:pPr>
        <w:spacing w:line="360" w:lineRule="auto"/>
        <w:ind w:firstLine="567"/>
        <w:jc w:val="both"/>
        <w:rPr>
          <w:sz w:val="28"/>
          <w:szCs w:val="28"/>
        </w:rPr>
      </w:pPr>
      <w:r w:rsidRPr="003F1573">
        <w:rPr>
          <w:sz w:val="28"/>
          <w:szCs w:val="28"/>
        </w:rPr>
        <w:t>Рис. 3.3. Динаміка потоку прямих іноземних інвестицій в Україну з Японії/Китаю протягом 2017-2021 рр., млн дол. США</w:t>
      </w:r>
    </w:p>
    <w:p w:rsidR="0042391E" w:rsidRPr="003F1573" w:rsidRDefault="0042391E" w:rsidP="0042391E">
      <w:pPr>
        <w:spacing w:line="360" w:lineRule="auto"/>
        <w:ind w:firstLine="567"/>
        <w:jc w:val="both"/>
        <w:rPr>
          <w:sz w:val="28"/>
          <w:szCs w:val="28"/>
        </w:rPr>
      </w:pPr>
      <w:r w:rsidRPr="003F1573">
        <w:rPr>
          <w:sz w:val="28"/>
          <w:szCs w:val="28"/>
        </w:rPr>
        <w:t>Джерело: складено автором на основі даних [</w:t>
      </w:r>
      <w:r w:rsidR="00626C34" w:rsidRPr="003F1573">
        <w:rPr>
          <w:sz w:val="28"/>
          <w:szCs w:val="28"/>
        </w:rPr>
        <w:t>3</w:t>
      </w:r>
      <w:r w:rsidR="00313B0E">
        <w:rPr>
          <w:sz w:val="28"/>
          <w:szCs w:val="28"/>
          <w:lang w:val="en-US"/>
        </w:rPr>
        <w:t>7</w:t>
      </w:r>
      <w:r w:rsidRPr="003F1573">
        <w:rPr>
          <w:sz w:val="28"/>
          <w:szCs w:val="28"/>
        </w:rPr>
        <w:t>]</w:t>
      </w:r>
      <w:r w:rsidR="00C82752" w:rsidRPr="003F1573">
        <w:rPr>
          <w:sz w:val="28"/>
          <w:szCs w:val="28"/>
        </w:rPr>
        <w:t>.</w:t>
      </w:r>
    </w:p>
    <w:p w:rsidR="00C82752" w:rsidRPr="003F1573" w:rsidRDefault="00C82752" w:rsidP="0042391E">
      <w:pPr>
        <w:spacing w:line="360" w:lineRule="auto"/>
        <w:ind w:firstLine="567"/>
        <w:jc w:val="both"/>
        <w:rPr>
          <w:sz w:val="28"/>
          <w:szCs w:val="28"/>
        </w:rPr>
      </w:pPr>
    </w:p>
    <w:p w:rsidR="00C82752" w:rsidRPr="003F1573" w:rsidRDefault="00C82752" w:rsidP="0042391E">
      <w:pPr>
        <w:spacing w:line="360" w:lineRule="auto"/>
        <w:ind w:firstLine="567"/>
        <w:jc w:val="both"/>
        <w:rPr>
          <w:sz w:val="28"/>
          <w:szCs w:val="28"/>
        </w:rPr>
      </w:pPr>
      <w:r w:rsidRPr="003F1573">
        <w:rPr>
          <w:sz w:val="28"/>
          <w:szCs w:val="28"/>
        </w:rPr>
        <w:t xml:space="preserve">Динамічне </w:t>
      </w:r>
      <w:r w:rsidR="0001655A" w:rsidRPr="003F1573">
        <w:rPr>
          <w:sz w:val="28"/>
          <w:szCs w:val="28"/>
        </w:rPr>
        <w:t>зростання інвестицій в останні роки насправді пов’язане лише з кількома угодами</w:t>
      </w:r>
      <w:r w:rsidR="006B31F2" w:rsidRPr="003F1573">
        <w:rPr>
          <w:sz w:val="28"/>
          <w:szCs w:val="28"/>
        </w:rPr>
        <w:t xml:space="preserve">, такими, як отримання компанією </w:t>
      </w:r>
      <w:r w:rsidR="00E90499" w:rsidRPr="003F1573">
        <w:rPr>
          <w:sz w:val="28"/>
          <w:szCs w:val="28"/>
        </w:rPr>
        <w:t xml:space="preserve">CNBM (найбільша китайська державна будівельна компанія) сонячних електростанцій групи Active Solar та придбання компанією COFCO (китайська державна агропромислова компанія та світовий зернотрейдер, один із найбільших гравців </w:t>
      </w:r>
      <w:r w:rsidR="00DB173F" w:rsidRPr="003F1573">
        <w:rPr>
          <w:sz w:val="28"/>
          <w:szCs w:val="28"/>
        </w:rPr>
        <w:t>на українському ринку агропродукції та продовольства</w:t>
      </w:r>
      <w:r w:rsidR="00E90499" w:rsidRPr="003F1573">
        <w:rPr>
          <w:sz w:val="28"/>
          <w:szCs w:val="28"/>
        </w:rPr>
        <w:t>)</w:t>
      </w:r>
      <w:r w:rsidR="00DB173F" w:rsidRPr="003F1573">
        <w:rPr>
          <w:sz w:val="28"/>
          <w:szCs w:val="28"/>
        </w:rPr>
        <w:t xml:space="preserve"> низки активів, які займают</w:t>
      </w:r>
      <w:r w:rsidR="00DF54F7" w:rsidRPr="003F1573">
        <w:rPr>
          <w:sz w:val="28"/>
          <w:szCs w:val="28"/>
        </w:rPr>
        <w:t>ь</w:t>
      </w:r>
      <w:r w:rsidR="00DB173F" w:rsidRPr="003F1573">
        <w:rPr>
          <w:sz w:val="28"/>
          <w:szCs w:val="28"/>
        </w:rPr>
        <w:t>ся логістикою сільськогосподарської продукції. Інші інвестиції теж переважно пов’язані з відновлювальною енергетикою та сільським господарством.</w:t>
      </w:r>
    </w:p>
    <w:p w:rsidR="00527CE5" w:rsidRPr="003F1573" w:rsidRDefault="00527CE5" w:rsidP="0042391E">
      <w:pPr>
        <w:spacing w:line="360" w:lineRule="auto"/>
        <w:ind w:firstLine="567"/>
        <w:jc w:val="both"/>
        <w:rPr>
          <w:sz w:val="28"/>
          <w:szCs w:val="28"/>
        </w:rPr>
      </w:pPr>
      <w:r w:rsidRPr="003F1573">
        <w:rPr>
          <w:sz w:val="28"/>
          <w:szCs w:val="28"/>
        </w:rPr>
        <w:t xml:space="preserve">Інвестиційна співпраця між Китаєм та Україною має великі перспективи, зокрема і тому, що Україна працює над поліпшенням своєї інвестиційної привабливості. </w:t>
      </w:r>
      <w:r w:rsidR="000465E5" w:rsidRPr="003F1573">
        <w:rPr>
          <w:sz w:val="28"/>
          <w:szCs w:val="28"/>
        </w:rPr>
        <w:t xml:space="preserve">Китай цікавлять такі </w:t>
      </w:r>
      <w:r w:rsidR="00DF54F7" w:rsidRPr="003F1573">
        <w:rPr>
          <w:sz w:val="28"/>
          <w:szCs w:val="28"/>
        </w:rPr>
        <w:t xml:space="preserve">напрямки </w:t>
      </w:r>
      <w:r w:rsidR="000465E5" w:rsidRPr="003F1573">
        <w:rPr>
          <w:sz w:val="28"/>
          <w:szCs w:val="28"/>
        </w:rPr>
        <w:t xml:space="preserve">інвестування, як сільське господарство, переробка </w:t>
      </w:r>
      <w:r w:rsidR="00C527BC" w:rsidRPr="003F1573">
        <w:rPr>
          <w:sz w:val="28"/>
          <w:szCs w:val="28"/>
        </w:rPr>
        <w:t xml:space="preserve">аграрної продукції, портова, залізнична інфраструктура, відновлювана енергетика та авіаційна галузь. </w:t>
      </w:r>
      <w:r w:rsidRPr="003F1573">
        <w:rPr>
          <w:sz w:val="28"/>
          <w:szCs w:val="28"/>
        </w:rPr>
        <w:t xml:space="preserve">Китайські інвестиції у нашій </w:t>
      </w:r>
      <w:r w:rsidR="004C165D" w:rsidRPr="003F1573">
        <w:rPr>
          <w:sz w:val="28"/>
          <w:szCs w:val="28"/>
        </w:rPr>
        <w:t xml:space="preserve">країні вже наявні у сфері зеленої енергетики та сільському господарстві. Також є інвестиції в розвиток </w:t>
      </w:r>
      <w:r w:rsidR="000465E5" w:rsidRPr="003F1573">
        <w:rPr>
          <w:sz w:val="28"/>
          <w:szCs w:val="28"/>
        </w:rPr>
        <w:t>портової інфраструктури України, в українську промисловість, збудовані склади та фабрики для переробки сільгосппродукції</w:t>
      </w:r>
      <w:r w:rsidR="00C527BC" w:rsidRPr="003F1573">
        <w:rPr>
          <w:sz w:val="28"/>
          <w:szCs w:val="28"/>
        </w:rPr>
        <w:t xml:space="preserve">. </w:t>
      </w:r>
    </w:p>
    <w:p w:rsidR="00C527BC" w:rsidRPr="003F1573" w:rsidRDefault="00C527BC" w:rsidP="0042391E">
      <w:pPr>
        <w:spacing w:line="360" w:lineRule="auto"/>
        <w:ind w:firstLine="567"/>
        <w:jc w:val="both"/>
        <w:rPr>
          <w:sz w:val="28"/>
          <w:szCs w:val="28"/>
        </w:rPr>
      </w:pPr>
      <w:r w:rsidRPr="003F1573">
        <w:rPr>
          <w:sz w:val="28"/>
          <w:szCs w:val="28"/>
        </w:rPr>
        <w:t xml:space="preserve">Японські інвестиції головним чином зосереджені у сфері продажу та обслуговування транспортних засобів, а також у виробицтві комплектуючих для них. Виробничі потужності японських компаній «Yazaki» </w:t>
      </w:r>
      <w:r w:rsidR="00F9135A" w:rsidRPr="003F1573">
        <w:rPr>
          <w:sz w:val="28"/>
          <w:szCs w:val="28"/>
        </w:rPr>
        <w:t xml:space="preserve">(Закарпатська область) та «Fujikura» (Львівська область) по виробництву електричного й електронного устаткування для автотранспортних засобів орієнтовані на автомобільні заводи ЄС. </w:t>
      </w:r>
    </w:p>
    <w:p w:rsidR="00F9135A" w:rsidRPr="003F1573" w:rsidRDefault="00F9135A" w:rsidP="0042391E">
      <w:pPr>
        <w:spacing w:line="360" w:lineRule="auto"/>
        <w:ind w:firstLine="567"/>
        <w:jc w:val="both"/>
        <w:rPr>
          <w:sz w:val="28"/>
          <w:szCs w:val="28"/>
        </w:rPr>
      </w:pPr>
      <w:r w:rsidRPr="003F1573">
        <w:rPr>
          <w:sz w:val="28"/>
          <w:szCs w:val="28"/>
        </w:rPr>
        <w:t xml:space="preserve">Угода про сприяння та взаємний захист інвестицій між Україною та Японією, яка набула чинності у 2015 році, створила сприятливі умови для розвитку залучення японських інвестицій в Україну. У співробітництві з японськими компаніями варто використовувати переваги Угоди про вільну торгівлю України з ЄС. Японські партнери можуть бути зацікавлені </w:t>
      </w:r>
      <w:r w:rsidR="00677391" w:rsidRPr="003F1573">
        <w:rPr>
          <w:sz w:val="28"/>
          <w:szCs w:val="28"/>
        </w:rPr>
        <w:t xml:space="preserve">у спільних виробництвах, продукція яких призначена не лише для внутрішнього ринку, але й для експорту на ринок Європи. </w:t>
      </w:r>
    </w:p>
    <w:p w:rsidR="00677391" w:rsidRPr="003F1573" w:rsidRDefault="00677391" w:rsidP="0042391E">
      <w:pPr>
        <w:spacing w:line="360" w:lineRule="auto"/>
        <w:ind w:firstLine="567"/>
        <w:jc w:val="both"/>
        <w:rPr>
          <w:sz w:val="28"/>
          <w:szCs w:val="28"/>
        </w:rPr>
      </w:pPr>
      <w:r w:rsidRPr="003F1573">
        <w:rPr>
          <w:sz w:val="28"/>
          <w:szCs w:val="28"/>
        </w:rPr>
        <w:t xml:space="preserve">Основним напрямком японських інвестицій в Україну став агропромисловий сектор. Один із провідних торгових домів Sumitomo Corporation у липні 2018 року придбав контрольний пакет </w:t>
      </w:r>
      <w:r w:rsidR="0035513C" w:rsidRPr="003F1573">
        <w:rPr>
          <w:sz w:val="28"/>
          <w:szCs w:val="28"/>
        </w:rPr>
        <w:t xml:space="preserve">акцій української компанії «Спектр-Агро», яка спеціалізується на постачанні сільськогосподарської техніки, а також засобів захисту рослин, добрив тощо. Японська багатогалузева компанія SDG Corporation інвестувала орієнтовно 30 млн дол. США у виробництво та зберігання сільськогосподарської продукції (зернових) (українська </w:t>
      </w:r>
      <w:r w:rsidR="00304B2C" w:rsidRPr="003F1573">
        <w:rPr>
          <w:sz w:val="28"/>
          <w:szCs w:val="28"/>
        </w:rPr>
        <w:t>компанія «Ківшовата Агро», Київська область</w:t>
      </w:r>
      <w:r w:rsidR="0035513C" w:rsidRPr="003F1573">
        <w:rPr>
          <w:sz w:val="28"/>
          <w:szCs w:val="28"/>
        </w:rPr>
        <w:t>)</w:t>
      </w:r>
      <w:r w:rsidR="00E60BBE" w:rsidRPr="003F1573">
        <w:rPr>
          <w:sz w:val="28"/>
          <w:szCs w:val="28"/>
        </w:rPr>
        <w:t xml:space="preserve"> [</w:t>
      </w:r>
      <w:r w:rsidR="000675F4" w:rsidRPr="003F1573">
        <w:rPr>
          <w:sz w:val="28"/>
          <w:szCs w:val="28"/>
        </w:rPr>
        <w:t>3</w:t>
      </w:r>
      <w:r w:rsidR="00313B0E">
        <w:rPr>
          <w:sz w:val="28"/>
          <w:szCs w:val="28"/>
          <w:lang w:val="en-US"/>
        </w:rPr>
        <w:t>3</w:t>
      </w:r>
      <w:r w:rsidR="00E60BBE" w:rsidRPr="003F1573">
        <w:rPr>
          <w:sz w:val="28"/>
          <w:szCs w:val="28"/>
        </w:rPr>
        <w:t>]</w:t>
      </w:r>
      <w:r w:rsidR="00304B2C" w:rsidRPr="003F1573">
        <w:rPr>
          <w:sz w:val="28"/>
          <w:szCs w:val="28"/>
        </w:rPr>
        <w:t>.</w:t>
      </w:r>
    </w:p>
    <w:p w:rsidR="00304B2C" w:rsidRPr="003F1573" w:rsidRDefault="00304B2C" w:rsidP="0042391E">
      <w:pPr>
        <w:spacing w:line="360" w:lineRule="auto"/>
        <w:ind w:firstLine="567"/>
        <w:jc w:val="both"/>
        <w:rPr>
          <w:sz w:val="28"/>
          <w:szCs w:val="28"/>
        </w:rPr>
      </w:pPr>
      <w:r w:rsidRPr="003F1573">
        <w:rPr>
          <w:sz w:val="28"/>
          <w:szCs w:val="28"/>
        </w:rPr>
        <w:t>Українських інвестицій в Японію не зареєстровано. Протягом останніх років спостерігається потік прямих інвестицій України до Китаю, однак їхній обсяг зовсім невеликий, до того ж з кожним наступним роком усе меншає</w:t>
      </w:r>
      <w:r w:rsidR="00312578" w:rsidRPr="003F1573">
        <w:rPr>
          <w:sz w:val="28"/>
          <w:szCs w:val="28"/>
        </w:rPr>
        <w:t xml:space="preserve"> (див. рис. 3.4). </w:t>
      </w:r>
      <w:r w:rsidR="000B5BCB" w:rsidRPr="003F1573">
        <w:rPr>
          <w:sz w:val="28"/>
          <w:szCs w:val="28"/>
        </w:rPr>
        <w:t>Поза тим, існують і деякі ризики: умови співпраці з Китаєм часто непрозорі та можуть мати як корупційну складову, приховані витрати, так і можливі політичні вимоги до України.</w:t>
      </w:r>
    </w:p>
    <w:p w:rsidR="00F33B27" w:rsidRPr="003F1573" w:rsidRDefault="00D22D8E" w:rsidP="00EA786B">
      <w:pPr>
        <w:spacing w:line="360" w:lineRule="auto"/>
        <w:jc w:val="center"/>
        <w:rPr>
          <w:b/>
          <w:sz w:val="28"/>
          <w:szCs w:val="28"/>
        </w:rPr>
      </w:pPr>
      <w:r w:rsidRPr="003F1573">
        <w:rPr>
          <w:noProof/>
          <w:lang w:eastAsia="uk-UA"/>
        </w:rPr>
        <w:drawing>
          <wp:inline distT="0" distB="0" distL="0" distR="0" wp14:anchorId="2A6F8047" wp14:editId="1298DE77">
            <wp:extent cx="4695825" cy="2514600"/>
            <wp:effectExtent l="0" t="0" r="9525" b="0"/>
            <wp:docPr id="14" name="Диаграмма 14">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68C6ABB5-9DFF-4E7D-9F60-69D0BDDE540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D22D8E" w:rsidRPr="003F1573" w:rsidRDefault="00312578" w:rsidP="00312578">
      <w:pPr>
        <w:spacing w:line="360" w:lineRule="auto"/>
        <w:ind w:firstLine="567"/>
        <w:jc w:val="both"/>
        <w:rPr>
          <w:sz w:val="28"/>
          <w:szCs w:val="28"/>
        </w:rPr>
      </w:pPr>
      <w:r w:rsidRPr="003F1573">
        <w:rPr>
          <w:sz w:val="28"/>
          <w:szCs w:val="28"/>
        </w:rPr>
        <w:t>Рис. 3.4. Динаміка потоку прямих іноземних інвестицій з України в Японію/Китай протягом 2017-2021 рр., млн дол. США</w:t>
      </w:r>
    </w:p>
    <w:p w:rsidR="00312578" w:rsidRPr="003F1573" w:rsidRDefault="00312578" w:rsidP="00312578">
      <w:pPr>
        <w:spacing w:line="360" w:lineRule="auto"/>
        <w:ind w:firstLine="567"/>
        <w:jc w:val="both"/>
        <w:rPr>
          <w:sz w:val="28"/>
          <w:szCs w:val="28"/>
        </w:rPr>
      </w:pPr>
      <w:r w:rsidRPr="003F1573">
        <w:rPr>
          <w:sz w:val="28"/>
          <w:szCs w:val="28"/>
        </w:rPr>
        <w:t>Джерело: складено автором на основі даних [</w:t>
      </w:r>
      <w:r w:rsidR="00626C34" w:rsidRPr="003F1573">
        <w:rPr>
          <w:sz w:val="28"/>
          <w:szCs w:val="28"/>
        </w:rPr>
        <w:t>3</w:t>
      </w:r>
      <w:r w:rsidR="00313B0E">
        <w:rPr>
          <w:sz w:val="28"/>
          <w:szCs w:val="28"/>
          <w:lang w:val="en-US"/>
        </w:rPr>
        <w:t>7</w:t>
      </w:r>
      <w:r w:rsidRPr="003F1573">
        <w:rPr>
          <w:sz w:val="28"/>
          <w:szCs w:val="28"/>
        </w:rPr>
        <w:t>].</w:t>
      </w:r>
    </w:p>
    <w:p w:rsidR="00D22D8E" w:rsidRPr="003F1573" w:rsidRDefault="00D22D8E" w:rsidP="00EA786B">
      <w:pPr>
        <w:spacing w:line="360" w:lineRule="auto"/>
        <w:jc w:val="center"/>
        <w:rPr>
          <w:b/>
          <w:sz w:val="28"/>
          <w:szCs w:val="28"/>
        </w:rPr>
      </w:pPr>
    </w:p>
    <w:p w:rsidR="000B5BCB" w:rsidRPr="003F1573" w:rsidRDefault="000B5BCB" w:rsidP="000B5BCB">
      <w:pPr>
        <w:spacing w:line="360" w:lineRule="auto"/>
        <w:ind w:firstLine="567"/>
        <w:jc w:val="both"/>
        <w:rPr>
          <w:sz w:val="28"/>
          <w:szCs w:val="28"/>
        </w:rPr>
      </w:pPr>
      <w:r w:rsidRPr="003F1573">
        <w:rPr>
          <w:sz w:val="28"/>
          <w:szCs w:val="28"/>
        </w:rPr>
        <w:t xml:space="preserve">Іноземні інвестиції КНР в інші країни, особливо у молоді демократії, мають свою специфіку, яка суттєво відрізняє їх, наприклад, від того, як вкладає кошти Захід. </w:t>
      </w:r>
      <w:r w:rsidR="00636A2A" w:rsidRPr="003F1573">
        <w:rPr>
          <w:sz w:val="28"/>
          <w:szCs w:val="28"/>
        </w:rPr>
        <w:t>Виділяються такі особливості китайських іноземних інвестицій в країни, що розвиваються:</w:t>
      </w:r>
    </w:p>
    <w:p w:rsidR="00636A2A" w:rsidRPr="003F1573" w:rsidRDefault="00636A2A" w:rsidP="00636A2A">
      <w:pPr>
        <w:spacing w:line="360" w:lineRule="auto"/>
        <w:ind w:firstLine="567"/>
        <w:jc w:val="both"/>
        <w:rPr>
          <w:sz w:val="28"/>
          <w:szCs w:val="28"/>
        </w:rPr>
      </w:pPr>
      <w:r w:rsidRPr="003F1573">
        <w:rPr>
          <w:sz w:val="28"/>
          <w:szCs w:val="28"/>
        </w:rPr>
        <w:t>- інвестиційні (кредитні) угоди з Китаєм часто побудовані на непублічних домовленостях між посадовцями двох країн, можуть мати приховані умови, як економічні, так і політичні;</w:t>
      </w:r>
    </w:p>
    <w:p w:rsidR="00636A2A" w:rsidRPr="003F1573" w:rsidRDefault="00636A2A" w:rsidP="00636A2A">
      <w:pPr>
        <w:spacing w:line="360" w:lineRule="auto"/>
        <w:ind w:firstLine="567"/>
        <w:jc w:val="both"/>
        <w:rPr>
          <w:sz w:val="28"/>
          <w:szCs w:val="28"/>
        </w:rPr>
      </w:pPr>
      <w:r w:rsidRPr="003F1573">
        <w:rPr>
          <w:sz w:val="28"/>
          <w:szCs w:val="28"/>
        </w:rPr>
        <w:t>- деякі інвестиції Китаю, зазвичай, ідуть не напряму, а через Сингапур, Нідерланди та інші офшори;</w:t>
      </w:r>
    </w:p>
    <w:p w:rsidR="00636A2A" w:rsidRPr="003F1573" w:rsidRDefault="00636A2A" w:rsidP="00636A2A">
      <w:pPr>
        <w:spacing w:line="360" w:lineRule="auto"/>
        <w:ind w:firstLine="567"/>
        <w:jc w:val="both"/>
        <w:rPr>
          <w:sz w:val="28"/>
          <w:szCs w:val="28"/>
        </w:rPr>
      </w:pPr>
      <w:r w:rsidRPr="003F1573">
        <w:rPr>
          <w:sz w:val="28"/>
          <w:szCs w:val="28"/>
        </w:rPr>
        <w:t xml:space="preserve">- Китай активно використовує боргові інструменти: багато китайських проєктів у світі </w:t>
      </w:r>
      <w:r w:rsidR="00990CF8" w:rsidRPr="003F1573">
        <w:rPr>
          <w:sz w:val="28"/>
          <w:szCs w:val="28"/>
        </w:rPr>
        <w:t xml:space="preserve">передбачали позику значної суми грошей, і Україна тут не є винятком. Кредити </w:t>
      </w:r>
      <w:r w:rsidR="00D77CA2" w:rsidRPr="003F1573">
        <w:rPr>
          <w:sz w:val="28"/>
          <w:szCs w:val="28"/>
        </w:rPr>
        <w:t>здебільшого</w:t>
      </w:r>
      <w:r w:rsidR="00990CF8" w:rsidRPr="003F1573">
        <w:rPr>
          <w:sz w:val="28"/>
          <w:szCs w:val="28"/>
        </w:rPr>
        <w:t xml:space="preserve"> надають державні банки;</w:t>
      </w:r>
    </w:p>
    <w:p w:rsidR="00990CF8" w:rsidRPr="003F1573" w:rsidRDefault="00990CF8" w:rsidP="00636A2A">
      <w:pPr>
        <w:spacing w:line="360" w:lineRule="auto"/>
        <w:ind w:firstLine="567"/>
        <w:jc w:val="both"/>
        <w:rPr>
          <w:sz w:val="28"/>
          <w:szCs w:val="28"/>
        </w:rPr>
      </w:pPr>
      <w:r w:rsidRPr="003F1573">
        <w:rPr>
          <w:sz w:val="28"/>
          <w:szCs w:val="28"/>
        </w:rPr>
        <w:t>- найбільшими інвесторами є китайські державні підприємства, й такі інвестиції відбуваються лише зі згоди уряду КНР. Китайські компанії найчастіше працюють з українськими державними підприємствами, передусім в енергетиці та сільському господарстві;</w:t>
      </w:r>
    </w:p>
    <w:p w:rsidR="00990CF8" w:rsidRPr="003F1573" w:rsidRDefault="00990CF8" w:rsidP="00636A2A">
      <w:pPr>
        <w:spacing w:line="360" w:lineRule="auto"/>
        <w:ind w:firstLine="567"/>
        <w:jc w:val="both"/>
        <w:rPr>
          <w:sz w:val="28"/>
          <w:szCs w:val="28"/>
        </w:rPr>
      </w:pPr>
      <w:r w:rsidRPr="003F1573">
        <w:rPr>
          <w:sz w:val="28"/>
          <w:szCs w:val="28"/>
        </w:rPr>
        <w:t>- іноземні інвестиції Китаю мають не лише комерційні, а й політичні цілі;</w:t>
      </w:r>
    </w:p>
    <w:p w:rsidR="00990CF8" w:rsidRPr="003F1573" w:rsidRDefault="00990CF8" w:rsidP="00636A2A">
      <w:pPr>
        <w:spacing w:line="360" w:lineRule="auto"/>
        <w:ind w:firstLine="567"/>
        <w:jc w:val="both"/>
        <w:rPr>
          <w:sz w:val="28"/>
          <w:szCs w:val="28"/>
        </w:rPr>
      </w:pPr>
      <w:r w:rsidRPr="003F1573">
        <w:rPr>
          <w:sz w:val="28"/>
          <w:szCs w:val="28"/>
        </w:rPr>
        <w:t xml:space="preserve">- Китай зазвичай не готовий брати на себе ризики. </w:t>
      </w:r>
      <w:r w:rsidR="00D77CA2" w:rsidRPr="003F1573">
        <w:rPr>
          <w:sz w:val="28"/>
          <w:szCs w:val="28"/>
        </w:rPr>
        <w:t xml:space="preserve">Більшість угод передбачають участь українського уряду </w:t>
      </w:r>
      <w:r w:rsidR="006051E5" w:rsidRPr="003F1573">
        <w:rPr>
          <w:sz w:val="28"/>
          <w:szCs w:val="28"/>
        </w:rPr>
        <w:t>і</w:t>
      </w:r>
      <w:r w:rsidR="00D77CA2" w:rsidRPr="003F1573">
        <w:rPr>
          <w:sz w:val="28"/>
          <w:szCs w:val="28"/>
        </w:rPr>
        <w:t xml:space="preserve"> </w:t>
      </w:r>
      <w:r w:rsidR="00D911C7" w:rsidRPr="003F1573">
        <w:rPr>
          <w:sz w:val="28"/>
          <w:szCs w:val="28"/>
        </w:rPr>
        <w:t>державні гарантії. Також не практикується пряма участь у галузях, які дуже сильно регулюються;</w:t>
      </w:r>
    </w:p>
    <w:p w:rsidR="00D911C7" w:rsidRPr="003F1573" w:rsidRDefault="00D911C7" w:rsidP="00636A2A">
      <w:pPr>
        <w:spacing w:line="360" w:lineRule="auto"/>
        <w:ind w:firstLine="567"/>
        <w:jc w:val="both"/>
        <w:rPr>
          <w:sz w:val="28"/>
          <w:szCs w:val="28"/>
        </w:rPr>
      </w:pPr>
      <w:r w:rsidRPr="003F1573">
        <w:rPr>
          <w:sz w:val="28"/>
          <w:szCs w:val="28"/>
        </w:rPr>
        <w:t>- більшість китайських інвестицій створюють незначну додану вартість. Найбільші китайські активи в Україні були створені іншими компаніями, а потім куплені або отримані як застава;</w:t>
      </w:r>
    </w:p>
    <w:p w:rsidR="00D911C7" w:rsidRPr="003F1573" w:rsidRDefault="00D911C7" w:rsidP="00636A2A">
      <w:pPr>
        <w:spacing w:line="360" w:lineRule="auto"/>
        <w:ind w:firstLine="567"/>
        <w:jc w:val="both"/>
        <w:rPr>
          <w:sz w:val="28"/>
          <w:szCs w:val="28"/>
        </w:rPr>
      </w:pPr>
      <w:r w:rsidRPr="003F1573">
        <w:rPr>
          <w:sz w:val="28"/>
          <w:szCs w:val="28"/>
        </w:rPr>
        <w:t>- багато оголошених проєктів та угод так і не були реалізовані або через мінливість умов для бізнесу в Україні, або через те, що Україна та Китай не змогли погодитися щодо умов співпраці;</w:t>
      </w:r>
    </w:p>
    <w:p w:rsidR="00D911C7" w:rsidRPr="003F1573" w:rsidRDefault="00D911C7" w:rsidP="00636A2A">
      <w:pPr>
        <w:spacing w:line="360" w:lineRule="auto"/>
        <w:ind w:firstLine="567"/>
        <w:jc w:val="both"/>
        <w:rPr>
          <w:sz w:val="28"/>
          <w:szCs w:val="28"/>
        </w:rPr>
      </w:pPr>
      <w:r w:rsidRPr="003F1573">
        <w:rPr>
          <w:sz w:val="28"/>
          <w:szCs w:val="28"/>
        </w:rPr>
        <w:t xml:space="preserve">- Китай часто намагається включити в контракт </w:t>
      </w:r>
      <w:r w:rsidR="004356FF" w:rsidRPr="003F1573">
        <w:rPr>
          <w:sz w:val="28"/>
          <w:szCs w:val="28"/>
        </w:rPr>
        <w:t>пункт про передачу інтелектуальної власності, якщо цього немає – орієнтується на копіювання потрібного обладнання, намагається провести «зворотню розробку», забезпечити перенесення важливого виробництва до Китаю тощо;</w:t>
      </w:r>
    </w:p>
    <w:p w:rsidR="004356FF" w:rsidRPr="003F1573" w:rsidRDefault="004356FF" w:rsidP="00636A2A">
      <w:pPr>
        <w:spacing w:line="360" w:lineRule="auto"/>
        <w:ind w:firstLine="567"/>
        <w:jc w:val="both"/>
        <w:rPr>
          <w:sz w:val="28"/>
          <w:szCs w:val="28"/>
        </w:rPr>
      </w:pPr>
      <w:r w:rsidRPr="003F1573">
        <w:rPr>
          <w:sz w:val="28"/>
          <w:szCs w:val="28"/>
        </w:rPr>
        <w:t>- Китай виставляє більші відсотки</w:t>
      </w:r>
      <w:r w:rsidR="0086289D" w:rsidRPr="003F1573">
        <w:rPr>
          <w:sz w:val="28"/>
          <w:szCs w:val="28"/>
        </w:rPr>
        <w:t>, ніж західні інвестори, але натомість не вимагає проведення реформ [</w:t>
      </w:r>
      <w:r w:rsidR="000675F4" w:rsidRPr="003F1573">
        <w:rPr>
          <w:sz w:val="28"/>
          <w:szCs w:val="28"/>
        </w:rPr>
        <w:t>40</w:t>
      </w:r>
      <w:r w:rsidR="0086289D" w:rsidRPr="003F1573">
        <w:rPr>
          <w:sz w:val="28"/>
          <w:szCs w:val="28"/>
        </w:rPr>
        <w:t>].</w:t>
      </w:r>
    </w:p>
    <w:p w:rsidR="0086289D" w:rsidRPr="003F1573" w:rsidRDefault="0086289D" w:rsidP="00636A2A">
      <w:pPr>
        <w:spacing w:line="360" w:lineRule="auto"/>
        <w:ind w:firstLine="567"/>
        <w:jc w:val="both"/>
        <w:rPr>
          <w:sz w:val="28"/>
          <w:szCs w:val="28"/>
        </w:rPr>
      </w:pPr>
      <w:r w:rsidRPr="003F1573">
        <w:rPr>
          <w:sz w:val="28"/>
          <w:szCs w:val="28"/>
        </w:rPr>
        <w:t xml:space="preserve">Водночас поглиблення </w:t>
      </w:r>
      <w:r w:rsidR="00A57D72" w:rsidRPr="003F1573">
        <w:rPr>
          <w:sz w:val="28"/>
          <w:szCs w:val="28"/>
        </w:rPr>
        <w:t>залежності України від китайських джерел фінансування та обладнання можуть використати для реалізації політичних завдан</w:t>
      </w:r>
      <w:r w:rsidR="006051E5" w:rsidRPr="003F1573">
        <w:rPr>
          <w:sz w:val="28"/>
          <w:szCs w:val="28"/>
        </w:rPr>
        <w:t>ь</w:t>
      </w:r>
      <w:r w:rsidR="00A57D72" w:rsidRPr="003F1573">
        <w:rPr>
          <w:sz w:val="28"/>
          <w:szCs w:val="28"/>
        </w:rPr>
        <w:t xml:space="preserve"> КНР: тиску на Україну з метою зміни її міжнародної позиції, досягнення згоди щодо інших питань, наприклад, купівлі українських стратегічних підприємств.</w:t>
      </w:r>
    </w:p>
    <w:p w:rsidR="00312578" w:rsidRPr="003F1573" w:rsidRDefault="00312578" w:rsidP="00312578">
      <w:pPr>
        <w:spacing w:line="360" w:lineRule="auto"/>
        <w:ind w:firstLine="567"/>
        <w:jc w:val="both"/>
        <w:rPr>
          <w:sz w:val="28"/>
          <w:szCs w:val="28"/>
        </w:rPr>
      </w:pPr>
    </w:p>
    <w:p w:rsidR="00F33B27" w:rsidRPr="003F1573" w:rsidRDefault="00F33B27" w:rsidP="00EA786B">
      <w:pPr>
        <w:spacing w:line="360" w:lineRule="auto"/>
        <w:jc w:val="center"/>
        <w:rPr>
          <w:b/>
          <w:sz w:val="28"/>
          <w:szCs w:val="28"/>
        </w:rPr>
      </w:pPr>
    </w:p>
    <w:p w:rsidR="00F33B27" w:rsidRPr="003F1573" w:rsidRDefault="00F33B27" w:rsidP="00EA786B">
      <w:pPr>
        <w:spacing w:line="360" w:lineRule="auto"/>
        <w:jc w:val="center"/>
        <w:rPr>
          <w:b/>
          <w:sz w:val="28"/>
          <w:szCs w:val="28"/>
        </w:rPr>
      </w:pPr>
    </w:p>
    <w:p w:rsidR="00F33B27" w:rsidRPr="003F1573" w:rsidRDefault="00F33B27" w:rsidP="00EA786B">
      <w:pPr>
        <w:spacing w:line="360" w:lineRule="auto"/>
        <w:jc w:val="center"/>
        <w:rPr>
          <w:b/>
          <w:sz w:val="28"/>
          <w:szCs w:val="28"/>
        </w:rPr>
      </w:pPr>
    </w:p>
    <w:p w:rsidR="00F33B27" w:rsidRPr="003F1573" w:rsidRDefault="00F33B27" w:rsidP="00EA786B">
      <w:pPr>
        <w:spacing w:line="360" w:lineRule="auto"/>
        <w:jc w:val="center"/>
        <w:rPr>
          <w:b/>
          <w:sz w:val="28"/>
          <w:szCs w:val="28"/>
        </w:rPr>
      </w:pPr>
    </w:p>
    <w:p w:rsidR="00F33B27" w:rsidRPr="003F1573" w:rsidRDefault="00F33B27" w:rsidP="00EA786B">
      <w:pPr>
        <w:spacing w:line="360" w:lineRule="auto"/>
        <w:jc w:val="center"/>
        <w:rPr>
          <w:b/>
          <w:sz w:val="28"/>
          <w:szCs w:val="28"/>
        </w:rPr>
      </w:pPr>
    </w:p>
    <w:p w:rsidR="00F33B27" w:rsidRPr="003F1573" w:rsidRDefault="00F33B27" w:rsidP="00EA786B">
      <w:pPr>
        <w:spacing w:line="360" w:lineRule="auto"/>
        <w:jc w:val="center"/>
        <w:rPr>
          <w:b/>
          <w:sz w:val="28"/>
          <w:szCs w:val="28"/>
        </w:rPr>
      </w:pPr>
    </w:p>
    <w:p w:rsidR="006051E5" w:rsidRPr="003F1573" w:rsidRDefault="006051E5" w:rsidP="006051E5">
      <w:pPr>
        <w:spacing w:line="360" w:lineRule="auto"/>
        <w:rPr>
          <w:b/>
          <w:sz w:val="28"/>
          <w:szCs w:val="28"/>
        </w:rPr>
      </w:pPr>
    </w:p>
    <w:p w:rsidR="006051E5" w:rsidRPr="003F1573" w:rsidRDefault="006051E5" w:rsidP="006051E5">
      <w:pPr>
        <w:spacing w:line="360" w:lineRule="auto"/>
        <w:rPr>
          <w:b/>
          <w:sz w:val="28"/>
          <w:szCs w:val="28"/>
        </w:rPr>
      </w:pPr>
    </w:p>
    <w:p w:rsidR="006051E5" w:rsidRPr="003F1573" w:rsidRDefault="006051E5" w:rsidP="006051E5">
      <w:pPr>
        <w:spacing w:line="360" w:lineRule="auto"/>
        <w:rPr>
          <w:b/>
          <w:sz w:val="28"/>
          <w:szCs w:val="28"/>
        </w:rPr>
      </w:pPr>
    </w:p>
    <w:p w:rsidR="0000038D" w:rsidRPr="003F1573" w:rsidRDefault="0000038D" w:rsidP="006051E5">
      <w:pPr>
        <w:spacing w:line="360" w:lineRule="auto"/>
        <w:jc w:val="center"/>
        <w:rPr>
          <w:b/>
          <w:sz w:val="28"/>
          <w:szCs w:val="28"/>
        </w:rPr>
      </w:pPr>
      <w:r w:rsidRPr="003F1573">
        <w:rPr>
          <w:b/>
          <w:sz w:val="28"/>
          <w:szCs w:val="28"/>
        </w:rPr>
        <w:t>ВИСНОВКИ</w:t>
      </w:r>
    </w:p>
    <w:p w:rsidR="0000038D" w:rsidRPr="003F1573" w:rsidRDefault="0000038D" w:rsidP="006051E5">
      <w:pPr>
        <w:spacing w:line="360" w:lineRule="auto"/>
        <w:jc w:val="center"/>
        <w:rPr>
          <w:b/>
          <w:sz w:val="28"/>
          <w:szCs w:val="28"/>
        </w:rPr>
      </w:pPr>
    </w:p>
    <w:p w:rsidR="003F1573" w:rsidRPr="00F34517" w:rsidRDefault="0000038D" w:rsidP="00AE4285">
      <w:pPr>
        <w:spacing w:line="360" w:lineRule="auto"/>
        <w:ind w:firstLine="567"/>
        <w:jc w:val="both"/>
        <w:rPr>
          <w:sz w:val="28"/>
          <w:szCs w:val="28"/>
        </w:rPr>
      </w:pPr>
      <w:r w:rsidRPr="00F34517">
        <w:rPr>
          <w:sz w:val="28"/>
          <w:szCs w:val="28"/>
        </w:rPr>
        <w:t xml:space="preserve">На основі </w:t>
      </w:r>
      <w:r w:rsidR="00651CC3" w:rsidRPr="00F34517">
        <w:rPr>
          <w:sz w:val="28"/>
          <w:szCs w:val="28"/>
        </w:rPr>
        <w:t>проведеного у д</w:t>
      </w:r>
      <w:r w:rsidR="00F34517">
        <w:rPr>
          <w:sz w:val="28"/>
          <w:szCs w:val="28"/>
        </w:rPr>
        <w:t>и</w:t>
      </w:r>
      <w:r w:rsidR="00F34517" w:rsidRPr="00F34517">
        <w:rPr>
          <w:sz w:val="28"/>
          <w:szCs w:val="28"/>
        </w:rPr>
        <w:t>пло</w:t>
      </w:r>
      <w:r w:rsidR="00F34517">
        <w:rPr>
          <w:sz w:val="28"/>
          <w:szCs w:val="28"/>
        </w:rPr>
        <w:t>мн</w:t>
      </w:r>
      <w:r w:rsidR="00651CC3" w:rsidRPr="00F34517">
        <w:rPr>
          <w:sz w:val="28"/>
          <w:szCs w:val="28"/>
        </w:rPr>
        <w:t xml:space="preserve">ій роботі аналізу </w:t>
      </w:r>
      <w:r w:rsidRPr="00F34517">
        <w:rPr>
          <w:sz w:val="28"/>
          <w:szCs w:val="28"/>
        </w:rPr>
        <w:t xml:space="preserve">можна зробити такі висновки. </w:t>
      </w:r>
    </w:p>
    <w:p w:rsidR="00AE4285" w:rsidRPr="003F1573" w:rsidRDefault="00AE4285" w:rsidP="00AE4285">
      <w:pPr>
        <w:spacing w:line="360" w:lineRule="auto"/>
        <w:ind w:firstLine="567"/>
        <w:jc w:val="both"/>
        <w:rPr>
          <w:sz w:val="28"/>
          <w:szCs w:val="28"/>
        </w:rPr>
      </w:pPr>
      <w:r w:rsidRPr="003F1573">
        <w:rPr>
          <w:sz w:val="28"/>
        </w:rPr>
        <w:t xml:space="preserve">У першому розділі було визначено теоретичні основи аналізу </w:t>
      </w:r>
      <w:r w:rsidR="003F1573" w:rsidRPr="003F1573">
        <w:rPr>
          <w:sz w:val="28"/>
        </w:rPr>
        <w:t>зовнішньоекономічних позицій</w:t>
      </w:r>
      <w:r w:rsidRPr="003F1573">
        <w:rPr>
          <w:sz w:val="28"/>
        </w:rPr>
        <w:t xml:space="preserve"> Японії й Китаю, проаналізовано деякі </w:t>
      </w:r>
      <w:r w:rsidR="008C4979" w:rsidRPr="003F1573">
        <w:rPr>
          <w:sz w:val="28"/>
        </w:rPr>
        <w:t>наукові дослідження</w:t>
      </w:r>
      <w:r w:rsidRPr="003F1573">
        <w:rPr>
          <w:sz w:val="28"/>
        </w:rPr>
        <w:t>,</w:t>
      </w:r>
      <w:r w:rsidR="008C4979" w:rsidRPr="003F1573">
        <w:rPr>
          <w:sz w:val="28"/>
        </w:rPr>
        <w:t xml:space="preserve"> пов’язані із зовнішньоекономічними операціями даних країн. </w:t>
      </w:r>
      <w:r w:rsidR="008C4979" w:rsidRPr="003F1573">
        <w:rPr>
          <w:sz w:val="28"/>
          <w:szCs w:val="28"/>
        </w:rPr>
        <w:t xml:space="preserve">Основними розглянутими елементами були фактори, які впливають на формування </w:t>
      </w:r>
      <w:r w:rsidR="00136A2B" w:rsidRPr="003F1573">
        <w:rPr>
          <w:sz w:val="28"/>
          <w:szCs w:val="28"/>
        </w:rPr>
        <w:t>платіжного</w:t>
      </w:r>
      <w:r w:rsidR="008C4979" w:rsidRPr="003F1573">
        <w:rPr>
          <w:sz w:val="28"/>
          <w:szCs w:val="28"/>
        </w:rPr>
        <w:t xml:space="preserve"> балансу, фінансове співробітництво країн Східноазіатського регіону. Було проаналізовано стан економіки Японії з післявоєнних часів до сьогодення, досліджено недоліки та окреслено поліпшення економічного стану та стратегію розвитку країни. Мова йшла також і про вплив торгових конфліктів на азіатські країни. Вивчено особливості зовнішньоекономічних відносин США в Азійсько-Тихоокеанському регіоні (на прикладі Китаю) на сучасному етапі.</w:t>
      </w:r>
    </w:p>
    <w:p w:rsidR="00712DB2" w:rsidRPr="003F1573" w:rsidRDefault="009356BB" w:rsidP="00712DB2">
      <w:pPr>
        <w:spacing w:line="360" w:lineRule="auto"/>
        <w:ind w:firstLine="567"/>
        <w:jc w:val="both"/>
        <w:rPr>
          <w:sz w:val="28"/>
          <w:szCs w:val="28"/>
        </w:rPr>
      </w:pPr>
      <w:r w:rsidRPr="003F1573">
        <w:rPr>
          <w:sz w:val="28"/>
          <w:szCs w:val="28"/>
        </w:rPr>
        <w:t xml:space="preserve">Проаналізувавши </w:t>
      </w:r>
      <w:r w:rsidR="00D070D6" w:rsidRPr="003F1573">
        <w:rPr>
          <w:sz w:val="28"/>
          <w:szCs w:val="28"/>
        </w:rPr>
        <w:t xml:space="preserve">та порівнявши </w:t>
      </w:r>
      <w:r w:rsidRPr="003F1573">
        <w:rPr>
          <w:sz w:val="28"/>
          <w:szCs w:val="28"/>
        </w:rPr>
        <w:t xml:space="preserve">у першому підрозділі другого розділу динаміку основних статей рахунку поточних операцій, дослідили, що </w:t>
      </w:r>
      <w:r w:rsidR="001A5AD0" w:rsidRPr="003F1573">
        <w:rPr>
          <w:sz w:val="28"/>
          <w:szCs w:val="28"/>
        </w:rPr>
        <w:t>як в Японії, так і у Китаї він був додатним, що свідчить про те, що перевищення надходжень над платежами привело до збільшення кількості іноземної валюти в даних країнах. З кожним наступним роком баланс Японії ставав усе меншим, а Китаю, навпаки, стрімко почав збільшуватися з 2019 року. Протягом останніх двох років найбільш негативний вплив на японську економіку мала саме пандемія коронавірусу.</w:t>
      </w:r>
      <w:r w:rsidR="00712DB2" w:rsidRPr="003F1573">
        <w:rPr>
          <w:sz w:val="28"/>
          <w:szCs w:val="28"/>
        </w:rPr>
        <w:t xml:space="preserve"> </w:t>
      </w:r>
      <w:r w:rsidR="001A5AD0" w:rsidRPr="003F1573">
        <w:rPr>
          <w:sz w:val="28"/>
          <w:szCs w:val="28"/>
        </w:rPr>
        <w:t>Профіцит платіжного балансу цієї країни забезпечувався значним додатн</w:t>
      </w:r>
      <w:r w:rsidR="004B72AB" w:rsidRPr="003F1573">
        <w:rPr>
          <w:sz w:val="28"/>
          <w:szCs w:val="28"/>
        </w:rPr>
        <w:t>и</w:t>
      </w:r>
      <w:r w:rsidR="001A5AD0" w:rsidRPr="003F1573">
        <w:rPr>
          <w:sz w:val="28"/>
          <w:szCs w:val="28"/>
        </w:rPr>
        <w:t xml:space="preserve">м сальдо поточного рахунку, яке дещо урівноважувалося відтоком ресурсів за фінансовим рахунком (Японія є однією з основних країн-кредиторів). </w:t>
      </w:r>
      <w:r w:rsidR="00712DB2" w:rsidRPr="003F1573">
        <w:rPr>
          <w:sz w:val="28"/>
          <w:szCs w:val="28"/>
        </w:rPr>
        <w:t xml:space="preserve">Китай, імовірно, є єдиною з великих світових економік, які показали зростання у 2020 році на тлі пандемії. </w:t>
      </w:r>
      <w:r w:rsidR="001A5AD0" w:rsidRPr="003F1573">
        <w:rPr>
          <w:sz w:val="28"/>
          <w:szCs w:val="28"/>
        </w:rPr>
        <w:t xml:space="preserve">Посилаючись на здорові економічні основи </w:t>
      </w:r>
      <w:r w:rsidR="004B72AB" w:rsidRPr="003F1573">
        <w:rPr>
          <w:sz w:val="28"/>
          <w:szCs w:val="28"/>
        </w:rPr>
        <w:t>цієї країни</w:t>
      </w:r>
      <w:r w:rsidR="001A5AD0" w:rsidRPr="003F1573">
        <w:rPr>
          <w:sz w:val="28"/>
          <w:szCs w:val="28"/>
        </w:rPr>
        <w:t xml:space="preserve"> та </w:t>
      </w:r>
      <w:r w:rsidR="004B72AB" w:rsidRPr="003F1573">
        <w:rPr>
          <w:sz w:val="28"/>
          <w:szCs w:val="28"/>
        </w:rPr>
        <w:t xml:space="preserve">її </w:t>
      </w:r>
      <w:r w:rsidR="001A5AD0" w:rsidRPr="003F1573">
        <w:rPr>
          <w:sz w:val="28"/>
          <w:szCs w:val="28"/>
        </w:rPr>
        <w:t xml:space="preserve">заходи, спрямовані на збільшення відкритості, можна стверджувати, що у міру того, як </w:t>
      </w:r>
      <w:r w:rsidR="004B72AB" w:rsidRPr="003F1573">
        <w:rPr>
          <w:sz w:val="28"/>
          <w:szCs w:val="28"/>
        </w:rPr>
        <w:t xml:space="preserve">у Китаї </w:t>
      </w:r>
      <w:r w:rsidR="001A5AD0" w:rsidRPr="003F1573">
        <w:rPr>
          <w:sz w:val="28"/>
          <w:szCs w:val="28"/>
        </w:rPr>
        <w:t xml:space="preserve">поступово відновлюється ділова та виробнича активність, платіжний баланс у майбутньому залишатиметься стабільним. </w:t>
      </w:r>
    </w:p>
    <w:p w:rsidR="00284953" w:rsidRPr="003F1573" w:rsidRDefault="00284953" w:rsidP="00712DB2">
      <w:pPr>
        <w:spacing w:line="360" w:lineRule="auto"/>
        <w:ind w:firstLine="567"/>
        <w:jc w:val="both"/>
        <w:rPr>
          <w:sz w:val="28"/>
          <w:szCs w:val="28"/>
        </w:rPr>
      </w:pPr>
      <w:r w:rsidRPr="003F1573">
        <w:rPr>
          <w:sz w:val="28"/>
          <w:szCs w:val="28"/>
        </w:rPr>
        <w:t xml:space="preserve">Торгівля товарами </w:t>
      </w:r>
      <w:r w:rsidR="0062621C" w:rsidRPr="003F1573">
        <w:rPr>
          <w:sz w:val="28"/>
          <w:szCs w:val="28"/>
        </w:rPr>
        <w:t xml:space="preserve">в Китаї </w:t>
      </w:r>
      <w:r w:rsidRPr="003F1573">
        <w:rPr>
          <w:sz w:val="28"/>
          <w:szCs w:val="28"/>
        </w:rPr>
        <w:t xml:space="preserve">продемонструвала позитивне сальдо </w:t>
      </w:r>
      <w:r w:rsidR="0062621C" w:rsidRPr="003F1573">
        <w:rPr>
          <w:sz w:val="28"/>
          <w:szCs w:val="28"/>
        </w:rPr>
        <w:t>у 2021 р.,</w:t>
      </w:r>
      <w:r w:rsidRPr="003F1573">
        <w:rPr>
          <w:sz w:val="28"/>
          <w:szCs w:val="28"/>
        </w:rPr>
        <w:t xml:space="preserve"> збільшившись на 9% порівняно з попереднім роком. На тлі поступового пожвавлення світової економіки обидва сектори – експортний та імпортний – зберегли стійке зростання.</w:t>
      </w:r>
      <w:r w:rsidR="00272BA2" w:rsidRPr="003F1573">
        <w:rPr>
          <w:sz w:val="28"/>
          <w:szCs w:val="28"/>
        </w:rPr>
        <w:t xml:space="preserve"> Торговий баланс Японії за 2018-2019 рік став дефіцитним вперше за три роки через скорочення експорту та збільшення імпорту на тлі побоювань уповільнення зростання світової економіки. Суттєве зниження як експорту, так і імпорту послуг </w:t>
      </w:r>
      <w:r w:rsidR="0062621C" w:rsidRPr="003F1573">
        <w:rPr>
          <w:sz w:val="28"/>
          <w:szCs w:val="28"/>
        </w:rPr>
        <w:t>у</w:t>
      </w:r>
      <w:r w:rsidR="00272BA2" w:rsidRPr="003F1573">
        <w:rPr>
          <w:sz w:val="28"/>
          <w:szCs w:val="28"/>
        </w:rPr>
        <w:t xml:space="preserve"> </w:t>
      </w:r>
      <w:r w:rsidR="0062621C" w:rsidRPr="003F1573">
        <w:rPr>
          <w:sz w:val="28"/>
          <w:szCs w:val="28"/>
        </w:rPr>
        <w:t>цій країні</w:t>
      </w:r>
      <w:r w:rsidR="00272BA2" w:rsidRPr="003F1573">
        <w:rPr>
          <w:sz w:val="28"/>
          <w:szCs w:val="28"/>
        </w:rPr>
        <w:t xml:space="preserve"> спостерігається починаючи з 2019 року, водночас у Китаї бачимо різке зменшення імпорту послуг ще з 2018 року. В 2021 році у торгівлі послугами цієї країни було зареєстровано дефіцит у розмірі майже 100 млрд дол. США. </w:t>
      </w:r>
    </w:p>
    <w:p w:rsidR="003F1573" w:rsidRDefault="003F1573" w:rsidP="00D070D6">
      <w:pPr>
        <w:spacing w:line="360" w:lineRule="auto"/>
        <w:ind w:firstLine="567"/>
        <w:jc w:val="both"/>
        <w:rPr>
          <w:sz w:val="28"/>
          <w:szCs w:val="28"/>
        </w:rPr>
      </w:pPr>
      <w:r w:rsidRPr="003F1573">
        <w:rPr>
          <w:sz w:val="28"/>
          <w:szCs w:val="28"/>
        </w:rPr>
        <w:t>Результати проведеного аналізу свідчать пр</w:t>
      </w:r>
      <w:r>
        <w:rPr>
          <w:sz w:val="28"/>
          <w:szCs w:val="28"/>
        </w:rPr>
        <w:t xml:space="preserve">о те, що фінансовий </w:t>
      </w:r>
      <w:r w:rsidR="00D070D6" w:rsidRPr="003F1573">
        <w:rPr>
          <w:sz w:val="28"/>
          <w:szCs w:val="28"/>
        </w:rPr>
        <w:t xml:space="preserve"> рахун</w:t>
      </w:r>
      <w:r>
        <w:rPr>
          <w:sz w:val="28"/>
          <w:szCs w:val="28"/>
        </w:rPr>
        <w:t>ок</w:t>
      </w:r>
      <w:r w:rsidR="00D070D6" w:rsidRPr="003F1573">
        <w:rPr>
          <w:sz w:val="28"/>
          <w:szCs w:val="28"/>
        </w:rPr>
        <w:t xml:space="preserve"> у Японії поступово збільшувався на користь резидентів країни до початку пандемії COVID-19. У Китаї ж, навпаки, така ситуація спостерігається ще починаючи з 2018 року і наявна й зараз. Досліджено, що </w:t>
      </w:r>
      <w:r w:rsidR="00794556" w:rsidRPr="003F1573">
        <w:rPr>
          <w:sz w:val="28"/>
          <w:szCs w:val="28"/>
        </w:rPr>
        <w:t>п</w:t>
      </w:r>
      <w:r w:rsidR="00B82829" w:rsidRPr="003F1573">
        <w:rPr>
          <w:sz w:val="28"/>
          <w:szCs w:val="28"/>
        </w:rPr>
        <w:t>оказник прямих інвестицій (активів) протягом розглянутого періоду часу в обох країнах був додатним, що означає те, що тоді резиденти як Японії, так і Китаю збільшували кількість своїх активів, контрольованих за кордоном, за допомогою прямих інвестицій</w:t>
      </w:r>
      <w:r w:rsidR="00794556" w:rsidRPr="003F1573">
        <w:rPr>
          <w:sz w:val="28"/>
          <w:szCs w:val="28"/>
        </w:rPr>
        <w:t>.</w:t>
      </w:r>
      <w:r w:rsidR="00D070D6" w:rsidRPr="003F1573">
        <w:rPr>
          <w:sz w:val="28"/>
          <w:szCs w:val="28"/>
        </w:rPr>
        <w:t xml:space="preserve"> </w:t>
      </w:r>
      <w:r w:rsidR="00794556" w:rsidRPr="003F1573">
        <w:rPr>
          <w:sz w:val="28"/>
          <w:szCs w:val="28"/>
        </w:rPr>
        <w:t xml:space="preserve">Потоки прямих іноземних інвестицій в Японію залишаються низькими в порівнянні з більшістю інших розвинених країн світу і відносно нестабільними. </w:t>
      </w:r>
    </w:p>
    <w:p w:rsidR="003F1573" w:rsidRDefault="003F1573" w:rsidP="00AA0D00">
      <w:pPr>
        <w:spacing w:line="360" w:lineRule="auto"/>
        <w:ind w:firstLine="567"/>
        <w:jc w:val="both"/>
        <w:rPr>
          <w:bCs/>
          <w:sz w:val="28"/>
        </w:rPr>
      </w:pPr>
      <w:r>
        <w:rPr>
          <w:bCs/>
          <w:sz w:val="28"/>
        </w:rPr>
        <w:t>Результати проведеного аналізу свідчать про те, що у</w:t>
      </w:r>
      <w:r w:rsidR="00AA0D00" w:rsidRPr="003F1573">
        <w:rPr>
          <w:bCs/>
          <w:sz w:val="28"/>
        </w:rPr>
        <w:t xml:space="preserve"> даний момент японські цінні папери є непривабливими та неприбутковими. Цінні папери Китаю так само мають низьку, однак, трохи вищу за японські, дохідність. Тим не менш, інвестори після придбання у 2022 році китайських облігацій через рік все ж отримають невеликий прибуток</w:t>
      </w:r>
      <w:r>
        <w:rPr>
          <w:bCs/>
          <w:sz w:val="28"/>
        </w:rPr>
        <w:t>.</w:t>
      </w:r>
    </w:p>
    <w:p w:rsidR="00136A2B" w:rsidRDefault="003F1573" w:rsidP="00625204">
      <w:pPr>
        <w:spacing w:line="360" w:lineRule="auto"/>
        <w:ind w:firstLine="567"/>
        <w:jc w:val="both"/>
        <w:rPr>
          <w:sz w:val="28"/>
          <w:szCs w:val="28"/>
          <w:lang w:val="ru-RU"/>
        </w:rPr>
      </w:pPr>
      <w:r w:rsidRPr="00CF207E">
        <w:rPr>
          <w:sz w:val="28"/>
          <w:szCs w:val="28"/>
        </w:rPr>
        <w:t>Результати аналізу св</w:t>
      </w:r>
      <w:r w:rsidR="00CF207E" w:rsidRPr="00CF207E">
        <w:rPr>
          <w:sz w:val="28"/>
          <w:szCs w:val="28"/>
        </w:rPr>
        <w:t>і</w:t>
      </w:r>
      <w:r w:rsidRPr="00CF207E">
        <w:rPr>
          <w:sz w:val="28"/>
          <w:szCs w:val="28"/>
        </w:rPr>
        <w:t>дчать</w:t>
      </w:r>
      <w:r w:rsidR="00CF207E">
        <w:rPr>
          <w:sz w:val="28"/>
          <w:szCs w:val="28"/>
        </w:rPr>
        <w:t xml:space="preserve"> про те, що о</w:t>
      </w:r>
      <w:r w:rsidR="00B1081E" w:rsidRPr="00CF207E">
        <w:rPr>
          <w:sz w:val="28"/>
          <w:szCs w:val="28"/>
        </w:rPr>
        <w:t>бсяг експорту українських товарів у Китай</w:t>
      </w:r>
      <w:r w:rsidR="00B1081E" w:rsidRPr="003F1573">
        <w:rPr>
          <w:sz w:val="28"/>
          <w:szCs w:val="28"/>
        </w:rPr>
        <w:t xml:space="preserve"> за останні п’ять років виріс майже у чотири рази, водночас обсяг імпорту китайських товарів Україною також показав поступовий зріст більше, ніж у два рази. Наразі Україна та Китай домовляються про зону вільної торгівлі. </w:t>
      </w:r>
    </w:p>
    <w:p w:rsidR="00625204" w:rsidRPr="003F1573" w:rsidRDefault="00136A2B" w:rsidP="00136A2B">
      <w:pPr>
        <w:spacing w:line="360" w:lineRule="auto"/>
        <w:ind w:firstLine="567"/>
        <w:jc w:val="both"/>
        <w:rPr>
          <w:sz w:val="28"/>
          <w:szCs w:val="28"/>
        </w:rPr>
      </w:pPr>
      <w:r w:rsidRPr="00136A2B">
        <w:rPr>
          <w:sz w:val="28"/>
          <w:szCs w:val="28"/>
        </w:rPr>
        <w:t xml:space="preserve">Україна </w:t>
      </w:r>
      <w:r w:rsidR="008D2517" w:rsidRPr="00136A2B">
        <w:rPr>
          <w:sz w:val="28"/>
          <w:szCs w:val="28"/>
        </w:rPr>
        <w:t>зацікавлена також у початку проведення переговорів щодо</w:t>
      </w:r>
      <w:r w:rsidR="008D2517" w:rsidRPr="003F1573">
        <w:rPr>
          <w:sz w:val="28"/>
          <w:szCs w:val="28"/>
        </w:rPr>
        <w:t xml:space="preserve"> укладення Угоди про зону вільної торгівлі і з Японією</w:t>
      </w:r>
      <w:r>
        <w:rPr>
          <w:sz w:val="28"/>
          <w:szCs w:val="28"/>
        </w:rPr>
        <w:t xml:space="preserve">. </w:t>
      </w:r>
      <w:r w:rsidR="008D2517" w:rsidRPr="003F1573">
        <w:rPr>
          <w:sz w:val="28"/>
          <w:szCs w:val="28"/>
        </w:rPr>
        <w:t xml:space="preserve">Розміри експорту та імпорту послуг між Японією та Україною в цілому суттєво не відрізняються. Протягом </w:t>
      </w:r>
      <w:r>
        <w:rPr>
          <w:sz w:val="28"/>
          <w:szCs w:val="28"/>
        </w:rPr>
        <w:t xml:space="preserve">останніх п’яти років </w:t>
      </w:r>
      <w:r w:rsidR="008D2517" w:rsidRPr="003F1573">
        <w:rPr>
          <w:sz w:val="28"/>
          <w:szCs w:val="28"/>
        </w:rPr>
        <w:t>обсяг експорту збільшився майже на 39%, а от ім</w:t>
      </w:r>
      <w:r>
        <w:rPr>
          <w:sz w:val="28"/>
          <w:szCs w:val="28"/>
        </w:rPr>
        <w:t xml:space="preserve">порту, навпаки, значно знизився </w:t>
      </w:r>
      <w:r w:rsidR="008D2517" w:rsidRPr="003F1573">
        <w:rPr>
          <w:sz w:val="28"/>
          <w:szCs w:val="28"/>
        </w:rPr>
        <w:t>на 79%. Стосовно Китаю, то спостерігалися значно вищі показники.</w:t>
      </w:r>
      <w:r w:rsidR="00625204" w:rsidRPr="003F1573">
        <w:rPr>
          <w:sz w:val="28"/>
          <w:szCs w:val="28"/>
        </w:rPr>
        <w:t xml:space="preserve"> Однак, торгівля послугами поки займає незначне місце у загальній торгівлі товарами та послугами між Україною і Китаєм. Разом з тим, протягом останніх п’яти років спостерігалася тенденція до збільшення частки послуг у двосторонній торгівлі з Китаєм. </w:t>
      </w:r>
    </w:p>
    <w:p w:rsidR="00136A2B" w:rsidRDefault="00625204" w:rsidP="00625204">
      <w:pPr>
        <w:spacing w:line="360" w:lineRule="auto"/>
        <w:ind w:firstLine="567"/>
        <w:jc w:val="both"/>
        <w:rPr>
          <w:sz w:val="28"/>
          <w:szCs w:val="28"/>
        </w:rPr>
      </w:pPr>
      <w:r w:rsidRPr="003F1573">
        <w:rPr>
          <w:sz w:val="28"/>
          <w:szCs w:val="28"/>
        </w:rPr>
        <w:t xml:space="preserve">Китай вкладає все більше коштів в Україну як через прямі іноземні інвестиції, так і через позики та участь в інфраструктурних проєктах. Стрімке нарощування китайських інвестицій, усемеро з 2017 року, </w:t>
      </w:r>
      <w:r w:rsidR="00136A2B">
        <w:rPr>
          <w:sz w:val="28"/>
          <w:szCs w:val="28"/>
        </w:rPr>
        <w:t>свідчить про зацікавленість китайських інвесторів у розвитку власного бізнесу в Україні.</w:t>
      </w:r>
    </w:p>
    <w:p w:rsidR="00872366" w:rsidRDefault="00625204" w:rsidP="00872366">
      <w:pPr>
        <w:spacing w:line="360" w:lineRule="auto"/>
        <w:ind w:firstLine="567"/>
        <w:jc w:val="both"/>
        <w:rPr>
          <w:sz w:val="28"/>
          <w:szCs w:val="28"/>
        </w:rPr>
      </w:pPr>
      <w:r w:rsidRPr="003F1573">
        <w:rPr>
          <w:sz w:val="28"/>
          <w:szCs w:val="28"/>
        </w:rPr>
        <w:t xml:space="preserve">Китай цікавлять такі напрямки інвестування, як сільське господарство, переробка аграрної продукції, портова, залізнична інфраструктура, відновлювана енергетика та авіаційна галузь. Японські інвестиції в Україні головним чином зосереджені у сфері продажу та обслуговування транспортних засобів, а також у </w:t>
      </w:r>
      <w:r w:rsidR="00136A2B" w:rsidRPr="003F1573">
        <w:rPr>
          <w:sz w:val="28"/>
          <w:szCs w:val="28"/>
        </w:rPr>
        <w:t>виробництві</w:t>
      </w:r>
      <w:r w:rsidRPr="003F1573">
        <w:rPr>
          <w:sz w:val="28"/>
          <w:szCs w:val="28"/>
        </w:rPr>
        <w:t xml:space="preserve"> комплектуючих для них, основним напрямком став і агропромисловий сектор. Угода про сприяння та взаємний захист інвестицій між Україною та Японією, яка набула чинності у 2015 році, створила сприятливі умови для розвитку залучення японських інвестицій в Україну. Протягом останніх років спостерігається потік прямих інвестицій України до Китаю, одн</w:t>
      </w:r>
      <w:r w:rsidR="00136A2B">
        <w:rPr>
          <w:sz w:val="28"/>
          <w:szCs w:val="28"/>
        </w:rPr>
        <w:t>ак їхній обсяг зовсім невеликий.</w:t>
      </w:r>
    </w:p>
    <w:p w:rsidR="00F34517" w:rsidRDefault="00136A2B" w:rsidP="00872366">
      <w:pPr>
        <w:spacing w:line="360" w:lineRule="auto"/>
        <w:ind w:firstLine="567"/>
        <w:jc w:val="both"/>
        <w:rPr>
          <w:sz w:val="28"/>
          <w:szCs w:val="28"/>
        </w:rPr>
      </w:pPr>
      <w:r>
        <w:rPr>
          <w:sz w:val="28"/>
          <w:szCs w:val="28"/>
        </w:rPr>
        <w:t>Реакція Китаю та Японі</w:t>
      </w:r>
      <w:r w:rsidR="00F34517">
        <w:rPr>
          <w:sz w:val="28"/>
          <w:szCs w:val="28"/>
        </w:rPr>
        <w:t>ї</w:t>
      </w:r>
      <w:r>
        <w:rPr>
          <w:sz w:val="28"/>
          <w:szCs w:val="28"/>
        </w:rPr>
        <w:t xml:space="preserve"> на початок повномасштабної війни Росії про</w:t>
      </w:r>
      <w:r w:rsidR="00F34517">
        <w:rPr>
          <w:sz w:val="28"/>
          <w:szCs w:val="28"/>
        </w:rPr>
        <w:t>т</w:t>
      </w:r>
      <w:r>
        <w:rPr>
          <w:sz w:val="28"/>
          <w:szCs w:val="28"/>
        </w:rPr>
        <w:t xml:space="preserve">и України у 2022 році була різною: Японія запровадила суворі санкції проти країни-агресора, а Китай – ні. </w:t>
      </w:r>
    </w:p>
    <w:p w:rsidR="00136A2B" w:rsidRDefault="00136A2B" w:rsidP="00872366">
      <w:pPr>
        <w:spacing w:line="360" w:lineRule="auto"/>
        <w:ind w:firstLine="567"/>
        <w:jc w:val="both"/>
        <w:rPr>
          <w:sz w:val="28"/>
          <w:szCs w:val="28"/>
        </w:rPr>
      </w:pPr>
      <w:r>
        <w:rPr>
          <w:sz w:val="28"/>
          <w:szCs w:val="28"/>
        </w:rPr>
        <w:t xml:space="preserve">Однак Україна все ж сподівається, що Китай у майбутньому сприятиме </w:t>
      </w:r>
      <w:r w:rsidR="00F34517">
        <w:rPr>
          <w:sz w:val="28"/>
          <w:szCs w:val="28"/>
        </w:rPr>
        <w:t>припиненню окупації Росією території України.</w:t>
      </w:r>
    </w:p>
    <w:p w:rsidR="0000038D" w:rsidRPr="003F1573" w:rsidRDefault="003B0243" w:rsidP="006051E5">
      <w:pPr>
        <w:spacing w:line="360" w:lineRule="auto"/>
        <w:jc w:val="center"/>
        <w:rPr>
          <w:b/>
          <w:sz w:val="28"/>
          <w:szCs w:val="28"/>
        </w:rPr>
      </w:pPr>
      <w:r w:rsidRPr="003F1573">
        <w:rPr>
          <w:b/>
          <w:sz w:val="28"/>
          <w:szCs w:val="28"/>
        </w:rPr>
        <w:t>СПИСОК ВИКОРИСТАНИХ ДЖЕРЕЛ</w:t>
      </w:r>
    </w:p>
    <w:p w:rsidR="00B34516" w:rsidRPr="003F1573" w:rsidRDefault="00B34516" w:rsidP="006051E5">
      <w:pPr>
        <w:spacing w:line="360" w:lineRule="auto"/>
        <w:jc w:val="center"/>
        <w:rPr>
          <w:b/>
          <w:sz w:val="28"/>
          <w:szCs w:val="28"/>
        </w:rPr>
      </w:pPr>
    </w:p>
    <w:p w:rsidR="00E96003" w:rsidRPr="00313B0E" w:rsidRDefault="00B431CF" w:rsidP="00F34517">
      <w:pPr>
        <w:pStyle w:val="a8"/>
        <w:numPr>
          <w:ilvl w:val="0"/>
          <w:numId w:val="16"/>
        </w:numPr>
        <w:spacing w:line="360" w:lineRule="auto"/>
        <w:jc w:val="both"/>
        <w:rPr>
          <w:sz w:val="28"/>
          <w:szCs w:val="28"/>
        </w:rPr>
      </w:pPr>
      <w:r w:rsidRPr="00313B0E">
        <w:rPr>
          <w:sz w:val="28"/>
          <w:szCs w:val="28"/>
        </w:rPr>
        <w:t>Chand</w:t>
      </w:r>
      <w:r w:rsidR="007F65D6" w:rsidRPr="00313B0E">
        <w:rPr>
          <w:sz w:val="28"/>
          <w:szCs w:val="28"/>
        </w:rPr>
        <w:t>rasekhar C. The Long Search for Stability: Financial Cooperation to Address Global Risks in the East Asian Region [Електронний ресурс] / С. P. Chandrasekhar. // Institute for New Economic Thinking Working Paper Series</w:t>
      </w:r>
      <w:r w:rsidR="00E96003" w:rsidRPr="00313B0E">
        <w:rPr>
          <w:sz w:val="28"/>
          <w:szCs w:val="28"/>
        </w:rPr>
        <w:t>. – 2021. - №</w:t>
      </w:r>
      <w:r w:rsidR="008E26BB" w:rsidRPr="00313B0E">
        <w:rPr>
          <w:sz w:val="28"/>
          <w:szCs w:val="28"/>
        </w:rPr>
        <w:t xml:space="preserve"> </w:t>
      </w:r>
      <w:r w:rsidR="00E96003" w:rsidRPr="00313B0E">
        <w:rPr>
          <w:sz w:val="28"/>
          <w:szCs w:val="28"/>
        </w:rPr>
        <w:t xml:space="preserve">153. – С. 1-75. – Режим доступу до ресурсу: </w:t>
      </w:r>
      <w:hyperlink r:id="rId21" w:history="1">
        <w:r w:rsidR="00E96003" w:rsidRPr="00313B0E">
          <w:rPr>
            <w:rStyle w:val="af1"/>
            <w:color w:val="auto"/>
            <w:sz w:val="28"/>
            <w:szCs w:val="28"/>
            <w:u w:val="none"/>
          </w:rPr>
          <w:t>https://papers.ssrn.com/sol3/papers.cfm?abstract_id=3839014#</w:t>
        </w:r>
      </w:hyperlink>
      <w:r w:rsidR="00E96003" w:rsidRPr="00313B0E">
        <w:rPr>
          <w:sz w:val="28"/>
          <w:szCs w:val="28"/>
        </w:rPr>
        <w:t>.</w:t>
      </w:r>
    </w:p>
    <w:p w:rsidR="00151941" w:rsidRPr="00313B0E" w:rsidRDefault="00DE48D7" w:rsidP="00F34517">
      <w:pPr>
        <w:pStyle w:val="a8"/>
        <w:numPr>
          <w:ilvl w:val="0"/>
          <w:numId w:val="16"/>
        </w:numPr>
        <w:spacing w:line="360" w:lineRule="auto"/>
        <w:jc w:val="both"/>
        <w:rPr>
          <w:sz w:val="28"/>
          <w:szCs w:val="28"/>
        </w:rPr>
      </w:pPr>
      <w:r w:rsidRPr="00313B0E">
        <w:rPr>
          <w:sz w:val="28"/>
          <w:szCs w:val="28"/>
        </w:rPr>
        <w:t xml:space="preserve">Zhang Q. Analysis on the </w:t>
      </w:r>
      <w:r w:rsidR="00C649CE" w:rsidRPr="00313B0E">
        <w:rPr>
          <w:sz w:val="28"/>
          <w:szCs w:val="28"/>
        </w:rPr>
        <w:t>Reasons for the Balance of Payments Between China and America from the Perspective of «Elastic Pessimism» [Електронний ресурс] / Qi Zhang. // Atlantis Press</w:t>
      </w:r>
      <w:r w:rsidR="00DE7F41" w:rsidRPr="00313B0E">
        <w:rPr>
          <w:sz w:val="28"/>
          <w:szCs w:val="28"/>
        </w:rPr>
        <w:t xml:space="preserve"> International B. V. – Advances in Economics, Business and Management Research. – 2022. – C. 166-171. – Режим доступу до ресурсу: </w:t>
      </w:r>
      <w:hyperlink r:id="rId22" w:history="1">
        <w:r w:rsidR="00DE7F41" w:rsidRPr="00313B0E">
          <w:rPr>
            <w:rStyle w:val="af1"/>
            <w:color w:val="auto"/>
            <w:sz w:val="28"/>
            <w:szCs w:val="28"/>
            <w:u w:val="none"/>
          </w:rPr>
          <w:t>https://www.atlantis-press.com/proceedings/emle-21/125971334</w:t>
        </w:r>
      </w:hyperlink>
      <w:r w:rsidR="00DE7F41" w:rsidRPr="00313B0E">
        <w:rPr>
          <w:sz w:val="28"/>
          <w:szCs w:val="28"/>
        </w:rPr>
        <w:t>.</w:t>
      </w:r>
    </w:p>
    <w:p w:rsidR="00DE7F41" w:rsidRPr="00313B0E" w:rsidRDefault="00C55899" w:rsidP="00F34517">
      <w:pPr>
        <w:pStyle w:val="a8"/>
        <w:numPr>
          <w:ilvl w:val="0"/>
          <w:numId w:val="16"/>
        </w:numPr>
        <w:spacing w:line="360" w:lineRule="auto"/>
        <w:jc w:val="both"/>
        <w:rPr>
          <w:sz w:val="28"/>
          <w:szCs w:val="28"/>
        </w:rPr>
      </w:pPr>
      <w:r w:rsidRPr="00313B0E">
        <w:rPr>
          <w:sz w:val="28"/>
          <w:szCs w:val="28"/>
        </w:rPr>
        <w:t xml:space="preserve">Крисюк Л. М., Куликов Д. В., Чебанова А. І. </w:t>
      </w:r>
      <w:r w:rsidR="00B106CC" w:rsidRPr="00313B0E">
        <w:rPr>
          <w:sz w:val="28"/>
          <w:szCs w:val="28"/>
        </w:rPr>
        <w:t>Аналіз економічної стратегії розвитку Японії [Електронний ресурс] / Л. М. Крисюк, Д. В. Куликов, А. І. Чебанова. // ЕКОНОМІКА І СУСПІЛЬСТВО. – 2017. - №</w:t>
      </w:r>
      <w:r w:rsidR="008E26BB" w:rsidRPr="00313B0E">
        <w:rPr>
          <w:sz w:val="28"/>
          <w:szCs w:val="28"/>
        </w:rPr>
        <w:t xml:space="preserve"> </w:t>
      </w:r>
      <w:r w:rsidR="00B106CC" w:rsidRPr="00313B0E">
        <w:rPr>
          <w:sz w:val="28"/>
          <w:szCs w:val="28"/>
        </w:rPr>
        <w:t xml:space="preserve">8. – С. 169-173. – Режим доступу до ресурсу: </w:t>
      </w:r>
      <w:hyperlink r:id="rId23" w:history="1">
        <w:r w:rsidR="00B106CC" w:rsidRPr="00313B0E">
          <w:rPr>
            <w:rStyle w:val="af1"/>
            <w:color w:val="auto"/>
            <w:sz w:val="28"/>
            <w:szCs w:val="28"/>
            <w:u w:val="none"/>
          </w:rPr>
          <w:t>https://economyandsociety.in.ua/journals/8_ukr/29.pdf</w:t>
        </w:r>
      </w:hyperlink>
      <w:r w:rsidR="00B106CC" w:rsidRPr="00313B0E">
        <w:rPr>
          <w:sz w:val="28"/>
          <w:szCs w:val="28"/>
        </w:rPr>
        <w:t>.</w:t>
      </w:r>
    </w:p>
    <w:p w:rsidR="00B106CC" w:rsidRPr="00313B0E" w:rsidRDefault="00B106CC" w:rsidP="00F34517">
      <w:pPr>
        <w:pStyle w:val="a8"/>
        <w:numPr>
          <w:ilvl w:val="0"/>
          <w:numId w:val="16"/>
        </w:numPr>
        <w:spacing w:line="360" w:lineRule="auto"/>
        <w:jc w:val="both"/>
        <w:rPr>
          <w:sz w:val="28"/>
          <w:szCs w:val="28"/>
        </w:rPr>
      </w:pPr>
      <w:r w:rsidRPr="00313B0E">
        <w:rPr>
          <w:sz w:val="28"/>
          <w:szCs w:val="28"/>
        </w:rPr>
        <w:t>Abiad A., Baris K., Bernabe J. A. The Impact of Trade Conflict on Developing Asia</w:t>
      </w:r>
      <w:r w:rsidR="003E2B38" w:rsidRPr="00313B0E">
        <w:rPr>
          <w:sz w:val="28"/>
          <w:szCs w:val="28"/>
        </w:rPr>
        <w:t xml:space="preserve"> [Електронний ресурс] / Abdul Abiad, Kristina Baris, John Arvin Bernabe. // Asian Development Bank Economics Working Paper Series. – 2018. - №</w:t>
      </w:r>
      <w:r w:rsidR="008E26BB" w:rsidRPr="00313B0E">
        <w:rPr>
          <w:sz w:val="28"/>
          <w:szCs w:val="28"/>
        </w:rPr>
        <w:t xml:space="preserve"> </w:t>
      </w:r>
      <w:r w:rsidR="003E2B38" w:rsidRPr="00313B0E">
        <w:rPr>
          <w:sz w:val="28"/>
          <w:szCs w:val="28"/>
        </w:rPr>
        <w:t xml:space="preserve">566. – С. </w:t>
      </w:r>
      <w:r w:rsidR="00DB089B" w:rsidRPr="00313B0E">
        <w:rPr>
          <w:sz w:val="28"/>
          <w:szCs w:val="28"/>
        </w:rPr>
        <w:t xml:space="preserve">1-44. – Режим доступу до ресурсу: </w:t>
      </w:r>
      <w:hyperlink r:id="rId24" w:history="1">
        <w:r w:rsidR="00DB089B" w:rsidRPr="00313B0E">
          <w:rPr>
            <w:rStyle w:val="af1"/>
            <w:color w:val="auto"/>
            <w:sz w:val="28"/>
            <w:szCs w:val="28"/>
            <w:u w:val="none"/>
          </w:rPr>
          <w:t>https://papers.ssrn.com/sol3/papers.cfm?abstract_id=3339178</w:t>
        </w:r>
      </w:hyperlink>
      <w:r w:rsidR="00DB089B" w:rsidRPr="00313B0E">
        <w:rPr>
          <w:sz w:val="28"/>
          <w:szCs w:val="28"/>
        </w:rPr>
        <w:t>.</w:t>
      </w:r>
    </w:p>
    <w:p w:rsidR="00DB089B" w:rsidRPr="00313B0E" w:rsidRDefault="00DB089B" w:rsidP="00F34517">
      <w:pPr>
        <w:pStyle w:val="a8"/>
        <w:numPr>
          <w:ilvl w:val="0"/>
          <w:numId w:val="16"/>
        </w:numPr>
        <w:spacing w:line="360" w:lineRule="auto"/>
        <w:jc w:val="both"/>
        <w:rPr>
          <w:sz w:val="28"/>
          <w:szCs w:val="28"/>
        </w:rPr>
      </w:pPr>
      <w:r w:rsidRPr="00313B0E">
        <w:rPr>
          <w:sz w:val="28"/>
          <w:szCs w:val="28"/>
        </w:rPr>
        <w:t>Ren Y., Yuan X., Zhao W. The Effects of RMB Internationalization on Balance of Payments in China</w:t>
      </w:r>
      <w:r w:rsidR="009F7154" w:rsidRPr="00313B0E">
        <w:rPr>
          <w:sz w:val="28"/>
          <w:szCs w:val="28"/>
        </w:rPr>
        <w:t xml:space="preserve"> [Електронний ресурс] / Yinghua Ren, Xiaomin Yuan, Wanru Zhao. // Atlantis Press International B. V. – Advances in Social Science, Education and Humanities Research. – 2018. – C. 170-178. – Режим доступу до ресурсу: </w:t>
      </w:r>
      <w:hyperlink r:id="rId25" w:history="1">
        <w:r w:rsidR="009F7154" w:rsidRPr="00313B0E">
          <w:rPr>
            <w:rStyle w:val="af1"/>
            <w:color w:val="auto"/>
            <w:sz w:val="28"/>
            <w:szCs w:val="28"/>
            <w:u w:val="none"/>
          </w:rPr>
          <w:t>https://www.atlantis-press.com/proceedings/iceess-18/25904490</w:t>
        </w:r>
      </w:hyperlink>
      <w:r w:rsidR="009F7154" w:rsidRPr="00313B0E">
        <w:rPr>
          <w:sz w:val="28"/>
          <w:szCs w:val="28"/>
        </w:rPr>
        <w:t>.</w:t>
      </w:r>
    </w:p>
    <w:p w:rsidR="009F7154" w:rsidRPr="00313B0E" w:rsidRDefault="00D64860" w:rsidP="00F34517">
      <w:pPr>
        <w:pStyle w:val="a8"/>
        <w:numPr>
          <w:ilvl w:val="0"/>
          <w:numId w:val="16"/>
        </w:numPr>
        <w:spacing w:line="360" w:lineRule="auto"/>
        <w:jc w:val="both"/>
        <w:rPr>
          <w:sz w:val="28"/>
          <w:szCs w:val="28"/>
        </w:rPr>
      </w:pPr>
      <w:r w:rsidRPr="00313B0E">
        <w:rPr>
          <w:sz w:val="28"/>
          <w:szCs w:val="28"/>
        </w:rPr>
        <w:t>Разінькова М. Ю., Трудова М. Є., Денисенко Н. Д. Зовнішньоекономічні відносини США в Азійсько-Тихоокеанському регіоні (на прикладі Китаю) [Електронний ресурс] / М. Ю. Разінькова, М. Є. Трудова, Н. Д. Денисенко. // Державне управління: удосконалення та розвиток</w:t>
      </w:r>
      <w:r w:rsidR="008E26BB" w:rsidRPr="00313B0E">
        <w:rPr>
          <w:sz w:val="28"/>
          <w:szCs w:val="28"/>
        </w:rPr>
        <w:t xml:space="preserve">. – 2018. - № 19. – С. 39-43. – Режим доступу до ресурсу: </w:t>
      </w:r>
      <w:hyperlink r:id="rId26" w:history="1">
        <w:r w:rsidR="008E26BB" w:rsidRPr="00313B0E">
          <w:rPr>
            <w:rStyle w:val="af1"/>
            <w:color w:val="auto"/>
            <w:sz w:val="28"/>
            <w:szCs w:val="28"/>
            <w:u w:val="none"/>
          </w:rPr>
          <w:t>http://www.agrosvit.info/pdf/19_2018/6.pdf</w:t>
        </w:r>
      </w:hyperlink>
      <w:r w:rsidR="008E26BB" w:rsidRPr="00313B0E">
        <w:rPr>
          <w:sz w:val="28"/>
          <w:szCs w:val="28"/>
        </w:rPr>
        <w:t>.</w:t>
      </w:r>
    </w:p>
    <w:p w:rsidR="008E26BB" w:rsidRPr="00313B0E" w:rsidRDefault="008E26BB" w:rsidP="00F34517">
      <w:pPr>
        <w:pStyle w:val="a8"/>
        <w:numPr>
          <w:ilvl w:val="0"/>
          <w:numId w:val="16"/>
        </w:numPr>
        <w:spacing w:line="360" w:lineRule="auto"/>
        <w:jc w:val="both"/>
        <w:rPr>
          <w:sz w:val="28"/>
          <w:szCs w:val="28"/>
          <w:shd w:val="clear" w:color="auto" w:fill="FFFFFF"/>
        </w:rPr>
      </w:pPr>
      <w:r w:rsidRPr="00313B0E">
        <w:rPr>
          <w:sz w:val="28"/>
          <w:szCs w:val="28"/>
          <w:shd w:val="clear" w:color="auto" w:fill="FFFFFF"/>
        </w:rPr>
        <w:t>INTERNATIONAL MONETARY FUND. IMF DATA - ACCESS TO MACROECONOMIC &amp; FINANCIAL DATA. Balance of Payments and International Investment Position Statistics of China</w:t>
      </w:r>
      <w:r w:rsidR="001445ED" w:rsidRPr="00313B0E">
        <w:rPr>
          <w:sz w:val="28"/>
          <w:szCs w:val="28"/>
          <w:shd w:val="clear" w:color="auto" w:fill="FFFFFF"/>
        </w:rPr>
        <w:t xml:space="preserve"> and Japan</w:t>
      </w:r>
      <w:r w:rsidRPr="00313B0E">
        <w:rPr>
          <w:sz w:val="28"/>
          <w:szCs w:val="28"/>
          <w:shd w:val="clear" w:color="auto" w:fill="FFFFFF"/>
        </w:rPr>
        <w:t xml:space="preserve"> [Електронний ресурс] – Режим доступу до ресурсу: </w:t>
      </w:r>
      <w:hyperlink r:id="rId27" w:history="1">
        <w:r w:rsidRPr="00313B0E">
          <w:rPr>
            <w:rStyle w:val="af1"/>
            <w:color w:val="auto"/>
            <w:sz w:val="28"/>
            <w:szCs w:val="28"/>
            <w:u w:val="none"/>
            <w:shd w:val="clear" w:color="auto" w:fill="FFFFFF"/>
          </w:rPr>
          <w:t>http://data.imf.org/?sk=7A51304B-6426-40C0-83DD-CA473CA1FD52&amp;sId=1390030341854</w:t>
        </w:r>
      </w:hyperlink>
      <w:r w:rsidRPr="00313B0E">
        <w:rPr>
          <w:sz w:val="28"/>
          <w:szCs w:val="28"/>
          <w:shd w:val="clear" w:color="auto" w:fill="FFFFFF"/>
        </w:rPr>
        <w:t>.</w:t>
      </w:r>
    </w:p>
    <w:p w:rsidR="008E26BB" w:rsidRPr="00313B0E" w:rsidRDefault="001445ED" w:rsidP="00F34517">
      <w:pPr>
        <w:pStyle w:val="a8"/>
        <w:numPr>
          <w:ilvl w:val="0"/>
          <w:numId w:val="16"/>
        </w:numPr>
        <w:spacing w:line="360" w:lineRule="auto"/>
        <w:jc w:val="both"/>
        <w:rPr>
          <w:sz w:val="28"/>
          <w:szCs w:val="28"/>
        </w:rPr>
      </w:pPr>
      <w:r w:rsidRPr="00313B0E">
        <w:rPr>
          <w:sz w:val="28"/>
          <w:szCs w:val="28"/>
        </w:rPr>
        <w:t xml:space="preserve">Акиёси Т. Преодоление факторов неопределенности и продолжение восстановления конъюнктуры умеренными темпами: перспективы японской экономики в 2022 году [Електронний ресурс] / Такумори Акиёси // Современный взгляд на Японию. – 2022. – Режим доступу до ресурсу: </w:t>
      </w:r>
      <w:hyperlink r:id="rId28" w:history="1">
        <w:r w:rsidRPr="00313B0E">
          <w:rPr>
            <w:rStyle w:val="af1"/>
            <w:color w:val="auto"/>
            <w:sz w:val="28"/>
            <w:szCs w:val="28"/>
            <w:u w:val="none"/>
          </w:rPr>
          <w:t>https://www.nippon.com/ru/in-depth/d00778/</w:t>
        </w:r>
      </w:hyperlink>
      <w:r w:rsidRPr="00313B0E">
        <w:rPr>
          <w:sz w:val="28"/>
          <w:szCs w:val="28"/>
        </w:rPr>
        <w:t>.</w:t>
      </w:r>
    </w:p>
    <w:p w:rsidR="001445ED" w:rsidRPr="00313B0E" w:rsidRDefault="009022AB" w:rsidP="00F34517">
      <w:pPr>
        <w:pStyle w:val="a8"/>
        <w:numPr>
          <w:ilvl w:val="0"/>
          <w:numId w:val="16"/>
        </w:numPr>
        <w:spacing w:line="360" w:lineRule="auto"/>
        <w:jc w:val="both"/>
        <w:rPr>
          <w:sz w:val="28"/>
          <w:szCs w:val="28"/>
          <w:shd w:val="clear" w:color="auto" w:fill="FFFFFF"/>
        </w:rPr>
      </w:pPr>
      <w:r w:rsidRPr="00313B0E">
        <w:rPr>
          <w:sz w:val="28"/>
          <w:szCs w:val="28"/>
          <w:shd w:val="clear" w:color="auto" w:fill="FFFFFF"/>
        </w:rPr>
        <w:t xml:space="preserve">Счет текущих операций Китая в первом квартале был дефицитным [Електронний ресурс] // СИНЬХУА. – 2020. – Режим доступу до ресурсу: </w:t>
      </w:r>
      <w:hyperlink r:id="rId29" w:history="1">
        <w:r w:rsidRPr="00313B0E">
          <w:rPr>
            <w:rStyle w:val="af1"/>
            <w:color w:val="auto"/>
            <w:sz w:val="28"/>
            <w:szCs w:val="28"/>
            <w:u w:val="none"/>
            <w:shd w:val="clear" w:color="auto" w:fill="FFFFFF"/>
          </w:rPr>
          <w:t>http://russian.news.cn/2020-06/26/c_139168989.htm</w:t>
        </w:r>
      </w:hyperlink>
      <w:r w:rsidRPr="00313B0E">
        <w:rPr>
          <w:sz w:val="28"/>
          <w:szCs w:val="28"/>
          <w:shd w:val="clear" w:color="auto" w:fill="FFFFFF"/>
        </w:rPr>
        <w:t>.</w:t>
      </w:r>
    </w:p>
    <w:p w:rsidR="009022AB" w:rsidRPr="00313B0E" w:rsidRDefault="009022AB" w:rsidP="00F34517">
      <w:pPr>
        <w:pStyle w:val="a8"/>
        <w:numPr>
          <w:ilvl w:val="0"/>
          <w:numId w:val="16"/>
        </w:numPr>
        <w:spacing w:line="360" w:lineRule="auto"/>
        <w:jc w:val="both"/>
        <w:rPr>
          <w:sz w:val="28"/>
          <w:szCs w:val="28"/>
          <w:shd w:val="clear" w:color="auto" w:fill="FFFFFF"/>
        </w:rPr>
      </w:pPr>
      <w:r w:rsidRPr="00313B0E">
        <w:rPr>
          <w:sz w:val="28"/>
          <w:szCs w:val="28"/>
          <w:shd w:val="clear" w:color="auto" w:fill="FFFFFF"/>
        </w:rPr>
        <w:t xml:space="preserve">Кондратенко М. Економіка Китаю зросла в 2020 році попри пандемію COVID-19 [Електронний ресурс] / Микола Кондратенко // Deutsche Welle. – 2021. – Режим доступу до ресурсу: </w:t>
      </w:r>
      <w:hyperlink r:id="rId30" w:history="1">
        <w:r w:rsidRPr="00313B0E">
          <w:rPr>
            <w:rStyle w:val="af1"/>
            <w:color w:val="auto"/>
            <w:sz w:val="28"/>
            <w:szCs w:val="28"/>
            <w:u w:val="none"/>
            <w:shd w:val="clear" w:color="auto" w:fill="FFFFFF"/>
          </w:rPr>
          <w:t>https://www.dw.com/uk/ekonomika-kytaiu-zrosla-v-2020-rotsi-popry-pandemiiu-covid-19/a-56259289</w:t>
        </w:r>
      </w:hyperlink>
      <w:r w:rsidRPr="00313B0E">
        <w:rPr>
          <w:sz w:val="28"/>
          <w:szCs w:val="28"/>
          <w:shd w:val="clear" w:color="auto" w:fill="FFFFFF"/>
        </w:rPr>
        <w:t>.</w:t>
      </w:r>
    </w:p>
    <w:p w:rsidR="009022AB" w:rsidRPr="00313B0E" w:rsidRDefault="004D3C8A" w:rsidP="00F34517">
      <w:pPr>
        <w:pStyle w:val="a8"/>
        <w:numPr>
          <w:ilvl w:val="0"/>
          <w:numId w:val="16"/>
        </w:numPr>
        <w:spacing w:line="360" w:lineRule="auto"/>
        <w:jc w:val="both"/>
        <w:rPr>
          <w:sz w:val="28"/>
          <w:szCs w:val="28"/>
          <w:shd w:val="clear" w:color="auto" w:fill="FFFFFF"/>
        </w:rPr>
      </w:pPr>
      <w:r w:rsidRPr="00313B0E">
        <w:rPr>
          <w:sz w:val="28"/>
          <w:szCs w:val="28"/>
          <w:shd w:val="clear" w:color="auto" w:fill="FFFFFF"/>
        </w:rPr>
        <w:t xml:space="preserve">Китай зафиксировал профицит счета текущих операций в 2021 году [Електронний ресурс]. – 2022. – Режим доступу до ресурсу: </w:t>
      </w:r>
      <w:hyperlink r:id="rId31" w:history="1">
        <w:r w:rsidRPr="00313B0E">
          <w:rPr>
            <w:rStyle w:val="af1"/>
            <w:color w:val="auto"/>
            <w:sz w:val="28"/>
            <w:szCs w:val="28"/>
            <w:u w:val="none"/>
            <w:shd w:val="clear" w:color="auto" w:fill="FFFFFF"/>
          </w:rPr>
          <w:t>http://russian.people.com.cn/n3/2022/0212/c31518-9956889.html</w:t>
        </w:r>
      </w:hyperlink>
      <w:r w:rsidRPr="00313B0E">
        <w:rPr>
          <w:sz w:val="28"/>
          <w:szCs w:val="28"/>
          <w:shd w:val="clear" w:color="auto" w:fill="FFFFFF"/>
        </w:rPr>
        <w:t xml:space="preserve">. </w:t>
      </w:r>
    </w:p>
    <w:p w:rsidR="004D3C8A" w:rsidRPr="00313B0E" w:rsidRDefault="00F778CC" w:rsidP="00F34517">
      <w:pPr>
        <w:pStyle w:val="a8"/>
        <w:numPr>
          <w:ilvl w:val="0"/>
          <w:numId w:val="16"/>
        </w:numPr>
        <w:spacing w:line="360" w:lineRule="auto"/>
        <w:jc w:val="both"/>
        <w:rPr>
          <w:sz w:val="28"/>
          <w:szCs w:val="28"/>
          <w:shd w:val="clear" w:color="auto" w:fill="FFFFFF"/>
        </w:rPr>
      </w:pPr>
      <w:r w:rsidRPr="00313B0E">
        <w:rPr>
          <w:sz w:val="28"/>
          <w:szCs w:val="28"/>
          <w:shd w:val="clear" w:color="auto" w:fill="FFFFFF"/>
        </w:rPr>
        <w:t xml:space="preserve">Сильченко С. Торговый баланс Японии показал дефицит впервые за 3 года [Електронний ресурс] / Сергей Сильченко // ФИНАНСОВАЯ ГАЗЕТА. – 2019. – Режим доступу до ресурсу: </w:t>
      </w:r>
      <w:hyperlink r:id="rId32" w:history="1">
        <w:r w:rsidRPr="00313B0E">
          <w:rPr>
            <w:rStyle w:val="af1"/>
            <w:color w:val="auto"/>
            <w:sz w:val="28"/>
            <w:szCs w:val="28"/>
            <w:u w:val="none"/>
            <w:shd w:val="clear" w:color="auto" w:fill="FFFFFF"/>
          </w:rPr>
          <w:t>https://fingazeta.ru/ekonomika/world/455895</w:t>
        </w:r>
      </w:hyperlink>
      <w:r w:rsidRPr="00313B0E">
        <w:rPr>
          <w:sz w:val="28"/>
          <w:szCs w:val="28"/>
          <w:shd w:val="clear" w:color="auto" w:fill="FFFFFF"/>
        </w:rPr>
        <w:t xml:space="preserve">. </w:t>
      </w:r>
    </w:p>
    <w:p w:rsidR="00F778CC" w:rsidRPr="00313B0E" w:rsidRDefault="007C4EC3" w:rsidP="00F34517">
      <w:pPr>
        <w:pStyle w:val="a8"/>
        <w:numPr>
          <w:ilvl w:val="0"/>
          <w:numId w:val="16"/>
        </w:numPr>
        <w:spacing w:line="360" w:lineRule="auto"/>
        <w:jc w:val="both"/>
        <w:rPr>
          <w:sz w:val="28"/>
          <w:szCs w:val="28"/>
          <w:shd w:val="clear" w:color="auto" w:fill="FFFFFF"/>
        </w:rPr>
      </w:pPr>
      <w:r w:rsidRPr="00313B0E">
        <w:rPr>
          <w:sz w:val="28"/>
          <w:szCs w:val="28"/>
          <w:shd w:val="clear" w:color="auto" w:fill="FFFFFF"/>
        </w:rPr>
        <w:t xml:space="preserve">Экономика Китая показала рекордный рост на фоне улучшения ситуации с коронавирусом [Електронний ресурс] // BBC NEWS. – 2021. – Режим доступу до ресурсу: </w:t>
      </w:r>
      <w:hyperlink r:id="rId33" w:history="1">
        <w:r w:rsidRPr="00313B0E">
          <w:rPr>
            <w:rStyle w:val="af1"/>
            <w:color w:val="auto"/>
            <w:sz w:val="28"/>
            <w:szCs w:val="28"/>
            <w:u w:val="none"/>
            <w:shd w:val="clear" w:color="auto" w:fill="FFFFFF"/>
          </w:rPr>
          <w:t>https://www.bbc.com/russian/news-56770610</w:t>
        </w:r>
      </w:hyperlink>
      <w:r w:rsidRPr="00313B0E">
        <w:rPr>
          <w:sz w:val="28"/>
          <w:szCs w:val="28"/>
          <w:shd w:val="clear" w:color="auto" w:fill="FFFFFF"/>
        </w:rPr>
        <w:t xml:space="preserve">. </w:t>
      </w:r>
    </w:p>
    <w:p w:rsidR="007C4EC3" w:rsidRPr="00313B0E" w:rsidRDefault="00033631" w:rsidP="00F34517">
      <w:pPr>
        <w:pStyle w:val="a8"/>
        <w:numPr>
          <w:ilvl w:val="0"/>
          <w:numId w:val="16"/>
        </w:numPr>
        <w:spacing w:line="360" w:lineRule="auto"/>
        <w:jc w:val="both"/>
        <w:rPr>
          <w:sz w:val="28"/>
          <w:szCs w:val="28"/>
        </w:rPr>
      </w:pPr>
      <w:r w:rsidRPr="00313B0E">
        <w:rPr>
          <w:sz w:val="28"/>
          <w:szCs w:val="28"/>
        </w:rPr>
        <w:t>Ерфан Є. А., Посипанко О. А. Китай як центр тяжіння прямих іноземних інвестицій [Електронний ресурс] / Є.</w:t>
      </w:r>
      <w:r w:rsidR="006F5A52" w:rsidRPr="00313B0E">
        <w:rPr>
          <w:sz w:val="28"/>
          <w:szCs w:val="28"/>
        </w:rPr>
        <w:t xml:space="preserve"> </w:t>
      </w:r>
      <w:r w:rsidRPr="00313B0E">
        <w:rPr>
          <w:sz w:val="28"/>
          <w:szCs w:val="28"/>
        </w:rPr>
        <w:t xml:space="preserve">А. Ерфан, О. А. Посипанко. // ЕКОНОМІКА І СУСПІЛЬСТВО. – 2017. - № 12. – С. 37-43. – Режим доступу до ресурсу: </w:t>
      </w:r>
      <w:hyperlink r:id="rId34" w:history="1">
        <w:r w:rsidRPr="00313B0E">
          <w:rPr>
            <w:rStyle w:val="af1"/>
            <w:color w:val="auto"/>
            <w:sz w:val="28"/>
            <w:szCs w:val="28"/>
            <w:u w:val="none"/>
          </w:rPr>
          <w:t>https://economyandsociety.in.ua/journals/12_ukr/6.pdf</w:t>
        </w:r>
      </w:hyperlink>
      <w:r w:rsidRPr="00313B0E">
        <w:rPr>
          <w:sz w:val="28"/>
          <w:szCs w:val="28"/>
        </w:rPr>
        <w:t>.</w:t>
      </w:r>
    </w:p>
    <w:p w:rsidR="00033631" w:rsidRPr="00313B0E" w:rsidRDefault="006F5A52" w:rsidP="00F34517">
      <w:pPr>
        <w:pStyle w:val="a8"/>
        <w:numPr>
          <w:ilvl w:val="0"/>
          <w:numId w:val="16"/>
        </w:numPr>
        <w:spacing w:line="360" w:lineRule="auto"/>
        <w:jc w:val="both"/>
        <w:rPr>
          <w:sz w:val="28"/>
          <w:szCs w:val="28"/>
          <w:shd w:val="clear" w:color="auto" w:fill="FFFFFF"/>
        </w:rPr>
      </w:pPr>
      <w:r w:rsidRPr="00313B0E">
        <w:rPr>
          <w:sz w:val="28"/>
          <w:szCs w:val="28"/>
          <w:shd w:val="clear" w:color="auto" w:fill="FFFFFF"/>
        </w:rPr>
        <w:t xml:space="preserve">Прямі іноземні інвестиції в Японії [Електронний ресурс] // REL Investments Group. – 2020. – Режим доступу до ресурсу: </w:t>
      </w:r>
      <w:hyperlink r:id="rId35" w:history="1">
        <w:r w:rsidRPr="00313B0E">
          <w:rPr>
            <w:rStyle w:val="af1"/>
            <w:color w:val="auto"/>
            <w:sz w:val="28"/>
            <w:szCs w:val="28"/>
            <w:u w:val="none"/>
            <w:shd w:val="clear" w:color="auto" w:fill="FFFFFF"/>
          </w:rPr>
          <w:t>https://www.relinvestmentsgroup.com/ua/novosti/prjamye-inostrannye-investicii-v-japonii.htm</w:t>
        </w:r>
      </w:hyperlink>
      <w:r w:rsidRPr="00313B0E">
        <w:rPr>
          <w:sz w:val="28"/>
          <w:szCs w:val="28"/>
          <w:shd w:val="clear" w:color="auto" w:fill="FFFFFF"/>
        </w:rPr>
        <w:t>.</w:t>
      </w:r>
    </w:p>
    <w:p w:rsidR="006F5A52" w:rsidRPr="00313B0E" w:rsidRDefault="0055691D" w:rsidP="00F34517">
      <w:pPr>
        <w:pStyle w:val="a8"/>
        <w:numPr>
          <w:ilvl w:val="0"/>
          <w:numId w:val="16"/>
        </w:numPr>
        <w:spacing w:line="360" w:lineRule="auto"/>
        <w:jc w:val="both"/>
        <w:rPr>
          <w:sz w:val="28"/>
          <w:szCs w:val="28"/>
          <w:shd w:val="clear" w:color="auto" w:fill="FFFFFF"/>
        </w:rPr>
      </w:pPr>
      <w:r w:rsidRPr="00313B0E">
        <w:rPr>
          <w:sz w:val="28"/>
          <w:szCs w:val="28"/>
          <w:shd w:val="clear" w:color="auto" w:fill="FFFFFF"/>
        </w:rPr>
        <w:t xml:space="preserve">В 2021 году прямые иностранные инвестиции в Китай достигли рекордного уровня [Електронний ресурс] // СИНЬХУА. – 2022. – Режим доступу до ресурсу: </w:t>
      </w:r>
      <w:hyperlink r:id="rId36" w:history="1">
        <w:r w:rsidRPr="00313B0E">
          <w:rPr>
            <w:rStyle w:val="af1"/>
            <w:color w:val="auto"/>
            <w:sz w:val="28"/>
            <w:szCs w:val="28"/>
            <w:u w:val="none"/>
            <w:shd w:val="clear" w:color="auto" w:fill="FFFFFF"/>
          </w:rPr>
          <w:t>http://russian.news.cn/2022-01/14/c_1310422908.htm</w:t>
        </w:r>
      </w:hyperlink>
      <w:r w:rsidRPr="00313B0E">
        <w:rPr>
          <w:sz w:val="28"/>
          <w:szCs w:val="28"/>
          <w:shd w:val="clear" w:color="auto" w:fill="FFFFFF"/>
        </w:rPr>
        <w:t>.</w:t>
      </w:r>
    </w:p>
    <w:p w:rsidR="00C46BC9" w:rsidRPr="00313B0E" w:rsidRDefault="00C46BC9" w:rsidP="00F34517">
      <w:pPr>
        <w:pStyle w:val="a8"/>
        <w:numPr>
          <w:ilvl w:val="0"/>
          <w:numId w:val="16"/>
        </w:numPr>
        <w:spacing w:line="360" w:lineRule="auto"/>
        <w:jc w:val="both"/>
        <w:rPr>
          <w:sz w:val="28"/>
          <w:szCs w:val="28"/>
          <w:shd w:val="clear" w:color="auto" w:fill="FFFFFF"/>
        </w:rPr>
      </w:pPr>
      <w:r w:rsidRPr="00313B0E">
        <w:rPr>
          <w:sz w:val="28"/>
          <w:szCs w:val="28"/>
          <w:shd w:val="clear" w:color="auto" w:fill="FFFFFF"/>
        </w:rPr>
        <w:t xml:space="preserve">Валютна політика. Діяльність центрального банку з управління золотовалютними резервами [Електронний ресурс] // Студентська бібліотека Букліб. – 2007. – Режим доступу до ресурсу: </w:t>
      </w:r>
      <w:hyperlink r:id="rId37" w:history="1">
        <w:r w:rsidRPr="00313B0E">
          <w:rPr>
            <w:rStyle w:val="af1"/>
            <w:color w:val="auto"/>
            <w:sz w:val="28"/>
            <w:szCs w:val="28"/>
            <w:u w:val="none"/>
            <w:shd w:val="clear" w:color="auto" w:fill="FFFFFF"/>
          </w:rPr>
          <w:t>https://buklib.net/books/28389/</w:t>
        </w:r>
      </w:hyperlink>
      <w:r w:rsidRPr="00313B0E">
        <w:rPr>
          <w:sz w:val="28"/>
          <w:szCs w:val="28"/>
          <w:shd w:val="clear" w:color="auto" w:fill="FFFFFF"/>
        </w:rPr>
        <w:t>.</w:t>
      </w:r>
    </w:p>
    <w:p w:rsidR="00C46BC9" w:rsidRPr="00313B0E" w:rsidRDefault="00C46BC9" w:rsidP="00F34517">
      <w:pPr>
        <w:pStyle w:val="a8"/>
        <w:numPr>
          <w:ilvl w:val="0"/>
          <w:numId w:val="16"/>
        </w:numPr>
        <w:spacing w:line="360" w:lineRule="auto"/>
        <w:jc w:val="both"/>
        <w:rPr>
          <w:sz w:val="28"/>
          <w:szCs w:val="28"/>
          <w:shd w:val="clear" w:color="auto" w:fill="FFFFFF"/>
        </w:rPr>
      </w:pPr>
      <w:r w:rsidRPr="00313B0E">
        <w:rPr>
          <w:sz w:val="28"/>
          <w:szCs w:val="28"/>
          <w:shd w:val="clear" w:color="auto" w:fill="FFFFFF"/>
        </w:rPr>
        <w:t xml:space="preserve">Глосарій банківської термінології. Похідні фінансові інструменти (деривативи) [Електронний ресурс] // Національний банк України. – 2001. – Режим доступу до ресурсу: </w:t>
      </w:r>
      <w:hyperlink r:id="rId38" w:history="1">
        <w:r w:rsidRPr="00313B0E">
          <w:rPr>
            <w:rStyle w:val="af1"/>
            <w:color w:val="auto"/>
            <w:sz w:val="28"/>
            <w:szCs w:val="28"/>
            <w:u w:val="none"/>
            <w:shd w:val="clear" w:color="auto" w:fill="FFFFFF"/>
          </w:rPr>
          <w:t>https://old.bank.gov.ua/control/uk/publish/article?art_id=123545</w:t>
        </w:r>
      </w:hyperlink>
      <w:r w:rsidRPr="00313B0E">
        <w:rPr>
          <w:sz w:val="28"/>
          <w:szCs w:val="28"/>
          <w:shd w:val="clear" w:color="auto" w:fill="FFFFFF"/>
        </w:rPr>
        <w:t xml:space="preserve">. </w:t>
      </w:r>
    </w:p>
    <w:p w:rsidR="00206CEE" w:rsidRPr="00313B0E" w:rsidRDefault="00E43AB3" w:rsidP="00F34517">
      <w:pPr>
        <w:pStyle w:val="a8"/>
        <w:numPr>
          <w:ilvl w:val="0"/>
          <w:numId w:val="16"/>
        </w:numPr>
        <w:spacing w:line="360" w:lineRule="auto"/>
        <w:jc w:val="both"/>
        <w:rPr>
          <w:sz w:val="28"/>
          <w:szCs w:val="28"/>
          <w:shd w:val="clear" w:color="auto" w:fill="FFFFFF"/>
        </w:rPr>
      </w:pPr>
      <w:r w:rsidRPr="00313B0E">
        <w:rPr>
          <w:sz w:val="28"/>
          <w:szCs w:val="28"/>
          <w:shd w:val="clear" w:color="auto" w:fill="FFFFFF"/>
        </w:rPr>
        <w:t xml:space="preserve"> National Currency to US Dollar Exchange Rate: Average of Daily Rates for Japan [Електронний ресурс] // FRED Economic Data. - Режим доступу до ресурсу: </w:t>
      </w:r>
      <w:hyperlink r:id="rId39" w:history="1">
        <w:r w:rsidRPr="00313B0E">
          <w:rPr>
            <w:rStyle w:val="af1"/>
            <w:color w:val="auto"/>
            <w:sz w:val="28"/>
            <w:szCs w:val="28"/>
            <w:u w:val="none"/>
            <w:shd w:val="clear" w:color="auto" w:fill="FFFFFF"/>
          </w:rPr>
          <w:t>https://fred.stlouisfed.org/series/CCUSMA02JPA618N#</w:t>
        </w:r>
      </w:hyperlink>
      <w:r w:rsidRPr="00313B0E">
        <w:rPr>
          <w:sz w:val="28"/>
          <w:szCs w:val="28"/>
          <w:shd w:val="clear" w:color="auto" w:fill="FFFFFF"/>
        </w:rPr>
        <w:t>.</w:t>
      </w:r>
    </w:p>
    <w:p w:rsidR="00E43AB3" w:rsidRPr="00313B0E" w:rsidRDefault="008861C5" w:rsidP="00F34517">
      <w:pPr>
        <w:pStyle w:val="a8"/>
        <w:numPr>
          <w:ilvl w:val="0"/>
          <w:numId w:val="16"/>
        </w:numPr>
        <w:spacing w:line="360" w:lineRule="auto"/>
        <w:jc w:val="both"/>
        <w:rPr>
          <w:sz w:val="28"/>
          <w:szCs w:val="28"/>
          <w:shd w:val="clear" w:color="auto" w:fill="FFFFFF"/>
        </w:rPr>
      </w:pPr>
      <w:r w:rsidRPr="00313B0E">
        <w:rPr>
          <w:sz w:val="28"/>
          <w:szCs w:val="28"/>
          <w:shd w:val="clear" w:color="auto" w:fill="FFFFFF"/>
        </w:rPr>
        <w:t xml:space="preserve">National Currency to US Dollar Exchange Rate: Average of Daily Rates for China [Електронний ресурс] // FRED Economic Data. – Режим доступу до ресурсу: </w:t>
      </w:r>
      <w:hyperlink r:id="rId40" w:anchor="0" w:history="1">
        <w:r w:rsidRPr="00313B0E">
          <w:rPr>
            <w:rStyle w:val="af1"/>
            <w:color w:val="auto"/>
            <w:sz w:val="28"/>
            <w:szCs w:val="28"/>
            <w:u w:val="none"/>
            <w:shd w:val="clear" w:color="auto" w:fill="FFFFFF"/>
          </w:rPr>
          <w:t>https://fred.stlouisfed.org/series/CCUSMA02CNM618N#0</w:t>
        </w:r>
      </w:hyperlink>
      <w:r w:rsidRPr="00313B0E">
        <w:rPr>
          <w:sz w:val="28"/>
          <w:szCs w:val="28"/>
          <w:shd w:val="clear" w:color="auto" w:fill="FFFFFF"/>
        </w:rPr>
        <w:t>.</w:t>
      </w:r>
    </w:p>
    <w:p w:rsidR="008861C5" w:rsidRPr="00313B0E" w:rsidRDefault="008861C5" w:rsidP="00F34517">
      <w:pPr>
        <w:pStyle w:val="a8"/>
        <w:numPr>
          <w:ilvl w:val="0"/>
          <w:numId w:val="16"/>
        </w:numPr>
        <w:spacing w:line="360" w:lineRule="auto"/>
        <w:jc w:val="both"/>
        <w:rPr>
          <w:sz w:val="28"/>
          <w:szCs w:val="28"/>
        </w:rPr>
      </w:pPr>
      <w:r w:rsidRPr="00313B0E">
        <w:rPr>
          <w:sz w:val="28"/>
          <w:szCs w:val="28"/>
          <w:shd w:val="clear" w:color="auto" w:fill="FFFFFF"/>
        </w:rPr>
        <w:t xml:space="preserve">THE WORLD BANK. DataBank - World Development Indicators [Електронний ресурс] – Режим доступу до ресурсу: </w:t>
      </w:r>
      <w:hyperlink r:id="rId41" w:history="1">
        <w:r w:rsidRPr="00313B0E">
          <w:rPr>
            <w:rStyle w:val="af1"/>
            <w:color w:val="auto"/>
            <w:sz w:val="28"/>
            <w:szCs w:val="28"/>
            <w:u w:val="none"/>
            <w:shd w:val="clear" w:color="auto" w:fill="FFFFFF"/>
          </w:rPr>
          <w:t>https://databank.worldbank.org/reports.aspx?source=world-development-indicators</w:t>
        </w:r>
      </w:hyperlink>
      <w:r w:rsidRPr="00313B0E">
        <w:rPr>
          <w:sz w:val="28"/>
          <w:szCs w:val="28"/>
          <w:shd w:val="clear" w:color="auto" w:fill="FFFFFF"/>
        </w:rPr>
        <w:t>.</w:t>
      </w:r>
    </w:p>
    <w:p w:rsidR="008861C5" w:rsidRPr="00313B0E" w:rsidRDefault="00D327FC" w:rsidP="00F34517">
      <w:pPr>
        <w:pStyle w:val="a8"/>
        <w:numPr>
          <w:ilvl w:val="0"/>
          <w:numId w:val="16"/>
        </w:numPr>
        <w:spacing w:line="360" w:lineRule="auto"/>
        <w:jc w:val="both"/>
        <w:rPr>
          <w:sz w:val="28"/>
          <w:szCs w:val="28"/>
          <w:shd w:val="clear" w:color="auto" w:fill="FFFFFF"/>
        </w:rPr>
      </w:pPr>
      <w:r w:rsidRPr="00313B0E">
        <w:rPr>
          <w:sz w:val="28"/>
          <w:szCs w:val="28"/>
        </w:rPr>
        <w:t xml:space="preserve">Economist Intelligence Unit reports. Government Expenditures. Asia. Japan </w:t>
      </w:r>
      <w:r w:rsidRPr="00313B0E">
        <w:rPr>
          <w:sz w:val="28"/>
          <w:szCs w:val="28"/>
          <w:shd w:val="clear" w:color="auto" w:fill="FFFFFF"/>
        </w:rPr>
        <w:t xml:space="preserve">[Електронний ресурс] – 2015. – Режим доступу до ресурсу: </w:t>
      </w:r>
      <w:hyperlink r:id="rId42" w:history="1">
        <w:r w:rsidRPr="00313B0E">
          <w:rPr>
            <w:rStyle w:val="af1"/>
            <w:color w:val="auto"/>
            <w:sz w:val="28"/>
            <w:szCs w:val="28"/>
            <w:u w:val="none"/>
            <w:shd w:val="clear" w:color="auto" w:fill="FFFFFF"/>
          </w:rPr>
          <w:t>https://docs.google.com/spreadsheets/d/1-D1rOjcXPwEya-OHTsX9fnvV_JKb8QDB/edit?pli=1#</w:t>
        </w:r>
      </w:hyperlink>
      <w:r w:rsidRPr="00313B0E">
        <w:rPr>
          <w:sz w:val="28"/>
          <w:szCs w:val="28"/>
          <w:shd w:val="clear" w:color="auto" w:fill="FFFFFF"/>
        </w:rPr>
        <w:t>.</w:t>
      </w:r>
    </w:p>
    <w:p w:rsidR="00D327FC" w:rsidRPr="00313B0E" w:rsidRDefault="00D327FC" w:rsidP="00F34517">
      <w:pPr>
        <w:pStyle w:val="a8"/>
        <w:numPr>
          <w:ilvl w:val="0"/>
          <w:numId w:val="16"/>
        </w:numPr>
        <w:spacing w:line="360" w:lineRule="auto"/>
        <w:jc w:val="both"/>
        <w:rPr>
          <w:sz w:val="28"/>
          <w:szCs w:val="28"/>
          <w:shd w:val="clear" w:color="auto" w:fill="FFFFFF"/>
        </w:rPr>
      </w:pPr>
      <w:r w:rsidRPr="00313B0E">
        <w:rPr>
          <w:sz w:val="28"/>
          <w:szCs w:val="28"/>
        </w:rPr>
        <w:t xml:space="preserve">Economist Intelligence Unit reports. Government Expenditures. Asia. China </w:t>
      </w:r>
      <w:r w:rsidRPr="00313B0E">
        <w:rPr>
          <w:sz w:val="28"/>
          <w:szCs w:val="28"/>
          <w:shd w:val="clear" w:color="auto" w:fill="FFFFFF"/>
        </w:rPr>
        <w:t xml:space="preserve">[Електронний ресурс] – 2015. – Режим доступу до ресурсу: </w:t>
      </w:r>
      <w:hyperlink r:id="rId43" w:anchor="gid=1108029654" w:history="1">
        <w:r w:rsidRPr="00313B0E">
          <w:rPr>
            <w:rStyle w:val="af1"/>
            <w:color w:val="auto"/>
            <w:sz w:val="28"/>
            <w:szCs w:val="28"/>
            <w:u w:val="none"/>
            <w:shd w:val="clear" w:color="auto" w:fill="FFFFFF"/>
          </w:rPr>
          <w:t>https://docs.google.com/spreadsheets/d/1-D1rOjcXPwEya-OHTsX9fnvV_JKb8QDB/edit?pli=1#gid=1108029654</w:t>
        </w:r>
      </w:hyperlink>
      <w:r w:rsidRPr="00313B0E">
        <w:rPr>
          <w:sz w:val="28"/>
          <w:szCs w:val="28"/>
          <w:shd w:val="clear" w:color="auto" w:fill="FFFFFF"/>
        </w:rPr>
        <w:t>.</w:t>
      </w:r>
    </w:p>
    <w:p w:rsidR="00206CEE" w:rsidRPr="00313B0E" w:rsidRDefault="00D327FC" w:rsidP="00F34517">
      <w:pPr>
        <w:pStyle w:val="a8"/>
        <w:numPr>
          <w:ilvl w:val="0"/>
          <w:numId w:val="16"/>
        </w:numPr>
        <w:spacing w:line="360" w:lineRule="auto"/>
        <w:jc w:val="both"/>
        <w:rPr>
          <w:sz w:val="28"/>
          <w:szCs w:val="28"/>
          <w:shd w:val="clear" w:color="auto" w:fill="FFFFFF"/>
        </w:rPr>
      </w:pPr>
      <w:r w:rsidRPr="00313B0E">
        <w:rPr>
          <w:sz w:val="28"/>
          <w:szCs w:val="28"/>
          <w:shd w:val="clear" w:color="auto" w:fill="FFFFFF"/>
        </w:rPr>
        <w:t xml:space="preserve"> </w:t>
      </w:r>
      <w:r w:rsidRPr="00313B0E">
        <w:rPr>
          <w:sz w:val="28"/>
          <w:szCs w:val="28"/>
        </w:rPr>
        <w:t xml:space="preserve">Economist Intelligence Unit reports. Country Report. Asia. China and Japan </w:t>
      </w:r>
      <w:r w:rsidRPr="00313B0E">
        <w:rPr>
          <w:sz w:val="28"/>
          <w:szCs w:val="28"/>
          <w:shd w:val="clear" w:color="auto" w:fill="FFFFFF"/>
        </w:rPr>
        <w:t xml:space="preserve">[Електронний ресурс] – 2021. – Режим доступу до ресурсу: </w:t>
      </w:r>
      <w:hyperlink r:id="rId44" w:history="1">
        <w:r w:rsidRPr="00313B0E">
          <w:rPr>
            <w:rStyle w:val="af1"/>
            <w:color w:val="auto"/>
            <w:sz w:val="28"/>
            <w:szCs w:val="28"/>
            <w:u w:val="none"/>
            <w:shd w:val="clear" w:color="auto" w:fill="FFFFFF"/>
          </w:rPr>
          <w:t>https://drive.google.com/drive/u/1/folders/1aTZPGncpc95HAv1JG92Dx5X-6K8iWLeI</w:t>
        </w:r>
      </w:hyperlink>
      <w:r w:rsidRPr="00313B0E">
        <w:rPr>
          <w:sz w:val="28"/>
          <w:szCs w:val="28"/>
          <w:shd w:val="clear" w:color="auto" w:fill="FFFFFF"/>
        </w:rPr>
        <w:t>.</w:t>
      </w:r>
    </w:p>
    <w:p w:rsidR="00C46BC9" w:rsidRPr="00313B0E" w:rsidRDefault="00C46BC9" w:rsidP="00F34517">
      <w:pPr>
        <w:pStyle w:val="a8"/>
        <w:numPr>
          <w:ilvl w:val="0"/>
          <w:numId w:val="16"/>
        </w:numPr>
        <w:spacing w:line="360" w:lineRule="auto"/>
        <w:jc w:val="both"/>
        <w:rPr>
          <w:sz w:val="28"/>
          <w:szCs w:val="28"/>
          <w:shd w:val="clear" w:color="auto" w:fill="FFFFFF"/>
        </w:rPr>
      </w:pPr>
      <w:bookmarkStart w:id="2" w:name="_Hlk103241561"/>
      <w:r w:rsidRPr="00313B0E">
        <w:rPr>
          <w:sz w:val="28"/>
          <w:szCs w:val="28"/>
          <w:shd w:val="clear" w:color="auto" w:fill="FFFFFF"/>
        </w:rPr>
        <w:t xml:space="preserve"> </w:t>
      </w:r>
      <w:r w:rsidR="00D6215C" w:rsidRPr="00313B0E">
        <w:rPr>
          <w:sz w:val="28"/>
          <w:szCs w:val="28"/>
          <w:shd w:val="clear" w:color="auto" w:fill="FFFFFF"/>
        </w:rPr>
        <w:t xml:space="preserve">Карпова К. Carry Trade [Електронний ресурс] / Ксения Карпова. – 2021. – Режим доступу до ресурсу: </w:t>
      </w:r>
      <w:hyperlink r:id="rId45" w:history="1">
        <w:r w:rsidR="00D6215C" w:rsidRPr="00313B0E">
          <w:rPr>
            <w:rStyle w:val="af1"/>
            <w:color w:val="auto"/>
            <w:sz w:val="28"/>
            <w:szCs w:val="28"/>
            <w:u w:val="none"/>
            <w:shd w:val="clear" w:color="auto" w:fill="FFFFFF"/>
          </w:rPr>
          <w:t>https://secretmag.ru/enciklopediya/chto-takoe-carry-trade-obyasnyaem-prostymi-slovami.htm</w:t>
        </w:r>
      </w:hyperlink>
      <w:r w:rsidR="00D6215C" w:rsidRPr="00313B0E">
        <w:rPr>
          <w:sz w:val="28"/>
          <w:szCs w:val="28"/>
          <w:shd w:val="clear" w:color="auto" w:fill="FFFFFF"/>
        </w:rPr>
        <w:t>.</w:t>
      </w:r>
    </w:p>
    <w:p w:rsidR="00D6215C" w:rsidRPr="00313B0E" w:rsidRDefault="00922E48" w:rsidP="00F34517">
      <w:pPr>
        <w:pStyle w:val="a8"/>
        <w:numPr>
          <w:ilvl w:val="0"/>
          <w:numId w:val="16"/>
        </w:numPr>
        <w:spacing w:line="360" w:lineRule="auto"/>
        <w:jc w:val="both"/>
        <w:rPr>
          <w:sz w:val="28"/>
          <w:szCs w:val="28"/>
          <w:shd w:val="clear" w:color="auto" w:fill="FFFFFF"/>
        </w:rPr>
      </w:pPr>
      <w:r w:rsidRPr="00313B0E">
        <w:rPr>
          <w:sz w:val="28"/>
          <w:szCs w:val="28"/>
          <w:shd w:val="clear" w:color="auto" w:fill="FFFFFF"/>
        </w:rPr>
        <w:t>L</w:t>
      </w:r>
      <w:r w:rsidR="008F5F7F" w:rsidRPr="00313B0E">
        <w:rPr>
          <w:sz w:val="28"/>
          <w:szCs w:val="28"/>
          <w:shd w:val="clear" w:color="auto" w:fill="FFFFFF"/>
        </w:rPr>
        <w:t>e</w:t>
      </w:r>
      <w:r w:rsidRPr="00313B0E">
        <w:rPr>
          <w:sz w:val="28"/>
          <w:szCs w:val="28"/>
          <w:shd w:val="clear" w:color="auto" w:fill="FFFFFF"/>
        </w:rPr>
        <w:t xml:space="preserve">nding Rate [Електронний ресурс] // TRADING ECONOMICS. – 2022. – Режим доступу до ресурсу: </w:t>
      </w:r>
      <w:hyperlink r:id="rId46" w:history="1">
        <w:r w:rsidRPr="00313B0E">
          <w:rPr>
            <w:rStyle w:val="af1"/>
            <w:color w:val="auto"/>
            <w:sz w:val="28"/>
            <w:szCs w:val="28"/>
            <w:u w:val="none"/>
            <w:shd w:val="clear" w:color="auto" w:fill="FFFFFF"/>
          </w:rPr>
          <w:t>https://tradingeconomics.com/country-list/lending-rate</w:t>
        </w:r>
      </w:hyperlink>
      <w:r w:rsidRPr="00313B0E">
        <w:rPr>
          <w:sz w:val="28"/>
          <w:szCs w:val="28"/>
          <w:shd w:val="clear" w:color="auto" w:fill="FFFFFF"/>
        </w:rPr>
        <w:t>.</w:t>
      </w:r>
    </w:p>
    <w:p w:rsidR="00922E48" w:rsidRPr="00313B0E" w:rsidRDefault="009937E2" w:rsidP="00F34517">
      <w:pPr>
        <w:pStyle w:val="a8"/>
        <w:numPr>
          <w:ilvl w:val="0"/>
          <w:numId w:val="16"/>
        </w:numPr>
        <w:spacing w:line="360" w:lineRule="auto"/>
        <w:jc w:val="both"/>
        <w:rPr>
          <w:sz w:val="28"/>
          <w:szCs w:val="28"/>
          <w:shd w:val="clear" w:color="auto" w:fill="FFFFFF"/>
        </w:rPr>
      </w:pPr>
      <w:r w:rsidRPr="00313B0E">
        <w:rPr>
          <w:sz w:val="28"/>
          <w:szCs w:val="28"/>
          <w:shd w:val="clear" w:color="auto" w:fill="FFFFFF"/>
        </w:rPr>
        <w:t xml:space="preserve">Xe Currency Converter [Електронний ресурс] – Режим доступу до ресурсу: </w:t>
      </w:r>
      <w:hyperlink r:id="rId47" w:history="1">
        <w:r w:rsidRPr="00313B0E">
          <w:rPr>
            <w:rStyle w:val="af1"/>
            <w:color w:val="auto"/>
            <w:sz w:val="28"/>
            <w:szCs w:val="28"/>
            <w:u w:val="none"/>
            <w:shd w:val="clear" w:color="auto" w:fill="FFFFFF"/>
          </w:rPr>
          <w:t>https://www.xe.com/currencyconverter/convert/?Amount=1&amp;From=DKK&amp;To=UAH</w:t>
        </w:r>
      </w:hyperlink>
      <w:r w:rsidRPr="00313B0E">
        <w:rPr>
          <w:sz w:val="28"/>
          <w:szCs w:val="28"/>
          <w:shd w:val="clear" w:color="auto" w:fill="FFFFFF"/>
        </w:rPr>
        <w:t>.</w:t>
      </w:r>
    </w:p>
    <w:p w:rsidR="009937E2" w:rsidRPr="00313B0E" w:rsidRDefault="009937E2" w:rsidP="00F34517">
      <w:pPr>
        <w:pStyle w:val="a8"/>
        <w:numPr>
          <w:ilvl w:val="0"/>
          <w:numId w:val="16"/>
        </w:numPr>
        <w:spacing w:line="360" w:lineRule="auto"/>
        <w:jc w:val="both"/>
        <w:rPr>
          <w:sz w:val="28"/>
          <w:szCs w:val="28"/>
          <w:shd w:val="clear" w:color="auto" w:fill="FFFFFF"/>
        </w:rPr>
      </w:pPr>
      <w:r w:rsidRPr="00313B0E">
        <w:rPr>
          <w:sz w:val="28"/>
          <w:szCs w:val="28"/>
          <w:shd w:val="clear" w:color="auto" w:fill="FFFFFF"/>
        </w:rPr>
        <w:t xml:space="preserve">Government Bonds [Електронний ресурс] // Investing.com – Режим доступу до ресурсу: </w:t>
      </w:r>
      <w:hyperlink r:id="rId48" w:history="1">
        <w:r w:rsidRPr="00313B0E">
          <w:rPr>
            <w:rStyle w:val="af1"/>
            <w:color w:val="auto"/>
            <w:sz w:val="28"/>
            <w:szCs w:val="28"/>
            <w:u w:val="none"/>
            <w:shd w:val="clear" w:color="auto" w:fill="FFFFFF"/>
          </w:rPr>
          <w:t>https://www.investing.com/rates-bonds/ukraine-government-bonds?maturity_from=90&amp;maturity_to=110</w:t>
        </w:r>
      </w:hyperlink>
      <w:r w:rsidRPr="00313B0E">
        <w:rPr>
          <w:sz w:val="28"/>
          <w:szCs w:val="28"/>
          <w:shd w:val="clear" w:color="auto" w:fill="FFFFFF"/>
        </w:rPr>
        <w:t>.</w:t>
      </w:r>
    </w:p>
    <w:p w:rsidR="008F5F7F" w:rsidRPr="00313B0E" w:rsidRDefault="008F5F7F" w:rsidP="00F34517">
      <w:pPr>
        <w:pStyle w:val="a8"/>
        <w:numPr>
          <w:ilvl w:val="0"/>
          <w:numId w:val="16"/>
        </w:numPr>
        <w:spacing w:line="360" w:lineRule="auto"/>
        <w:jc w:val="both"/>
        <w:rPr>
          <w:sz w:val="28"/>
          <w:szCs w:val="28"/>
          <w:shd w:val="clear" w:color="auto" w:fill="FFFFFF"/>
        </w:rPr>
      </w:pPr>
      <w:r w:rsidRPr="00313B0E">
        <w:rPr>
          <w:sz w:val="28"/>
          <w:szCs w:val="28"/>
          <w:shd w:val="clear" w:color="auto" w:fill="FFFFFF"/>
        </w:rPr>
        <w:t xml:space="preserve">Державна служба статистики України. Географічна структура зовнішньої торгівлі України товарами [Електронний ресурс] – Режим доступу до ресурсу: </w:t>
      </w:r>
      <w:hyperlink r:id="rId49" w:history="1">
        <w:r w:rsidRPr="00313B0E">
          <w:rPr>
            <w:rStyle w:val="af1"/>
            <w:color w:val="auto"/>
            <w:sz w:val="28"/>
            <w:szCs w:val="28"/>
            <w:u w:val="none"/>
            <w:shd w:val="clear" w:color="auto" w:fill="FFFFFF"/>
          </w:rPr>
          <w:t>http://www.ukrstat.gov.ua/operativ/operativ2021/zd/ztt/ztt_u/arh_ztt2021.html</w:t>
        </w:r>
      </w:hyperlink>
      <w:r w:rsidRPr="00313B0E">
        <w:rPr>
          <w:sz w:val="28"/>
          <w:szCs w:val="28"/>
          <w:shd w:val="clear" w:color="auto" w:fill="FFFFFF"/>
        </w:rPr>
        <w:t>.</w:t>
      </w:r>
    </w:p>
    <w:p w:rsidR="008F5F7F" w:rsidRPr="00313B0E" w:rsidRDefault="008F5F7F" w:rsidP="00F34517">
      <w:pPr>
        <w:pStyle w:val="a8"/>
        <w:numPr>
          <w:ilvl w:val="0"/>
          <w:numId w:val="16"/>
        </w:numPr>
        <w:spacing w:line="360" w:lineRule="auto"/>
        <w:jc w:val="both"/>
        <w:rPr>
          <w:sz w:val="28"/>
          <w:szCs w:val="28"/>
          <w:shd w:val="clear" w:color="auto" w:fill="FFFFFF"/>
        </w:rPr>
      </w:pPr>
      <w:r w:rsidRPr="00313B0E">
        <w:rPr>
          <w:sz w:val="28"/>
          <w:szCs w:val="28"/>
          <w:shd w:val="clear" w:color="auto" w:fill="FFFFFF"/>
        </w:rPr>
        <w:t xml:space="preserve">Огляд торговельної політики Японії </w:t>
      </w:r>
      <w:r w:rsidR="0067103D" w:rsidRPr="00313B0E">
        <w:rPr>
          <w:sz w:val="28"/>
          <w:szCs w:val="28"/>
          <w:shd w:val="clear" w:color="auto" w:fill="FFFFFF"/>
        </w:rPr>
        <w:t xml:space="preserve">[Електронний ресурс] // Міністерство економіки України. Департамент багатосторонніх та двосторонніх торговельних угод. – 2020. – Режим доступу до ресурсу: </w:t>
      </w:r>
      <w:hyperlink r:id="rId50" w:history="1">
        <w:r w:rsidR="0067103D" w:rsidRPr="00313B0E">
          <w:rPr>
            <w:rStyle w:val="af1"/>
            <w:color w:val="auto"/>
            <w:sz w:val="28"/>
            <w:szCs w:val="28"/>
            <w:u w:val="none"/>
            <w:shd w:val="clear" w:color="auto" w:fill="FFFFFF"/>
          </w:rPr>
          <w:t>https://me.gov.ua/Documents/Detail?lang=uk-UA&amp;id=4e54dce3-f778-46af-9b2c-5c78a4fef863&amp;title=OgliadTorgovelnoiPolitikiYaponii</w:t>
        </w:r>
      </w:hyperlink>
      <w:r w:rsidR="0067103D" w:rsidRPr="00313B0E">
        <w:rPr>
          <w:sz w:val="28"/>
          <w:szCs w:val="28"/>
          <w:shd w:val="clear" w:color="auto" w:fill="FFFFFF"/>
        </w:rPr>
        <w:t>.</w:t>
      </w:r>
    </w:p>
    <w:p w:rsidR="0067103D" w:rsidRPr="00313B0E" w:rsidRDefault="0067103D" w:rsidP="00F34517">
      <w:pPr>
        <w:pStyle w:val="a8"/>
        <w:numPr>
          <w:ilvl w:val="0"/>
          <w:numId w:val="16"/>
        </w:numPr>
        <w:spacing w:line="360" w:lineRule="auto"/>
        <w:jc w:val="both"/>
        <w:rPr>
          <w:sz w:val="28"/>
          <w:szCs w:val="28"/>
          <w:shd w:val="clear" w:color="auto" w:fill="FFFFFF"/>
        </w:rPr>
      </w:pPr>
      <w:r w:rsidRPr="00313B0E">
        <w:rPr>
          <w:sz w:val="28"/>
          <w:szCs w:val="28"/>
          <w:shd w:val="clear" w:color="auto" w:fill="FFFFFF"/>
        </w:rPr>
        <w:t xml:space="preserve">Огляд торговельної політики Китайської Народної Республіки [Електронний ресурс] // Міністерство економіки України. Департамент багатосторонніх та двосторонніх торговельних угод. – 2021. – Режим доступу до ресурсу: </w:t>
      </w:r>
      <w:hyperlink r:id="rId51" w:history="1">
        <w:r w:rsidRPr="00313B0E">
          <w:rPr>
            <w:rStyle w:val="af1"/>
            <w:color w:val="auto"/>
            <w:sz w:val="28"/>
            <w:szCs w:val="28"/>
            <w:u w:val="none"/>
            <w:shd w:val="clear" w:color="auto" w:fill="FFFFFF"/>
          </w:rPr>
          <w:t>https://www.me.gov.ua/Documents/Detail?lang=uk-UA&amp;id=ec57e8e8-78f7-4109-b221-7219f012c49c&amp;title=OgliadTorgovelnoiPolitikiKitaiskoiNarodnoiRespubliki</w:t>
        </w:r>
      </w:hyperlink>
      <w:r w:rsidRPr="00313B0E">
        <w:rPr>
          <w:sz w:val="28"/>
          <w:szCs w:val="28"/>
          <w:shd w:val="clear" w:color="auto" w:fill="FFFFFF"/>
        </w:rPr>
        <w:t>.</w:t>
      </w:r>
    </w:p>
    <w:p w:rsidR="0067103D" w:rsidRPr="00313B0E" w:rsidRDefault="0067103D" w:rsidP="00F34517">
      <w:pPr>
        <w:pStyle w:val="a8"/>
        <w:numPr>
          <w:ilvl w:val="0"/>
          <w:numId w:val="16"/>
        </w:numPr>
        <w:spacing w:line="360" w:lineRule="auto"/>
        <w:jc w:val="both"/>
        <w:rPr>
          <w:sz w:val="28"/>
          <w:szCs w:val="28"/>
          <w:shd w:val="clear" w:color="auto" w:fill="FFFFFF"/>
        </w:rPr>
      </w:pPr>
      <w:r w:rsidRPr="00313B0E">
        <w:rPr>
          <w:sz w:val="28"/>
          <w:szCs w:val="28"/>
          <w:shd w:val="clear" w:color="auto" w:fill="FFFFFF"/>
        </w:rPr>
        <w:t xml:space="preserve">Білоусова Н. Україна і Китай – агросектор бере курс на харчову та продовольчу безпеку [Електронний ресурс] / Наталія Білоусова. – 2021. – Режим доступу до ресурсу: </w:t>
      </w:r>
      <w:hyperlink r:id="rId52" w:history="1">
        <w:r w:rsidRPr="00313B0E">
          <w:rPr>
            <w:rStyle w:val="af1"/>
            <w:color w:val="auto"/>
            <w:sz w:val="28"/>
            <w:szCs w:val="28"/>
            <w:u w:val="none"/>
            <w:shd w:val="clear" w:color="auto" w:fill="FFFFFF"/>
          </w:rPr>
          <w:t>https://agropolit.com/spetsproekty/929-ukrayina-i-kitay--agrosektor-bere-kurs-na-harchovu-ta-prodovolchu-bezpeku</w:t>
        </w:r>
      </w:hyperlink>
      <w:r w:rsidRPr="00313B0E">
        <w:rPr>
          <w:sz w:val="28"/>
          <w:szCs w:val="28"/>
          <w:shd w:val="clear" w:color="auto" w:fill="FFFFFF"/>
        </w:rPr>
        <w:t>.</w:t>
      </w:r>
    </w:p>
    <w:p w:rsidR="0067103D" w:rsidRPr="00313B0E" w:rsidRDefault="00DD10B4" w:rsidP="00F34517">
      <w:pPr>
        <w:pStyle w:val="a8"/>
        <w:numPr>
          <w:ilvl w:val="0"/>
          <w:numId w:val="16"/>
        </w:numPr>
        <w:spacing w:line="360" w:lineRule="auto"/>
        <w:jc w:val="both"/>
        <w:rPr>
          <w:sz w:val="28"/>
          <w:szCs w:val="28"/>
          <w:shd w:val="clear" w:color="auto" w:fill="FFFFFF"/>
        </w:rPr>
      </w:pPr>
      <w:r w:rsidRPr="00313B0E">
        <w:rPr>
          <w:sz w:val="28"/>
          <w:szCs w:val="28"/>
          <w:shd w:val="clear" w:color="auto" w:fill="FFFFFF"/>
        </w:rPr>
        <w:t>Корсунськ</w:t>
      </w:r>
      <w:r w:rsidR="00153D4E" w:rsidRPr="00313B0E">
        <w:rPr>
          <w:sz w:val="28"/>
          <w:szCs w:val="28"/>
          <w:shd w:val="clear" w:color="auto" w:fill="FFFFFF"/>
        </w:rPr>
        <w:t>и</w:t>
      </w:r>
      <w:r w:rsidRPr="00313B0E">
        <w:rPr>
          <w:sz w:val="28"/>
          <w:szCs w:val="28"/>
          <w:shd w:val="clear" w:color="auto" w:fill="FFFFFF"/>
        </w:rPr>
        <w:t>й С. Аналіз поточного стану відносин Україна-Японія [Електронний ресурс] / Сергій Корсунськ</w:t>
      </w:r>
      <w:r w:rsidR="00153D4E" w:rsidRPr="00313B0E">
        <w:rPr>
          <w:sz w:val="28"/>
          <w:szCs w:val="28"/>
          <w:shd w:val="clear" w:color="auto" w:fill="FFFFFF"/>
        </w:rPr>
        <w:t>и</w:t>
      </w:r>
      <w:r w:rsidRPr="00313B0E">
        <w:rPr>
          <w:sz w:val="28"/>
          <w:szCs w:val="28"/>
          <w:shd w:val="clear" w:color="auto" w:fill="FFFFFF"/>
        </w:rPr>
        <w:t xml:space="preserve">й. // Портал зовнішньої політики. – 2019. – Режим доступу до ресурсу: </w:t>
      </w:r>
      <w:hyperlink r:id="rId53" w:history="1">
        <w:r w:rsidRPr="00313B0E">
          <w:rPr>
            <w:rStyle w:val="af1"/>
            <w:color w:val="auto"/>
            <w:sz w:val="28"/>
            <w:szCs w:val="28"/>
            <w:u w:val="none"/>
            <w:shd w:val="clear" w:color="auto" w:fill="FFFFFF"/>
          </w:rPr>
          <w:t>http://fpp.com.ua/analiz-potochnogo-stanu-vidnosyn-ukrayina-yaponiya/</w:t>
        </w:r>
      </w:hyperlink>
      <w:r w:rsidRPr="00313B0E">
        <w:rPr>
          <w:sz w:val="28"/>
          <w:szCs w:val="28"/>
          <w:shd w:val="clear" w:color="auto" w:fill="FFFFFF"/>
        </w:rPr>
        <w:t>.</w:t>
      </w:r>
    </w:p>
    <w:p w:rsidR="00DD10B4" w:rsidRPr="00313B0E" w:rsidRDefault="00153D4E" w:rsidP="00F34517">
      <w:pPr>
        <w:pStyle w:val="a8"/>
        <w:numPr>
          <w:ilvl w:val="0"/>
          <w:numId w:val="16"/>
        </w:numPr>
        <w:spacing w:line="360" w:lineRule="auto"/>
        <w:jc w:val="both"/>
        <w:rPr>
          <w:sz w:val="28"/>
          <w:szCs w:val="28"/>
          <w:shd w:val="clear" w:color="auto" w:fill="FFFFFF"/>
        </w:rPr>
      </w:pPr>
      <w:r w:rsidRPr="00313B0E">
        <w:rPr>
          <w:sz w:val="28"/>
          <w:szCs w:val="28"/>
          <w:shd w:val="clear" w:color="auto" w:fill="FFFFFF"/>
        </w:rPr>
        <w:t xml:space="preserve">Україна зацікавлена у початку переговорів про ЗВТ з Японією [Електронний ресурс] // Мультимедійна платформа іномовлення України УКРІНФОРМ. – 2021. – Режим доступу до ресурсу: </w:t>
      </w:r>
      <w:hyperlink r:id="rId54" w:history="1">
        <w:r w:rsidRPr="00313B0E">
          <w:rPr>
            <w:rStyle w:val="af1"/>
            <w:color w:val="auto"/>
            <w:sz w:val="28"/>
            <w:szCs w:val="28"/>
            <w:u w:val="none"/>
            <w:shd w:val="clear" w:color="auto" w:fill="FFFFFF"/>
          </w:rPr>
          <w:t>https://www.ukrinform.ua/rubric-economy/3211493-ukraina-zacikavlena-u-pocatku-peregovoriv-pro-zvt-z-aponieu-posol.html</w:t>
        </w:r>
      </w:hyperlink>
      <w:r w:rsidRPr="00313B0E">
        <w:rPr>
          <w:sz w:val="28"/>
          <w:szCs w:val="28"/>
          <w:shd w:val="clear" w:color="auto" w:fill="FFFFFF"/>
        </w:rPr>
        <w:t>.</w:t>
      </w:r>
    </w:p>
    <w:p w:rsidR="00153D4E" w:rsidRPr="00313B0E" w:rsidRDefault="00153D4E" w:rsidP="00F34517">
      <w:pPr>
        <w:pStyle w:val="a8"/>
        <w:numPr>
          <w:ilvl w:val="0"/>
          <w:numId w:val="16"/>
        </w:numPr>
        <w:spacing w:line="360" w:lineRule="auto"/>
        <w:jc w:val="both"/>
        <w:rPr>
          <w:sz w:val="28"/>
          <w:szCs w:val="28"/>
          <w:shd w:val="clear" w:color="auto" w:fill="FFFFFF"/>
        </w:rPr>
      </w:pPr>
      <w:r w:rsidRPr="00313B0E">
        <w:rPr>
          <w:sz w:val="28"/>
          <w:szCs w:val="28"/>
          <w:shd w:val="clear" w:color="auto" w:fill="FFFFFF"/>
        </w:rPr>
        <w:t xml:space="preserve">Державна служба статистики України. Географічна структура зовнішньої торгівлі України послугами [Електронний ресурс] – Режим доступу до ресурсу: </w:t>
      </w:r>
      <w:hyperlink r:id="rId55" w:history="1">
        <w:r w:rsidRPr="00313B0E">
          <w:rPr>
            <w:rStyle w:val="af1"/>
            <w:color w:val="auto"/>
            <w:sz w:val="28"/>
            <w:szCs w:val="28"/>
            <w:u w:val="none"/>
            <w:shd w:val="clear" w:color="auto" w:fill="FFFFFF"/>
          </w:rPr>
          <w:t>http://www.ukrstat.gov.ua/operativ/operativ2021/zd/gsztp/gsztp_u/arh_gsztp2021_u.html</w:t>
        </w:r>
      </w:hyperlink>
    </w:p>
    <w:p w:rsidR="00153D4E" w:rsidRPr="00313B0E" w:rsidRDefault="0086241E" w:rsidP="00F34517">
      <w:pPr>
        <w:pStyle w:val="a8"/>
        <w:numPr>
          <w:ilvl w:val="0"/>
          <w:numId w:val="16"/>
        </w:numPr>
        <w:spacing w:line="360" w:lineRule="auto"/>
        <w:jc w:val="both"/>
        <w:rPr>
          <w:sz w:val="28"/>
          <w:szCs w:val="28"/>
          <w:shd w:val="clear" w:color="auto" w:fill="FFFFFF"/>
        </w:rPr>
      </w:pPr>
      <w:r w:rsidRPr="00313B0E">
        <w:rPr>
          <w:sz w:val="28"/>
          <w:szCs w:val="28"/>
          <w:shd w:val="clear" w:color="auto" w:fill="FFFFFF"/>
        </w:rPr>
        <w:t xml:space="preserve">Ніколаєва О. Не про коронавірус: що Україна постачає до Китаю і як збільшити експорт [Електронний ресурс] / Ольга Ніколаєва. // </w:t>
      </w:r>
      <w:r w:rsidR="00626C34" w:rsidRPr="00313B0E">
        <w:rPr>
          <w:sz w:val="28"/>
          <w:szCs w:val="28"/>
          <w:shd w:val="clear" w:color="auto" w:fill="FFFFFF"/>
        </w:rPr>
        <w:t>УКРАЇНСЬКА ПРАВДА</w:t>
      </w:r>
      <w:r w:rsidRPr="00313B0E">
        <w:rPr>
          <w:sz w:val="28"/>
          <w:szCs w:val="28"/>
          <w:shd w:val="clear" w:color="auto" w:fill="FFFFFF"/>
        </w:rPr>
        <w:t>.</w:t>
      </w:r>
      <w:r w:rsidR="00626C34" w:rsidRPr="00313B0E">
        <w:rPr>
          <w:sz w:val="28"/>
          <w:szCs w:val="28"/>
          <w:shd w:val="clear" w:color="auto" w:fill="FFFFFF"/>
        </w:rPr>
        <w:t xml:space="preserve"> Економіка.</w:t>
      </w:r>
      <w:r w:rsidRPr="00313B0E">
        <w:rPr>
          <w:sz w:val="28"/>
          <w:szCs w:val="28"/>
          <w:shd w:val="clear" w:color="auto" w:fill="FFFFFF"/>
        </w:rPr>
        <w:t xml:space="preserve"> – 20</w:t>
      </w:r>
      <w:r w:rsidR="00626C34" w:rsidRPr="00313B0E">
        <w:rPr>
          <w:sz w:val="28"/>
          <w:szCs w:val="28"/>
          <w:shd w:val="clear" w:color="auto" w:fill="FFFFFF"/>
        </w:rPr>
        <w:t>20</w:t>
      </w:r>
      <w:r w:rsidRPr="00313B0E">
        <w:rPr>
          <w:sz w:val="28"/>
          <w:szCs w:val="28"/>
          <w:shd w:val="clear" w:color="auto" w:fill="FFFFFF"/>
        </w:rPr>
        <w:t>. – Режим доступу до ресурсу:</w:t>
      </w:r>
      <w:r w:rsidR="00626C34" w:rsidRPr="00313B0E">
        <w:rPr>
          <w:sz w:val="28"/>
          <w:szCs w:val="28"/>
          <w:shd w:val="clear" w:color="auto" w:fill="FFFFFF"/>
        </w:rPr>
        <w:t xml:space="preserve"> </w:t>
      </w:r>
      <w:hyperlink r:id="rId56" w:history="1">
        <w:r w:rsidR="00626C34" w:rsidRPr="00313B0E">
          <w:rPr>
            <w:rStyle w:val="af1"/>
            <w:color w:val="auto"/>
            <w:sz w:val="28"/>
            <w:szCs w:val="28"/>
            <w:u w:val="none"/>
            <w:shd w:val="clear" w:color="auto" w:fill="FFFFFF"/>
          </w:rPr>
          <w:t>https://www.epravda.com.ua/publications/2020/03/25/658010/</w:t>
        </w:r>
      </w:hyperlink>
      <w:r w:rsidR="00626C34" w:rsidRPr="00313B0E">
        <w:rPr>
          <w:sz w:val="28"/>
          <w:szCs w:val="28"/>
          <w:shd w:val="clear" w:color="auto" w:fill="FFFFFF"/>
        </w:rPr>
        <w:t>.</w:t>
      </w:r>
    </w:p>
    <w:p w:rsidR="00626C34" w:rsidRPr="00D14498" w:rsidRDefault="00626C34" w:rsidP="00F34517">
      <w:pPr>
        <w:pStyle w:val="a8"/>
        <w:numPr>
          <w:ilvl w:val="0"/>
          <w:numId w:val="16"/>
        </w:numPr>
        <w:spacing w:line="360" w:lineRule="auto"/>
        <w:jc w:val="both"/>
        <w:rPr>
          <w:sz w:val="28"/>
          <w:szCs w:val="28"/>
          <w:shd w:val="clear" w:color="auto" w:fill="FFFFFF"/>
        </w:rPr>
      </w:pPr>
      <w:r w:rsidRPr="00D14498">
        <w:rPr>
          <w:sz w:val="28"/>
          <w:szCs w:val="28"/>
          <w:shd w:val="clear" w:color="auto" w:fill="FFFFFF"/>
        </w:rPr>
        <w:t xml:space="preserve">Статистика зовнішнього сектору України </w:t>
      </w:r>
      <w:r w:rsidRPr="00D14498">
        <w:rPr>
          <w:sz w:val="28"/>
          <w:szCs w:val="28"/>
        </w:rPr>
        <w:t>за методологією 6-го видання «Керівництва з платіжного балансу та міжнародної інвестиційної позиції»</w:t>
      </w:r>
      <w:r w:rsidRPr="00D14498">
        <w:rPr>
          <w:rFonts w:ascii="Arial" w:hAnsi="Arial" w:cs="Arial"/>
          <w:b/>
          <w:bCs/>
          <w:sz w:val="28"/>
          <w:szCs w:val="28"/>
          <w:bdr w:val="none" w:sz="0" w:space="0" w:color="auto" w:frame="1"/>
          <w:shd w:val="clear" w:color="auto" w:fill="FFFFFF"/>
        </w:rPr>
        <w:t> </w:t>
      </w:r>
      <w:r w:rsidRPr="00D14498">
        <w:rPr>
          <w:sz w:val="28"/>
          <w:szCs w:val="28"/>
          <w:shd w:val="clear" w:color="auto" w:fill="FFFFFF"/>
        </w:rPr>
        <w:t xml:space="preserve"> [Електронний ресурс] // Національний банк України. – Режим доступу до ресурсу: </w:t>
      </w:r>
      <w:hyperlink r:id="rId57" w:anchor="5" w:history="1">
        <w:r w:rsidR="00007A0E" w:rsidRPr="00D14498">
          <w:rPr>
            <w:rStyle w:val="af1"/>
            <w:color w:val="auto"/>
            <w:sz w:val="28"/>
            <w:szCs w:val="28"/>
            <w:u w:val="none"/>
            <w:shd w:val="clear" w:color="auto" w:fill="FFFFFF"/>
          </w:rPr>
          <w:t>https://bank.gov.ua/ua/statistic/sector-external#5</w:t>
        </w:r>
      </w:hyperlink>
      <w:r w:rsidR="00007A0E" w:rsidRPr="00D14498">
        <w:rPr>
          <w:sz w:val="28"/>
          <w:szCs w:val="28"/>
          <w:shd w:val="clear" w:color="auto" w:fill="FFFFFF"/>
        </w:rPr>
        <w:t>.</w:t>
      </w:r>
    </w:p>
    <w:p w:rsidR="003B6526" w:rsidRPr="00D14498" w:rsidRDefault="00007A0E" w:rsidP="00F34517">
      <w:pPr>
        <w:pStyle w:val="a8"/>
        <w:numPr>
          <w:ilvl w:val="0"/>
          <w:numId w:val="16"/>
        </w:numPr>
        <w:spacing w:line="360" w:lineRule="auto"/>
        <w:jc w:val="both"/>
        <w:rPr>
          <w:sz w:val="28"/>
          <w:szCs w:val="28"/>
          <w:shd w:val="clear" w:color="auto" w:fill="FFFFFF"/>
        </w:rPr>
      </w:pPr>
      <w:r w:rsidRPr="00D14498">
        <w:rPr>
          <w:sz w:val="28"/>
          <w:szCs w:val="28"/>
          <w:shd w:val="clear" w:color="auto" w:fill="FFFFFF"/>
        </w:rPr>
        <w:t xml:space="preserve">Солонина Є. Китайські інвестиції в Україні: вікно можливостей чи ризик? [Електронний ресурс] / Євген Солонина. // </w:t>
      </w:r>
      <w:r w:rsidR="003B6526" w:rsidRPr="00D14498">
        <w:rPr>
          <w:sz w:val="28"/>
          <w:szCs w:val="28"/>
          <w:shd w:val="clear" w:color="auto" w:fill="FFFFFF"/>
        </w:rPr>
        <w:t>Радіо Свобода</w:t>
      </w:r>
      <w:r w:rsidRPr="00D14498">
        <w:rPr>
          <w:sz w:val="28"/>
          <w:szCs w:val="28"/>
          <w:shd w:val="clear" w:color="auto" w:fill="FFFFFF"/>
        </w:rPr>
        <w:t>. – 2021. – Режим доступу до ресурсу:</w:t>
      </w:r>
      <w:r w:rsidR="003B6526" w:rsidRPr="00D14498">
        <w:rPr>
          <w:sz w:val="28"/>
          <w:szCs w:val="28"/>
          <w:shd w:val="clear" w:color="auto" w:fill="FFFFFF"/>
        </w:rPr>
        <w:t xml:space="preserve"> </w:t>
      </w:r>
      <w:hyperlink r:id="rId58" w:history="1">
        <w:r w:rsidR="003B6526" w:rsidRPr="00D14498">
          <w:rPr>
            <w:rStyle w:val="af1"/>
            <w:color w:val="auto"/>
            <w:sz w:val="28"/>
            <w:szCs w:val="28"/>
            <w:u w:val="none"/>
            <w:shd w:val="clear" w:color="auto" w:fill="FFFFFF"/>
          </w:rPr>
          <w:t>https://www.radiosvoboda.org/a/kytai-ukrayina-investytsiyi-kredyty-knr-kpk/31487078.html</w:t>
        </w:r>
      </w:hyperlink>
      <w:r w:rsidR="003B6526" w:rsidRPr="00D14498">
        <w:rPr>
          <w:sz w:val="28"/>
          <w:szCs w:val="28"/>
          <w:shd w:val="clear" w:color="auto" w:fill="FFFFFF"/>
        </w:rPr>
        <w:t>.</w:t>
      </w:r>
    </w:p>
    <w:p w:rsidR="00D14498" w:rsidRPr="00D14498" w:rsidRDefault="00D14498" w:rsidP="00D14498">
      <w:pPr>
        <w:numPr>
          <w:ilvl w:val="0"/>
          <w:numId w:val="16"/>
        </w:numPr>
        <w:spacing w:line="360" w:lineRule="auto"/>
        <w:jc w:val="both"/>
        <w:rPr>
          <w:sz w:val="28"/>
          <w:szCs w:val="28"/>
        </w:rPr>
      </w:pPr>
      <w:r>
        <w:rPr>
          <w:sz w:val="28"/>
          <w:szCs w:val="28"/>
        </w:rPr>
        <w:t>Таран</w:t>
      </w:r>
      <w:r w:rsidRPr="00D14498">
        <w:rPr>
          <w:sz w:val="28"/>
          <w:szCs w:val="28"/>
        </w:rPr>
        <w:t xml:space="preserve"> </w:t>
      </w:r>
      <w:r>
        <w:rPr>
          <w:sz w:val="28"/>
          <w:szCs w:val="28"/>
        </w:rPr>
        <w:t>О</w:t>
      </w:r>
      <w:r w:rsidRPr="00D14498">
        <w:rPr>
          <w:sz w:val="28"/>
          <w:szCs w:val="28"/>
        </w:rPr>
        <w:t xml:space="preserve">. </w:t>
      </w:r>
      <w:r>
        <w:rPr>
          <w:sz w:val="28"/>
          <w:szCs w:val="28"/>
        </w:rPr>
        <w:t>І</w:t>
      </w:r>
      <w:r w:rsidRPr="00D14498">
        <w:rPr>
          <w:sz w:val="28"/>
          <w:szCs w:val="28"/>
        </w:rPr>
        <w:t xml:space="preserve">. </w:t>
      </w:r>
      <w:r>
        <w:rPr>
          <w:sz w:val="28"/>
          <w:szCs w:val="28"/>
        </w:rPr>
        <w:t>Р</w:t>
      </w:r>
      <w:r w:rsidRPr="00D14498">
        <w:rPr>
          <w:sz w:val="28"/>
          <w:szCs w:val="28"/>
        </w:rPr>
        <w:t>озвиток зовнішньоторговельних операцій Китаю в умовах світової пандемії COVID-19</w:t>
      </w:r>
      <w:r>
        <w:rPr>
          <w:sz w:val="28"/>
          <w:szCs w:val="28"/>
        </w:rPr>
        <w:t xml:space="preserve"> </w:t>
      </w:r>
      <w:r w:rsidRPr="00D14498">
        <w:rPr>
          <w:sz w:val="28"/>
          <w:szCs w:val="28"/>
        </w:rPr>
        <w:t>/ Збірник наукових праць «Соціально-економічний та політичний розвиток країн у сучасних умовах» – Одеса: Одеський національний університет імені І. І. Мечникова. – 2022. С. 9</w:t>
      </w:r>
      <w:r>
        <w:rPr>
          <w:sz w:val="28"/>
          <w:szCs w:val="28"/>
        </w:rPr>
        <w:t>9</w:t>
      </w:r>
      <w:r w:rsidRPr="00D14498">
        <w:rPr>
          <w:sz w:val="28"/>
          <w:szCs w:val="28"/>
        </w:rPr>
        <w:t>-9</w:t>
      </w:r>
      <w:r>
        <w:rPr>
          <w:sz w:val="28"/>
          <w:szCs w:val="28"/>
        </w:rPr>
        <w:t>9</w:t>
      </w:r>
      <w:r w:rsidRPr="00D14498">
        <w:rPr>
          <w:sz w:val="28"/>
          <w:szCs w:val="28"/>
        </w:rPr>
        <w:t>.</w:t>
      </w:r>
    </w:p>
    <w:p w:rsidR="009937E2" w:rsidRPr="003F1573" w:rsidRDefault="009937E2" w:rsidP="00C46BC9">
      <w:pPr>
        <w:spacing w:line="360" w:lineRule="auto"/>
        <w:jc w:val="both"/>
        <w:rPr>
          <w:color w:val="000000"/>
          <w:sz w:val="28"/>
          <w:szCs w:val="28"/>
          <w:shd w:val="clear" w:color="auto" w:fill="FFFFFF"/>
        </w:rPr>
      </w:pPr>
    </w:p>
    <w:p w:rsidR="0055691D" w:rsidRPr="003F1573" w:rsidRDefault="0055691D" w:rsidP="00B7132F">
      <w:pPr>
        <w:spacing w:line="360" w:lineRule="auto"/>
        <w:jc w:val="both"/>
        <w:rPr>
          <w:sz w:val="28"/>
          <w:szCs w:val="28"/>
        </w:rPr>
      </w:pPr>
    </w:p>
    <w:bookmarkEnd w:id="2"/>
    <w:p w:rsidR="0000038D" w:rsidRDefault="0000038D" w:rsidP="006051E5">
      <w:pPr>
        <w:spacing w:line="360" w:lineRule="auto"/>
        <w:jc w:val="center"/>
        <w:rPr>
          <w:b/>
          <w:sz w:val="28"/>
          <w:szCs w:val="28"/>
          <w:lang w:val="en-US"/>
        </w:rPr>
      </w:pPr>
    </w:p>
    <w:p w:rsidR="00290DD8" w:rsidRDefault="00290DD8" w:rsidP="006051E5">
      <w:pPr>
        <w:spacing w:line="360" w:lineRule="auto"/>
        <w:jc w:val="center"/>
        <w:rPr>
          <w:b/>
          <w:sz w:val="28"/>
          <w:szCs w:val="28"/>
          <w:lang w:val="en-US"/>
        </w:rPr>
      </w:pPr>
    </w:p>
    <w:p w:rsidR="00290DD8" w:rsidRDefault="00290DD8" w:rsidP="006051E5">
      <w:pPr>
        <w:spacing w:line="360" w:lineRule="auto"/>
        <w:jc w:val="center"/>
        <w:rPr>
          <w:b/>
          <w:sz w:val="28"/>
          <w:szCs w:val="28"/>
          <w:lang w:val="en-US"/>
        </w:rPr>
      </w:pPr>
    </w:p>
    <w:p w:rsidR="00290DD8" w:rsidRDefault="00290DD8" w:rsidP="006051E5">
      <w:pPr>
        <w:spacing w:line="360" w:lineRule="auto"/>
        <w:jc w:val="center"/>
        <w:rPr>
          <w:b/>
          <w:sz w:val="28"/>
          <w:szCs w:val="28"/>
          <w:lang w:val="en-US"/>
        </w:rPr>
      </w:pPr>
    </w:p>
    <w:p w:rsidR="00290DD8" w:rsidRDefault="00290DD8" w:rsidP="006051E5">
      <w:pPr>
        <w:spacing w:line="360" w:lineRule="auto"/>
        <w:jc w:val="center"/>
        <w:rPr>
          <w:b/>
          <w:sz w:val="28"/>
          <w:szCs w:val="28"/>
          <w:lang w:val="en-US"/>
        </w:rPr>
      </w:pPr>
    </w:p>
    <w:p w:rsidR="00290DD8" w:rsidRDefault="00290DD8" w:rsidP="006051E5">
      <w:pPr>
        <w:spacing w:line="360" w:lineRule="auto"/>
        <w:jc w:val="center"/>
        <w:rPr>
          <w:b/>
          <w:sz w:val="28"/>
          <w:szCs w:val="28"/>
          <w:lang w:val="en-US"/>
        </w:rPr>
      </w:pPr>
    </w:p>
    <w:p w:rsidR="00290DD8" w:rsidRDefault="00290DD8" w:rsidP="006051E5">
      <w:pPr>
        <w:spacing w:line="360" w:lineRule="auto"/>
        <w:jc w:val="center"/>
        <w:rPr>
          <w:b/>
          <w:sz w:val="28"/>
          <w:szCs w:val="28"/>
          <w:lang w:val="en-US"/>
        </w:rPr>
      </w:pPr>
    </w:p>
    <w:p w:rsidR="00290DD8" w:rsidRDefault="00290DD8" w:rsidP="006051E5">
      <w:pPr>
        <w:spacing w:line="360" w:lineRule="auto"/>
        <w:jc w:val="center"/>
        <w:rPr>
          <w:b/>
          <w:sz w:val="28"/>
          <w:szCs w:val="28"/>
          <w:lang w:val="en-US"/>
        </w:rPr>
      </w:pPr>
    </w:p>
    <w:p w:rsidR="00290DD8" w:rsidRDefault="00290DD8" w:rsidP="006051E5">
      <w:pPr>
        <w:spacing w:line="360" w:lineRule="auto"/>
        <w:jc w:val="center"/>
        <w:rPr>
          <w:b/>
          <w:sz w:val="28"/>
          <w:szCs w:val="28"/>
          <w:lang w:val="en-US"/>
        </w:rPr>
      </w:pPr>
    </w:p>
    <w:p w:rsidR="00290DD8" w:rsidRDefault="00290DD8" w:rsidP="006051E5">
      <w:pPr>
        <w:spacing w:line="360" w:lineRule="auto"/>
        <w:jc w:val="center"/>
        <w:rPr>
          <w:b/>
          <w:sz w:val="28"/>
          <w:szCs w:val="28"/>
          <w:lang w:val="en-US"/>
        </w:rPr>
      </w:pPr>
    </w:p>
    <w:p w:rsidR="00290DD8" w:rsidRDefault="00290DD8" w:rsidP="006051E5">
      <w:pPr>
        <w:spacing w:line="360" w:lineRule="auto"/>
        <w:jc w:val="center"/>
        <w:rPr>
          <w:b/>
          <w:sz w:val="28"/>
          <w:szCs w:val="28"/>
          <w:lang w:val="en-US"/>
        </w:rPr>
      </w:pPr>
    </w:p>
    <w:p w:rsidR="00290DD8" w:rsidRDefault="00290DD8" w:rsidP="006051E5">
      <w:pPr>
        <w:spacing w:line="360" w:lineRule="auto"/>
        <w:jc w:val="center"/>
        <w:rPr>
          <w:b/>
          <w:sz w:val="28"/>
          <w:szCs w:val="28"/>
          <w:lang w:val="en-US"/>
        </w:rPr>
      </w:pPr>
    </w:p>
    <w:p w:rsidR="00290DD8" w:rsidRDefault="00290DD8" w:rsidP="006051E5">
      <w:pPr>
        <w:spacing w:line="360" w:lineRule="auto"/>
        <w:jc w:val="center"/>
        <w:rPr>
          <w:b/>
          <w:sz w:val="28"/>
          <w:szCs w:val="28"/>
          <w:lang w:val="en-US"/>
        </w:rPr>
      </w:pPr>
    </w:p>
    <w:p w:rsidR="00290DD8" w:rsidRDefault="00290DD8" w:rsidP="006051E5">
      <w:pPr>
        <w:spacing w:line="360" w:lineRule="auto"/>
        <w:jc w:val="center"/>
        <w:rPr>
          <w:b/>
          <w:sz w:val="28"/>
          <w:szCs w:val="28"/>
          <w:lang w:val="en-US"/>
        </w:rPr>
      </w:pPr>
    </w:p>
    <w:p w:rsidR="00290DD8" w:rsidRDefault="00290DD8" w:rsidP="006051E5">
      <w:pPr>
        <w:spacing w:line="360" w:lineRule="auto"/>
        <w:jc w:val="center"/>
        <w:rPr>
          <w:b/>
          <w:sz w:val="28"/>
          <w:szCs w:val="28"/>
          <w:lang w:val="en-US"/>
        </w:rPr>
      </w:pPr>
    </w:p>
    <w:p w:rsidR="00290DD8" w:rsidRPr="00290DD8" w:rsidRDefault="00290DD8" w:rsidP="00290DD8">
      <w:pPr>
        <w:spacing w:line="360" w:lineRule="auto"/>
        <w:ind w:firstLine="851"/>
        <w:jc w:val="right"/>
        <w:rPr>
          <w:rFonts w:eastAsia="Calibri"/>
          <w:sz w:val="28"/>
          <w:szCs w:val="28"/>
          <w:lang w:eastAsia="en-US"/>
        </w:rPr>
      </w:pPr>
      <w:r w:rsidRPr="00290DD8">
        <w:rPr>
          <w:rFonts w:eastAsia="Calibri"/>
          <w:sz w:val="28"/>
          <w:szCs w:val="28"/>
          <w:lang w:eastAsia="en-US"/>
        </w:rPr>
        <w:t>ЗАТВЕРДЖЕНО</w:t>
      </w:r>
    </w:p>
    <w:p w:rsidR="00290DD8" w:rsidRPr="00290DD8" w:rsidRDefault="00290DD8" w:rsidP="00290DD8">
      <w:pPr>
        <w:spacing w:line="360" w:lineRule="auto"/>
        <w:jc w:val="right"/>
        <w:rPr>
          <w:rFonts w:eastAsia="Calibri"/>
          <w:sz w:val="28"/>
          <w:szCs w:val="28"/>
          <w:lang w:eastAsia="en-US"/>
        </w:rPr>
      </w:pPr>
      <w:r w:rsidRPr="00290DD8">
        <w:rPr>
          <w:rFonts w:eastAsia="Calibri"/>
          <w:sz w:val="28"/>
          <w:szCs w:val="28"/>
          <w:lang w:eastAsia="en-US"/>
        </w:rPr>
        <w:t>рішенням Вченої ради ФМВПС</w:t>
      </w:r>
    </w:p>
    <w:p w:rsidR="00290DD8" w:rsidRPr="00290DD8" w:rsidRDefault="00290DD8" w:rsidP="00290DD8">
      <w:pPr>
        <w:spacing w:line="360" w:lineRule="auto"/>
        <w:jc w:val="right"/>
        <w:rPr>
          <w:rFonts w:eastAsia="Calibri"/>
          <w:sz w:val="28"/>
          <w:szCs w:val="28"/>
          <w:lang w:eastAsia="en-US"/>
        </w:rPr>
      </w:pPr>
      <w:r w:rsidRPr="00290DD8">
        <w:rPr>
          <w:rFonts w:eastAsia="Calibri"/>
          <w:sz w:val="28"/>
          <w:szCs w:val="28"/>
          <w:lang w:eastAsia="en-US"/>
        </w:rPr>
        <w:t>протокол №3 від 28.11.2018 р.</w:t>
      </w:r>
    </w:p>
    <w:p w:rsidR="00290DD8" w:rsidRPr="00290DD8" w:rsidRDefault="00290DD8" w:rsidP="00290DD8">
      <w:pPr>
        <w:spacing w:line="360" w:lineRule="auto"/>
        <w:jc w:val="both"/>
        <w:rPr>
          <w:rFonts w:eastAsia="Calibri"/>
          <w:sz w:val="28"/>
          <w:szCs w:val="28"/>
          <w:lang w:eastAsia="en-US"/>
        </w:rPr>
      </w:pPr>
    </w:p>
    <w:p w:rsidR="00290DD8" w:rsidRPr="00290DD8" w:rsidRDefault="00290DD8" w:rsidP="00290DD8">
      <w:pPr>
        <w:spacing w:line="360" w:lineRule="auto"/>
        <w:jc w:val="both"/>
        <w:rPr>
          <w:rFonts w:eastAsia="Calibri"/>
          <w:sz w:val="28"/>
          <w:szCs w:val="28"/>
          <w:lang w:eastAsia="en-US"/>
        </w:rPr>
      </w:pPr>
    </w:p>
    <w:p w:rsidR="00290DD8" w:rsidRPr="00290DD8" w:rsidRDefault="00290DD8" w:rsidP="00290DD8">
      <w:pPr>
        <w:spacing w:line="360" w:lineRule="auto"/>
        <w:jc w:val="both"/>
        <w:rPr>
          <w:rFonts w:eastAsia="Calibri"/>
          <w:sz w:val="28"/>
          <w:szCs w:val="28"/>
          <w:lang w:eastAsia="en-US"/>
        </w:rPr>
      </w:pPr>
    </w:p>
    <w:p w:rsidR="00290DD8" w:rsidRPr="00290DD8" w:rsidRDefault="00290DD8" w:rsidP="00290DD8">
      <w:pPr>
        <w:spacing w:line="360" w:lineRule="auto"/>
        <w:jc w:val="center"/>
        <w:rPr>
          <w:rFonts w:eastAsia="Calibri"/>
          <w:sz w:val="28"/>
          <w:szCs w:val="28"/>
          <w:lang w:eastAsia="en-US"/>
        </w:rPr>
      </w:pPr>
      <w:r w:rsidRPr="00290DD8">
        <w:rPr>
          <w:rFonts w:eastAsia="Calibri"/>
          <w:sz w:val="28"/>
          <w:szCs w:val="28"/>
          <w:lang w:eastAsia="en-US"/>
        </w:rPr>
        <w:t>РОЗПИСКА</w:t>
      </w:r>
    </w:p>
    <w:p w:rsidR="00290DD8" w:rsidRPr="00290DD8" w:rsidRDefault="00290DD8" w:rsidP="00290DD8">
      <w:pPr>
        <w:spacing w:line="360" w:lineRule="auto"/>
        <w:ind w:firstLine="709"/>
        <w:jc w:val="both"/>
        <w:rPr>
          <w:rFonts w:eastAsia="Calibri"/>
          <w:sz w:val="28"/>
          <w:szCs w:val="28"/>
          <w:lang w:eastAsia="en-US"/>
        </w:rPr>
      </w:pPr>
    </w:p>
    <w:p w:rsidR="00290DD8" w:rsidRPr="00290DD8" w:rsidRDefault="00290DD8" w:rsidP="00290DD8">
      <w:pPr>
        <w:spacing w:line="360" w:lineRule="auto"/>
        <w:ind w:firstLine="709"/>
        <w:jc w:val="both"/>
        <w:rPr>
          <w:rFonts w:eastAsia="Calibri"/>
          <w:sz w:val="28"/>
          <w:szCs w:val="28"/>
          <w:lang w:eastAsia="en-US"/>
        </w:rPr>
      </w:pPr>
      <w:r w:rsidRPr="00290DD8">
        <w:rPr>
          <w:rFonts w:eastAsia="Calibri"/>
          <w:sz w:val="28"/>
          <w:szCs w:val="28"/>
          <w:lang w:eastAsia="en-US"/>
        </w:rPr>
        <w:t>Я, Таран Олександра Ігорівна, підтверджую, що моя дипломна робота за темою: «Трансформація зовнішньоекономічних позицій Японії та Китаю в умовах світової пандемії COVID-19» повністю відповідає всім вимогам академічної доброчесності, не містить в собі плагіату, а електронна версія роботи, яка додається на диску, є тотожною її паперовому варіанту.</w:t>
      </w:r>
    </w:p>
    <w:p w:rsidR="00290DD8" w:rsidRPr="00290DD8" w:rsidRDefault="00290DD8" w:rsidP="00290DD8">
      <w:pPr>
        <w:spacing w:line="360" w:lineRule="auto"/>
        <w:ind w:firstLine="709"/>
        <w:jc w:val="both"/>
        <w:rPr>
          <w:rFonts w:eastAsia="Calibri"/>
          <w:sz w:val="28"/>
          <w:szCs w:val="28"/>
          <w:lang w:eastAsia="en-US"/>
        </w:rPr>
      </w:pPr>
    </w:p>
    <w:p w:rsidR="00290DD8" w:rsidRPr="00290DD8" w:rsidRDefault="00290DD8" w:rsidP="00290DD8">
      <w:pPr>
        <w:spacing w:line="360" w:lineRule="auto"/>
        <w:ind w:firstLine="709"/>
        <w:jc w:val="both"/>
        <w:rPr>
          <w:rFonts w:eastAsia="Calibri"/>
          <w:sz w:val="28"/>
          <w:szCs w:val="28"/>
          <w:lang w:eastAsia="en-US"/>
        </w:rPr>
      </w:pPr>
    </w:p>
    <w:p w:rsidR="00290DD8" w:rsidRPr="00290DD8" w:rsidRDefault="00290DD8" w:rsidP="00290DD8">
      <w:pPr>
        <w:spacing w:line="360" w:lineRule="auto"/>
        <w:ind w:firstLine="709"/>
        <w:jc w:val="both"/>
        <w:rPr>
          <w:rFonts w:eastAsia="Calibri"/>
          <w:sz w:val="28"/>
          <w:szCs w:val="28"/>
          <w:lang w:eastAsia="en-US"/>
        </w:rPr>
      </w:pPr>
      <w:r w:rsidRPr="00290DD8">
        <w:rPr>
          <w:rFonts w:eastAsia="Calibri"/>
          <w:sz w:val="28"/>
          <w:szCs w:val="28"/>
          <w:u w:val="single"/>
          <w:lang w:eastAsia="en-US"/>
        </w:rPr>
        <w:t>25.05.202</w:t>
      </w:r>
      <w:r w:rsidRPr="00290DD8">
        <w:rPr>
          <w:rFonts w:eastAsia="Calibri"/>
          <w:sz w:val="28"/>
          <w:szCs w:val="28"/>
          <w:u w:val="single"/>
          <w:lang w:val="en-US" w:eastAsia="en-US"/>
        </w:rPr>
        <w:t>2</w:t>
      </w:r>
      <w:r w:rsidRPr="00290DD8">
        <w:rPr>
          <w:rFonts w:eastAsia="Calibri"/>
          <w:sz w:val="28"/>
          <w:szCs w:val="28"/>
          <w:u w:val="single"/>
          <w:lang w:eastAsia="en-US"/>
        </w:rPr>
        <w:t xml:space="preserve"> р.</w:t>
      </w:r>
      <w:r w:rsidRPr="00290DD8">
        <w:rPr>
          <w:rFonts w:eastAsia="Calibri"/>
          <w:sz w:val="28"/>
          <w:szCs w:val="28"/>
          <w:lang w:eastAsia="en-US"/>
        </w:rPr>
        <w:t xml:space="preserve"> </w:t>
      </w:r>
      <w:r w:rsidRPr="00290DD8">
        <w:rPr>
          <w:rFonts w:eastAsia="Calibri"/>
          <w:sz w:val="28"/>
          <w:szCs w:val="28"/>
          <w:lang w:eastAsia="en-US"/>
        </w:rPr>
        <w:tab/>
        <w:t>________________</w:t>
      </w:r>
    </w:p>
    <w:p w:rsidR="00290DD8" w:rsidRPr="00290DD8" w:rsidRDefault="00290DD8" w:rsidP="00290DD8">
      <w:pPr>
        <w:spacing w:line="360" w:lineRule="auto"/>
        <w:ind w:firstLine="709"/>
        <w:jc w:val="both"/>
        <w:rPr>
          <w:rFonts w:eastAsia="Calibri"/>
          <w:sz w:val="28"/>
          <w:szCs w:val="28"/>
          <w:lang w:eastAsia="en-US"/>
        </w:rPr>
      </w:pPr>
      <w:r w:rsidRPr="00290DD8">
        <w:rPr>
          <w:rFonts w:eastAsia="Calibri"/>
          <w:sz w:val="28"/>
          <w:szCs w:val="28"/>
          <w:lang w:eastAsia="en-US"/>
        </w:rPr>
        <w:t xml:space="preserve">   (дата)</w:t>
      </w:r>
      <w:r w:rsidRPr="00290DD8">
        <w:rPr>
          <w:rFonts w:eastAsia="Calibri"/>
          <w:sz w:val="28"/>
          <w:szCs w:val="28"/>
          <w:lang w:eastAsia="en-US"/>
        </w:rPr>
        <w:tab/>
        <w:t xml:space="preserve">                   (підпис)</w:t>
      </w:r>
    </w:p>
    <w:p w:rsidR="00290DD8" w:rsidRPr="00290DD8" w:rsidRDefault="00290DD8" w:rsidP="00290DD8">
      <w:pPr>
        <w:spacing w:line="360" w:lineRule="auto"/>
        <w:ind w:firstLine="709"/>
        <w:jc w:val="both"/>
        <w:rPr>
          <w:rFonts w:eastAsia="Calibri"/>
          <w:sz w:val="28"/>
          <w:szCs w:val="28"/>
          <w:lang w:eastAsia="en-US"/>
        </w:rPr>
      </w:pPr>
    </w:p>
    <w:p w:rsidR="00290DD8" w:rsidRPr="00290DD8" w:rsidRDefault="00290DD8" w:rsidP="00290DD8">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699"/>
        </w:tabs>
        <w:spacing w:line="360" w:lineRule="auto"/>
        <w:rPr>
          <w:rFonts w:ascii="Helvetica Neue" w:eastAsia="Arial Unicode MS" w:hAnsi="Helvetica Neue" w:cs="Arial Unicode MS"/>
          <w:b/>
          <w:bCs/>
          <w:color w:val="000000"/>
          <w:sz w:val="22"/>
          <w:szCs w:val="22"/>
          <w:u w:color="000000"/>
          <w:bdr w:val="nil"/>
        </w:rPr>
      </w:pPr>
    </w:p>
    <w:p w:rsidR="00290DD8" w:rsidRPr="00290DD8" w:rsidRDefault="00290DD8" w:rsidP="00290DD8">
      <w:pPr>
        <w:widowControl w:val="0"/>
        <w:autoSpaceDE w:val="0"/>
        <w:autoSpaceDN w:val="0"/>
        <w:spacing w:before="81"/>
        <w:ind w:left="3307"/>
        <w:jc w:val="center"/>
        <w:outlineLvl w:val="0"/>
        <w:rPr>
          <w:b/>
          <w:bCs/>
          <w:sz w:val="28"/>
          <w:szCs w:val="28"/>
          <w:lang w:eastAsia="en-US"/>
        </w:rPr>
      </w:pPr>
    </w:p>
    <w:p w:rsidR="00290DD8" w:rsidRPr="00290DD8" w:rsidRDefault="00290DD8" w:rsidP="00290DD8">
      <w:pPr>
        <w:spacing w:line="360" w:lineRule="auto"/>
        <w:ind w:firstLine="851"/>
        <w:jc w:val="both"/>
        <w:rPr>
          <w:b/>
          <w:sz w:val="28"/>
          <w:szCs w:val="28"/>
        </w:rPr>
      </w:pPr>
    </w:p>
    <w:p w:rsidR="00290DD8" w:rsidRPr="00290DD8" w:rsidRDefault="00290DD8" w:rsidP="006051E5">
      <w:pPr>
        <w:spacing w:line="360" w:lineRule="auto"/>
        <w:jc w:val="center"/>
        <w:rPr>
          <w:b/>
          <w:sz w:val="28"/>
          <w:szCs w:val="28"/>
          <w:lang w:val="en-US"/>
        </w:rPr>
      </w:pPr>
    </w:p>
    <w:sectPr w:rsidR="00290DD8" w:rsidRPr="00290DD8" w:rsidSect="008423B8">
      <w:headerReference w:type="default" r:id="rId59"/>
      <w:pgSz w:w="11906" w:h="16838"/>
      <w:pgMar w:top="1077" w:right="851" w:bottom="1077" w:left="158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85E1D" w:rsidRDefault="00185E1D" w:rsidP="00DD7ECC">
      <w:r>
        <w:separator/>
      </w:r>
    </w:p>
  </w:endnote>
  <w:endnote w:type="continuationSeparator" w:id="0">
    <w:p w:rsidR="00185E1D" w:rsidRDefault="00185E1D" w:rsidP="00DD7EC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Helvetica Neue">
    <w:charset w:val="00"/>
    <w:family w:val="auto"/>
    <w:pitch w:val="variable"/>
    <w:sig w:usb0="E50002FF" w:usb1="500079DB" w:usb2="00000010" w:usb3="00000000" w:csb0="00000001"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85E1D" w:rsidRDefault="00185E1D" w:rsidP="00DD7ECC">
      <w:r>
        <w:separator/>
      </w:r>
    </w:p>
  </w:footnote>
  <w:footnote w:type="continuationSeparator" w:id="0">
    <w:p w:rsidR="00185E1D" w:rsidRDefault="00185E1D" w:rsidP="00DD7EC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67228926"/>
      <w:docPartObj>
        <w:docPartGallery w:val="Page Numbers (Top of Page)"/>
        <w:docPartUnique/>
      </w:docPartObj>
    </w:sdtPr>
    <w:sdtEndPr>
      <w:rPr>
        <w:sz w:val="28"/>
      </w:rPr>
    </w:sdtEndPr>
    <w:sdtContent>
      <w:p w:rsidR="002E2366" w:rsidRPr="00DD7ECC" w:rsidRDefault="002E2366">
        <w:pPr>
          <w:pStyle w:val="a3"/>
          <w:jc w:val="right"/>
          <w:rPr>
            <w:sz w:val="28"/>
          </w:rPr>
        </w:pPr>
        <w:r w:rsidRPr="005E7CB6">
          <w:rPr>
            <w:sz w:val="24"/>
          </w:rPr>
          <w:fldChar w:fldCharType="begin"/>
        </w:r>
        <w:r w:rsidRPr="005E7CB6">
          <w:rPr>
            <w:sz w:val="24"/>
          </w:rPr>
          <w:instrText>PAGE   \* MERGEFORMAT</w:instrText>
        </w:r>
        <w:r w:rsidRPr="005E7CB6">
          <w:rPr>
            <w:sz w:val="24"/>
          </w:rPr>
          <w:fldChar w:fldCharType="separate"/>
        </w:r>
        <w:r w:rsidR="00FA670C" w:rsidRPr="00FA670C">
          <w:rPr>
            <w:noProof/>
            <w:sz w:val="24"/>
            <w:lang w:val="ru-RU"/>
          </w:rPr>
          <w:t>20</w:t>
        </w:r>
        <w:r w:rsidRPr="005E7CB6">
          <w:rPr>
            <w:sz w:val="24"/>
          </w:rPr>
          <w:fldChar w:fldCharType="end"/>
        </w:r>
      </w:p>
    </w:sdtContent>
  </w:sdt>
  <w:p w:rsidR="002E2366" w:rsidRDefault="002E2366">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2E0D5B"/>
    <w:multiLevelType w:val="hybridMultilevel"/>
    <w:tmpl w:val="4E208C76"/>
    <w:lvl w:ilvl="0" w:tplc="6E9CE70C">
      <w:start w:val="2"/>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03130FE1"/>
    <w:multiLevelType w:val="hybridMultilevel"/>
    <w:tmpl w:val="5C440620"/>
    <w:lvl w:ilvl="0" w:tplc="23EA0AC4">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0D3D07C6"/>
    <w:multiLevelType w:val="hybridMultilevel"/>
    <w:tmpl w:val="477237B6"/>
    <w:lvl w:ilvl="0" w:tplc="9654B6B2">
      <w:start w:val="1"/>
      <w:numFmt w:val="decimal"/>
      <w:lvlText w:val="%1."/>
      <w:lvlJc w:val="left"/>
      <w:pPr>
        <w:ind w:left="360" w:hanging="360"/>
      </w:pPr>
      <w:rPr>
        <w:color w:val="000000"/>
        <w:sz w:val="28"/>
        <w:szCs w:val="28"/>
        <w:lang w:val="uk-UA"/>
      </w:rPr>
    </w:lvl>
    <w:lvl w:ilvl="1" w:tplc="04190019" w:tentative="1">
      <w:start w:val="1"/>
      <w:numFmt w:val="lowerLetter"/>
      <w:lvlText w:val="%2."/>
      <w:lvlJc w:val="left"/>
      <w:pPr>
        <w:ind w:left="873" w:hanging="360"/>
      </w:pPr>
    </w:lvl>
    <w:lvl w:ilvl="2" w:tplc="0419001B" w:tentative="1">
      <w:start w:val="1"/>
      <w:numFmt w:val="lowerRoman"/>
      <w:lvlText w:val="%3."/>
      <w:lvlJc w:val="right"/>
      <w:pPr>
        <w:ind w:left="1593" w:hanging="180"/>
      </w:pPr>
    </w:lvl>
    <w:lvl w:ilvl="3" w:tplc="0419000F" w:tentative="1">
      <w:start w:val="1"/>
      <w:numFmt w:val="decimal"/>
      <w:lvlText w:val="%4."/>
      <w:lvlJc w:val="left"/>
      <w:pPr>
        <w:ind w:left="2313" w:hanging="360"/>
      </w:pPr>
    </w:lvl>
    <w:lvl w:ilvl="4" w:tplc="04190019" w:tentative="1">
      <w:start w:val="1"/>
      <w:numFmt w:val="lowerLetter"/>
      <w:lvlText w:val="%5."/>
      <w:lvlJc w:val="left"/>
      <w:pPr>
        <w:ind w:left="3033" w:hanging="360"/>
      </w:pPr>
    </w:lvl>
    <w:lvl w:ilvl="5" w:tplc="0419001B" w:tentative="1">
      <w:start w:val="1"/>
      <w:numFmt w:val="lowerRoman"/>
      <w:lvlText w:val="%6."/>
      <w:lvlJc w:val="right"/>
      <w:pPr>
        <w:ind w:left="3753" w:hanging="180"/>
      </w:pPr>
    </w:lvl>
    <w:lvl w:ilvl="6" w:tplc="0419000F" w:tentative="1">
      <w:start w:val="1"/>
      <w:numFmt w:val="decimal"/>
      <w:lvlText w:val="%7."/>
      <w:lvlJc w:val="left"/>
      <w:pPr>
        <w:ind w:left="4473" w:hanging="360"/>
      </w:pPr>
    </w:lvl>
    <w:lvl w:ilvl="7" w:tplc="04190019" w:tentative="1">
      <w:start w:val="1"/>
      <w:numFmt w:val="lowerLetter"/>
      <w:lvlText w:val="%8."/>
      <w:lvlJc w:val="left"/>
      <w:pPr>
        <w:ind w:left="5193" w:hanging="360"/>
      </w:pPr>
    </w:lvl>
    <w:lvl w:ilvl="8" w:tplc="0419001B" w:tentative="1">
      <w:start w:val="1"/>
      <w:numFmt w:val="lowerRoman"/>
      <w:lvlText w:val="%9."/>
      <w:lvlJc w:val="right"/>
      <w:pPr>
        <w:ind w:left="5913" w:hanging="180"/>
      </w:pPr>
    </w:lvl>
  </w:abstractNum>
  <w:abstractNum w:abstractNumId="3">
    <w:nsid w:val="166F6801"/>
    <w:multiLevelType w:val="hybridMultilevel"/>
    <w:tmpl w:val="C9F6587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28DF25C6"/>
    <w:multiLevelType w:val="hybridMultilevel"/>
    <w:tmpl w:val="0A3C15B6"/>
    <w:lvl w:ilvl="0" w:tplc="3F2615DC">
      <w:start w:val="2"/>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2B5A52F8"/>
    <w:multiLevelType w:val="hybridMultilevel"/>
    <w:tmpl w:val="10B4416A"/>
    <w:lvl w:ilvl="0" w:tplc="D5FA7716">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6">
    <w:nsid w:val="2B6D32DC"/>
    <w:multiLevelType w:val="hybridMultilevel"/>
    <w:tmpl w:val="170C8AA0"/>
    <w:lvl w:ilvl="0" w:tplc="E3DAB450">
      <w:start w:val="2"/>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2DCB0950"/>
    <w:multiLevelType w:val="hybridMultilevel"/>
    <w:tmpl w:val="8808177C"/>
    <w:lvl w:ilvl="0" w:tplc="79C4E9CA">
      <w:start w:val="2"/>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2F226B2B"/>
    <w:multiLevelType w:val="hybridMultilevel"/>
    <w:tmpl w:val="9C4C7804"/>
    <w:lvl w:ilvl="0" w:tplc="7032A4EC">
      <w:start w:val="2"/>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316362A8"/>
    <w:multiLevelType w:val="hybridMultilevel"/>
    <w:tmpl w:val="378C4A1C"/>
    <w:lvl w:ilvl="0" w:tplc="A32A2F54">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3FED24B1"/>
    <w:multiLevelType w:val="hybridMultilevel"/>
    <w:tmpl w:val="FA4AABD4"/>
    <w:lvl w:ilvl="0" w:tplc="F1223664">
      <w:start w:val="2"/>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469928C6"/>
    <w:multiLevelType w:val="hybridMultilevel"/>
    <w:tmpl w:val="D06C6700"/>
    <w:lvl w:ilvl="0" w:tplc="00E24D6E">
      <w:start w:val="1"/>
      <w:numFmt w:val="bullet"/>
      <w:lvlText w:val="-"/>
      <w:lvlJc w:val="left"/>
      <w:pPr>
        <w:ind w:left="927" w:hanging="360"/>
      </w:pPr>
      <w:rPr>
        <w:rFonts w:ascii="Times New Roman" w:eastAsia="Times New Roman"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12">
    <w:nsid w:val="47E43814"/>
    <w:multiLevelType w:val="hybridMultilevel"/>
    <w:tmpl w:val="40E04C56"/>
    <w:lvl w:ilvl="0" w:tplc="95E01CCC">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4BBD4B9F"/>
    <w:multiLevelType w:val="hybridMultilevel"/>
    <w:tmpl w:val="72D4B2F6"/>
    <w:lvl w:ilvl="0" w:tplc="52ACF966">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nsid w:val="541C6E35"/>
    <w:multiLevelType w:val="hybridMultilevel"/>
    <w:tmpl w:val="246E0CF0"/>
    <w:lvl w:ilvl="0" w:tplc="CE6459E6">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72B00A06"/>
    <w:multiLevelType w:val="hybridMultilevel"/>
    <w:tmpl w:val="8A3C9F00"/>
    <w:lvl w:ilvl="0" w:tplc="AB2C33B8">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nsid w:val="7B123562"/>
    <w:multiLevelType w:val="hybridMultilevel"/>
    <w:tmpl w:val="78DAE672"/>
    <w:lvl w:ilvl="0" w:tplc="3F3C448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nsid w:val="7D447705"/>
    <w:multiLevelType w:val="hybridMultilevel"/>
    <w:tmpl w:val="9EA2369E"/>
    <w:lvl w:ilvl="0" w:tplc="2E12EF36">
      <w:start w:val="1"/>
      <w:numFmt w:val="decimal"/>
      <w:lvlText w:val="%1."/>
      <w:lvlJc w:val="left"/>
      <w:pPr>
        <w:ind w:left="360" w:hanging="360"/>
      </w:pPr>
      <w:rPr>
        <w:rFonts w:hint="default"/>
        <w:b w:val="0"/>
        <w:i w:val="0"/>
        <w:caps w:val="0"/>
        <w:strike w:val="0"/>
        <w:dstrike w:val="0"/>
        <w:outline w:val="0"/>
        <w:emboss w:val="0"/>
        <w:imprint w:val="0"/>
        <w:spacing w:val="0"/>
        <w:w w:val="100"/>
        <w:kern w:val="0"/>
        <w:position w:val="0"/>
        <w:sz w:val="28"/>
        <w:vertAlign w:val="baseline"/>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num w:numId="1">
    <w:abstractNumId w:val="13"/>
  </w:num>
  <w:num w:numId="2">
    <w:abstractNumId w:val="1"/>
  </w:num>
  <w:num w:numId="3">
    <w:abstractNumId w:val="0"/>
  </w:num>
  <w:num w:numId="4">
    <w:abstractNumId w:val="7"/>
  </w:num>
  <w:num w:numId="5">
    <w:abstractNumId w:val="8"/>
  </w:num>
  <w:num w:numId="6">
    <w:abstractNumId w:val="10"/>
  </w:num>
  <w:num w:numId="7">
    <w:abstractNumId w:val="6"/>
  </w:num>
  <w:num w:numId="8">
    <w:abstractNumId w:val="4"/>
  </w:num>
  <w:num w:numId="9">
    <w:abstractNumId w:val="15"/>
  </w:num>
  <w:num w:numId="10">
    <w:abstractNumId w:val="9"/>
  </w:num>
  <w:num w:numId="11">
    <w:abstractNumId w:val="12"/>
  </w:num>
  <w:num w:numId="12">
    <w:abstractNumId w:val="14"/>
  </w:num>
  <w:num w:numId="13">
    <w:abstractNumId w:val="5"/>
  </w:num>
  <w:num w:numId="14">
    <w:abstractNumId w:val="11"/>
  </w:num>
  <w:num w:numId="15">
    <w:abstractNumId w:val="3"/>
  </w:num>
  <w:num w:numId="16">
    <w:abstractNumId w:val="17"/>
  </w:num>
  <w:num w:numId="17">
    <w:abstractNumId w:val="16"/>
  </w:num>
  <w:num w:numId="1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972C0"/>
    <w:rsid w:val="0000038D"/>
    <w:rsid w:val="00001BF3"/>
    <w:rsid w:val="00007A0E"/>
    <w:rsid w:val="00011506"/>
    <w:rsid w:val="00013552"/>
    <w:rsid w:val="0001472A"/>
    <w:rsid w:val="0001655A"/>
    <w:rsid w:val="0001734A"/>
    <w:rsid w:val="000206F4"/>
    <w:rsid w:val="00020F54"/>
    <w:rsid w:val="00024847"/>
    <w:rsid w:val="0002643E"/>
    <w:rsid w:val="00033631"/>
    <w:rsid w:val="000408B5"/>
    <w:rsid w:val="000465E5"/>
    <w:rsid w:val="00050731"/>
    <w:rsid w:val="000517F7"/>
    <w:rsid w:val="00054207"/>
    <w:rsid w:val="00054CC2"/>
    <w:rsid w:val="0005605E"/>
    <w:rsid w:val="000675F4"/>
    <w:rsid w:val="000679D1"/>
    <w:rsid w:val="00073782"/>
    <w:rsid w:val="00074500"/>
    <w:rsid w:val="000764D8"/>
    <w:rsid w:val="000776A7"/>
    <w:rsid w:val="00081E9E"/>
    <w:rsid w:val="000832CE"/>
    <w:rsid w:val="0008691D"/>
    <w:rsid w:val="000932BF"/>
    <w:rsid w:val="00094088"/>
    <w:rsid w:val="000A3CE0"/>
    <w:rsid w:val="000A41B3"/>
    <w:rsid w:val="000B134E"/>
    <w:rsid w:val="000B5BCB"/>
    <w:rsid w:val="000C05AC"/>
    <w:rsid w:val="000C2A09"/>
    <w:rsid w:val="000D5BD8"/>
    <w:rsid w:val="000D7447"/>
    <w:rsid w:val="000E38FF"/>
    <w:rsid w:val="000F0144"/>
    <w:rsid w:val="000F3561"/>
    <w:rsid w:val="000F5215"/>
    <w:rsid w:val="0010359D"/>
    <w:rsid w:val="001155AC"/>
    <w:rsid w:val="00124101"/>
    <w:rsid w:val="00126EC2"/>
    <w:rsid w:val="0012752A"/>
    <w:rsid w:val="00136A2B"/>
    <w:rsid w:val="00141B4D"/>
    <w:rsid w:val="00141C71"/>
    <w:rsid w:val="00144493"/>
    <w:rsid w:val="001445ED"/>
    <w:rsid w:val="00151941"/>
    <w:rsid w:val="00153D4E"/>
    <w:rsid w:val="0015508A"/>
    <w:rsid w:val="00155DAB"/>
    <w:rsid w:val="001574A0"/>
    <w:rsid w:val="00160350"/>
    <w:rsid w:val="001739A1"/>
    <w:rsid w:val="0017737C"/>
    <w:rsid w:val="0017763F"/>
    <w:rsid w:val="00185E1D"/>
    <w:rsid w:val="00191D37"/>
    <w:rsid w:val="0019667B"/>
    <w:rsid w:val="001A51C8"/>
    <w:rsid w:val="001A5813"/>
    <w:rsid w:val="001A5885"/>
    <w:rsid w:val="001A5AD0"/>
    <w:rsid w:val="001A6D13"/>
    <w:rsid w:val="001A7511"/>
    <w:rsid w:val="001A751A"/>
    <w:rsid w:val="001A7F32"/>
    <w:rsid w:val="001B26FE"/>
    <w:rsid w:val="001B35D1"/>
    <w:rsid w:val="001C365F"/>
    <w:rsid w:val="001C7B86"/>
    <w:rsid w:val="001C7F96"/>
    <w:rsid w:val="001D4C59"/>
    <w:rsid w:val="001D69FC"/>
    <w:rsid w:val="001D7F55"/>
    <w:rsid w:val="001E016D"/>
    <w:rsid w:val="001E18B1"/>
    <w:rsid w:val="001F1CF4"/>
    <w:rsid w:val="001F67D6"/>
    <w:rsid w:val="0020055B"/>
    <w:rsid w:val="002035B6"/>
    <w:rsid w:val="00206CEE"/>
    <w:rsid w:val="00213777"/>
    <w:rsid w:val="00217F22"/>
    <w:rsid w:val="0022292F"/>
    <w:rsid w:val="00231366"/>
    <w:rsid w:val="0023535B"/>
    <w:rsid w:val="002374E0"/>
    <w:rsid w:val="00240F8C"/>
    <w:rsid w:val="00240FEE"/>
    <w:rsid w:val="00241515"/>
    <w:rsid w:val="002429C1"/>
    <w:rsid w:val="002442E4"/>
    <w:rsid w:val="00247FA3"/>
    <w:rsid w:val="00250DCD"/>
    <w:rsid w:val="002516E5"/>
    <w:rsid w:val="00252C7A"/>
    <w:rsid w:val="00252E01"/>
    <w:rsid w:val="00255DF0"/>
    <w:rsid w:val="00267141"/>
    <w:rsid w:val="00270DB0"/>
    <w:rsid w:val="00272BA2"/>
    <w:rsid w:val="00284953"/>
    <w:rsid w:val="00290DD8"/>
    <w:rsid w:val="002911EE"/>
    <w:rsid w:val="00295419"/>
    <w:rsid w:val="00296163"/>
    <w:rsid w:val="002B50E7"/>
    <w:rsid w:val="002C753C"/>
    <w:rsid w:val="002C75C5"/>
    <w:rsid w:val="002D03FF"/>
    <w:rsid w:val="002D2044"/>
    <w:rsid w:val="002D4809"/>
    <w:rsid w:val="002D5171"/>
    <w:rsid w:val="002E2366"/>
    <w:rsid w:val="002E4C8D"/>
    <w:rsid w:val="002E5462"/>
    <w:rsid w:val="002E6BBD"/>
    <w:rsid w:val="002F3CD0"/>
    <w:rsid w:val="003002BB"/>
    <w:rsid w:val="00304B2C"/>
    <w:rsid w:val="00312578"/>
    <w:rsid w:val="00313B0E"/>
    <w:rsid w:val="003145C9"/>
    <w:rsid w:val="00316BEB"/>
    <w:rsid w:val="00321A1C"/>
    <w:rsid w:val="00323713"/>
    <w:rsid w:val="003371C7"/>
    <w:rsid w:val="00342FDD"/>
    <w:rsid w:val="003434E6"/>
    <w:rsid w:val="00346F33"/>
    <w:rsid w:val="00347227"/>
    <w:rsid w:val="0035155E"/>
    <w:rsid w:val="0035513C"/>
    <w:rsid w:val="00364142"/>
    <w:rsid w:val="003656B3"/>
    <w:rsid w:val="003738BD"/>
    <w:rsid w:val="00382AF4"/>
    <w:rsid w:val="00384A22"/>
    <w:rsid w:val="00386D8A"/>
    <w:rsid w:val="00387C7C"/>
    <w:rsid w:val="00391B0E"/>
    <w:rsid w:val="00391CB3"/>
    <w:rsid w:val="003932EE"/>
    <w:rsid w:val="0039467A"/>
    <w:rsid w:val="00395769"/>
    <w:rsid w:val="003A1720"/>
    <w:rsid w:val="003A46AD"/>
    <w:rsid w:val="003A6901"/>
    <w:rsid w:val="003B0243"/>
    <w:rsid w:val="003B0914"/>
    <w:rsid w:val="003B20FF"/>
    <w:rsid w:val="003B6526"/>
    <w:rsid w:val="003B6CC5"/>
    <w:rsid w:val="003C0AF7"/>
    <w:rsid w:val="003C275D"/>
    <w:rsid w:val="003C5F1A"/>
    <w:rsid w:val="003C6097"/>
    <w:rsid w:val="003D0EFB"/>
    <w:rsid w:val="003E2B38"/>
    <w:rsid w:val="003E3BE2"/>
    <w:rsid w:val="003E5405"/>
    <w:rsid w:val="003E62C9"/>
    <w:rsid w:val="003F1573"/>
    <w:rsid w:val="004047C1"/>
    <w:rsid w:val="00415943"/>
    <w:rsid w:val="00420654"/>
    <w:rsid w:val="0042391E"/>
    <w:rsid w:val="0042456F"/>
    <w:rsid w:val="00432508"/>
    <w:rsid w:val="004356FF"/>
    <w:rsid w:val="00435945"/>
    <w:rsid w:val="00451481"/>
    <w:rsid w:val="0045569C"/>
    <w:rsid w:val="00465ACF"/>
    <w:rsid w:val="004660C2"/>
    <w:rsid w:val="00467F60"/>
    <w:rsid w:val="004728A2"/>
    <w:rsid w:val="00474613"/>
    <w:rsid w:val="00484D6B"/>
    <w:rsid w:val="004972C0"/>
    <w:rsid w:val="00497DFE"/>
    <w:rsid w:val="004A68BD"/>
    <w:rsid w:val="004A6A14"/>
    <w:rsid w:val="004A6CB8"/>
    <w:rsid w:val="004B72AB"/>
    <w:rsid w:val="004C0277"/>
    <w:rsid w:val="004C165D"/>
    <w:rsid w:val="004C25C4"/>
    <w:rsid w:val="004C6A3B"/>
    <w:rsid w:val="004C718E"/>
    <w:rsid w:val="004D32A2"/>
    <w:rsid w:val="004D3C8A"/>
    <w:rsid w:val="004E25D9"/>
    <w:rsid w:val="004E3EAB"/>
    <w:rsid w:val="004E4C1E"/>
    <w:rsid w:val="004E5C48"/>
    <w:rsid w:val="004E71D0"/>
    <w:rsid w:val="004F0365"/>
    <w:rsid w:val="004F1F4C"/>
    <w:rsid w:val="004F4BE4"/>
    <w:rsid w:val="004F4D39"/>
    <w:rsid w:val="004F4E73"/>
    <w:rsid w:val="004F6A0A"/>
    <w:rsid w:val="00500057"/>
    <w:rsid w:val="00502EE9"/>
    <w:rsid w:val="00507522"/>
    <w:rsid w:val="005111EB"/>
    <w:rsid w:val="00513871"/>
    <w:rsid w:val="005141FD"/>
    <w:rsid w:val="005177FF"/>
    <w:rsid w:val="00520279"/>
    <w:rsid w:val="005232B4"/>
    <w:rsid w:val="005239F5"/>
    <w:rsid w:val="00524C0C"/>
    <w:rsid w:val="00527CE5"/>
    <w:rsid w:val="00532622"/>
    <w:rsid w:val="00542FAA"/>
    <w:rsid w:val="0054474C"/>
    <w:rsid w:val="00550E20"/>
    <w:rsid w:val="00552C44"/>
    <w:rsid w:val="0055456C"/>
    <w:rsid w:val="00554CB3"/>
    <w:rsid w:val="0055691D"/>
    <w:rsid w:val="00560E23"/>
    <w:rsid w:val="00564CD4"/>
    <w:rsid w:val="00566DF8"/>
    <w:rsid w:val="00567095"/>
    <w:rsid w:val="00577498"/>
    <w:rsid w:val="005832C4"/>
    <w:rsid w:val="0058550A"/>
    <w:rsid w:val="00585BB8"/>
    <w:rsid w:val="0059797E"/>
    <w:rsid w:val="00597CE2"/>
    <w:rsid w:val="005A0491"/>
    <w:rsid w:val="005A1632"/>
    <w:rsid w:val="005A6109"/>
    <w:rsid w:val="005A6EF3"/>
    <w:rsid w:val="005B0411"/>
    <w:rsid w:val="005B076C"/>
    <w:rsid w:val="005B26A5"/>
    <w:rsid w:val="005B6518"/>
    <w:rsid w:val="005C2B9A"/>
    <w:rsid w:val="005C689A"/>
    <w:rsid w:val="005D029C"/>
    <w:rsid w:val="005D3D8A"/>
    <w:rsid w:val="005E33D9"/>
    <w:rsid w:val="005E7032"/>
    <w:rsid w:val="005E7756"/>
    <w:rsid w:val="005E7CB6"/>
    <w:rsid w:val="005F0A41"/>
    <w:rsid w:val="00603EEE"/>
    <w:rsid w:val="006051E5"/>
    <w:rsid w:val="00605A3F"/>
    <w:rsid w:val="00617E86"/>
    <w:rsid w:val="006203F9"/>
    <w:rsid w:val="00621FB8"/>
    <w:rsid w:val="00625204"/>
    <w:rsid w:val="0062621C"/>
    <w:rsid w:val="00626C34"/>
    <w:rsid w:val="0063019E"/>
    <w:rsid w:val="00630B2A"/>
    <w:rsid w:val="006317EA"/>
    <w:rsid w:val="00636A2A"/>
    <w:rsid w:val="00641D7A"/>
    <w:rsid w:val="00645DA1"/>
    <w:rsid w:val="00651CC3"/>
    <w:rsid w:val="00652B38"/>
    <w:rsid w:val="0065430B"/>
    <w:rsid w:val="00654CA3"/>
    <w:rsid w:val="006570B4"/>
    <w:rsid w:val="00660B32"/>
    <w:rsid w:val="00662017"/>
    <w:rsid w:val="00663BAD"/>
    <w:rsid w:val="00663FF7"/>
    <w:rsid w:val="006643FD"/>
    <w:rsid w:val="006648B1"/>
    <w:rsid w:val="00664FE1"/>
    <w:rsid w:val="006653E5"/>
    <w:rsid w:val="0067103D"/>
    <w:rsid w:val="006746F7"/>
    <w:rsid w:val="00677391"/>
    <w:rsid w:val="00681143"/>
    <w:rsid w:val="00692BC1"/>
    <w:rsid w:val="0069736A"/>
    <w:rsid w:val="006A2F7C"/>
    <w:rsid w:val="006A4758"/>
    <w:rsid w:val="006B01DD"/>
    <w:rsid w:val="006B1BF5"/>
    <w:rsid w:val="006B31F2"/>
    <w:rsid w:val="006B443C"/>
    <w:rsid w:val="006B72BF"/>
    <w:rsid w:val="006C5321"/>
    <w:rsid w:val="006C5486"/>
    <w:rsid w:val="006C740A"/>
    <w:rsid w:val="006E0C28"/>
    <w:rsid w:val="006E0FE1"/>
    <w:rsid w:val="006E4D06"/>
    <w:rsid w:val="006E669F"/>
    <w:rsid w:val="006F0955"/>
    <w:rsid w:val="006F5A52"/>
    <w:rsid w:val="00701485"/>
    <w:rsid w:val="00706710"/>
    <w:rsid w:val="007104C3"/>
    <w:rsid w:val="00712DB2"/>
    <w:rsid w:val="007147DC"/>
    <w:rsid w:val="00716B63"/>
    <w:rsid w:val="00716D28"/>
    <w:rsid w:val="00733312"/>
    <w:rsid w:val="007338E9"/>
    <w:rsid w:val="00734750"/>
    <w:rsid w:val="00740C98"/>
    <w:rsid w:val="0074590B"/>
    <w:rsid w:val="00745F42"/>
    <w:rsid w:val="00747B09"/>
    <w:rsid w:val="00750A58"/>
    <w:rsid w:val="00750C7F"/>
    <w:rsid w:val="007526D3"/>
    <w:rsid w:val="00756BAA"/>
    <w:rsid w:val="00761ECB"/>
    <w:rsid w:val="00781599"/>
    <w:rsid w:val="00787608"/>
    <w:rsid w:val="00792013"/>
    <w:rsid w:val="00794556"/>
    <w:rsid w:val="007964FE"/>
    <w:rsid w:val="007A2B11"/>
    <w:rsid w:val="007A72E2"/>
    <w:rsid w:val="007A7418"/>
    <w:rsid w:val="007B438F"/>
    <w:rsid w:val="007B4CE1"/>
    <w:rsid w:val="007C0D44"/>
    <w:rsid w:val="007C1609"/>
    <w:rsid w:val="007C4EC3"/>
    <w:rsid w:val="007D42C0"/>
    <w:rsid w:val="007D529D"/>
    <w:rsid w:val="007E008F"/>
    <w:rsid w:val="007E2679"/>
    <w:rsid w:val="007E5C00"/>
    <w:rsid w:val="007F3C2F"/>
    <w:rsid w:val="007F54EE"/>
    <w:rsid w:val="007F5AC3"/>
    <w:rsid w:val="007F65D6"/>
    <w:rsid w:val="007F7A00"/>
    <w:rsid w:val="00800A61"/>
    <w:rsid w:val="00800F6E"/>
    <w:rsid w:val="008039E1"/>
    <w:rsid w:val="00805A29"/>
    <w:rsid w:val="008134F1"/>
    <w:rsid w:val="00827728"/>
    <w:rsid w:val="008413BB"/>
    <w:rsid w:val="008414B8"/>
    <w:rsid w:val="008423B8"/>
    <w:rsid w:val="00843F33"/>
    <w:rsid w:val="008457B6"/>
    <w:rsid w:val="0084750B"/>
    <w:rsid w:val="008522D9"/>
    <w:rsid w:val="008540D7"/>
    <w:rsid w:val="00855A6A"/>
    <w:rsid w:val="0086241E"/>
    <w:rsid w:val="0086289D"/>
    <w:rsid w:val="00862A2B"/>
    <w:rsid w:val="00872366"/>
    <w:rsid w:val="00872C32"/>
    <w:rsid w:val="0087789D"/>
    <w:rsid w:val="008849C5"/>
    <w:rsid w:val="008861C5"/>
    <w:rsid w:val="008906D3"/>
    <w:rsid w:val="00891594"/>
    <w:rsid w:val="008943F2"/>
    <w:rsid w:val="00895A8C"/>
    <w:rsid w:val="008A0BB9"/>
    <w:rsid w:val="008A0D2F"/>
    <w:rsid w:val="008A6A88"/>
    <w:rsid w:val="008B3E00"/>
    <w:rsid w:val="008B6943"/>
    <w:rsid w:val="008C4979"/>
    <w:rsid w:val="008C5695"/>
    <w:rsid w:val="008C6C19"/>
    <w:rsid w:val="008D2517"/>
    <w:rsid w:val="008D3F05"/>
    <w:rsid w:val="008E26BB"/>
    <w:rsid w:val="008E6A98"/>
    <w:rsid w:val="008F04D9"/>
    <w:rsid w:val="008F23DF"/>
    <w:rsid w:val="008F5F7F"/>
    <w:rsid w:val="009022AB"/>
    <w:rsid w:val="0090641F"/>
    <w:rsid w:val="009079B7"/>
    <w:rsid w:val="00910C31"/>
    <w:rsid w:val="00917CB3"/>
    <w:rsid w:val="00922E48"/>
    <w:rsid w:val="009245EF"/>
    <w:rsid w:val="009356BB"/>
    <w:rsid w:val="009438C9"/>
    <w:rsid w:val="00951602"/>
    <w:rsid w:val="00952E15"/>
    <w:rsid w:val="00963D2A"/>
    <w:rsid w:val="009667E7"/>
    <w:rsid w:val="00966DF2"/>
    <w:rsid w:val="00967640"/>
    <w:rsid w:val="00970B67"/>
    <w:rsid w:val="009855BD"/>
    <w:rsid w:val="00990CF8"/>
    <w:rsid w:val="00991E9A"/>
    <w:rsid w:val="009937E2"/>
    <w:rsid w:val="00994FED"/>
    <w:rsid w:val="009A2FEE"/>
    <w:rsid w:val="009A7265"/>
    <w:rsid w:val="009A7BBB"/>
    <w:rsid w:val="009C136E"/>
    <w:rsid w:val="009D0FC9"/>
    <w:rsid w:val="009D2DC3"/>
    <w:rsid w:val="009F210D"/>
    <w:rsid w:val="009F3E76"/>
    <w:rsid w:val="009F641B"/>
    <w:rsid w:val="009F7154"/>
    <w:rsid w:val="00A00AB9"/>
    <w:rsid w:val="00A0543F"/>
    <w:rsid w:val="00A11DCC"/>
    <w:rsid w:val="00A122FB"/>
    <w:rsid w:val="00A12F9D"/>
    <w:rsid w:val="00A16E66"/>
    <w:rsid w:val="00A2537E"/>
    <w:rsid w:val="00A2562F"/>
    <w:rsid w:val="00A31869"/>
    <w:rsid w:val="00A326FC"/>
    <w:rsid w:val="00A46D3B"/>
    <w:rsid w:val="00A52444"/>
    <w:rsid w:val="00A573E7"/>
    <w:rsid w:val="00A57D72"/>
    <w:rsid w:val="00A6045D"/>
    <w:rsid w:val="00A637BD"/>
    <w:rsid w:val="00A64A71"/>
    <w:rsid w:val="00A65DB1"/>
    <w:rsid w:val="00A67C10"/>
    <w:rsid w:val="00A70D36"/>
    <w:rsid w:val="00A73373"/>
    <w:rsid w:val="00A83686"/>
    <w:rsid w:val="00A86632"/>
    <w:rsid w:val="00AA0D00"/>
    <w:rsid w:val="00AA4D35"/>
    <w:rsid w:val="00AB2639"/>
    <w:rsid w:val="00AB3B00"/>
    <w:rsid w:val="00AB59B3"/>
    <w:rsid w:val="00AB6F85"/>
    <w:rsid w:val="00AC01DB"/>
    <w:rsid w:val="00AC7672"/>
    <w:rsid w:val="00AC7694"/>
    <w:rsid w:val="00AD50F1"/>
    <w:rsid w:val="00AD7891"/>
    <w:rsid w:val="00AE4285"/>
    <w:rsid w:val="00AE78BC"/>
    <w:rsid w:val="00AF6C77"/>
    <w:rsid w:val="00B016C3"/>
    <w:rsid w:val="00B048FD"/>
    <w:rsid w:val="00B106CC"/>
    <w:rsid w:val="00B1081E"/>
    <w:rsid w:val="00B111EB"/>
    <w:rsid w:val="00B12D6F"/>
    <w:rsid w:val="00B17916"/>
    <w:rsid w:val="00B34516"/>
    <w:rsid w:val="00B431CF"/>
    <w:rsid w:val="00B4462E"/>
    <w:rsid w:val="00B475F5"/>
    <w:rsid w:val="00B55FBE"/>
    <w:rsid w:val="00B60D0B"/>
    <w:rsid w:val="00B63AC0"/>
    <w:rsid w:val="00B7132F"/>
    <w:rsid w:val="00B74BB1"/>
    <w:rsid w:val="00B82829"/>
    <w:rsid w:val="00B86B1A"/>
    <w:rsid w:val="00B87359"/>
    <w:rsid w:val="00B90AA2"/>
    <w:rsid w:val="00BA5969"/>
    <w:rsid w:val="00BB49EF"/>
    <w:rsid w:val="00BB70E7"/>
    <w:rsid w:val="00BC2D39"/>
    <w:rsid w:val="00BC4F1D"/>
    <w:rsid w:val="00BC79C7"/>
    <w:rsid w:val="00BD18F0"/>
    <w:rsid w:val="00BD1A1F"/>
    <w:rsid w:val="00BD3787"/>
    <w:rsid w:val="00BF0798"/>
    <w:rsid w:val="00BF21B5"/>
    <w:rsid w:val="00BF25F9"/>
    <w:rsid w:val="00BF2FAC"/>
    <w:rsid w:val="00BF31FB"/>
    <w:rsid w:val="00C0160A"/>
    <w:rsid w:val="00C12C43"/>
    <w:rsid w:val="00C13459"/>
    <w:rsid w:val="00C14F7E"/>
    <w:rsid w:val="00C152FE"/>
    <w:rsid w:val="00C22992"/>
    <w:rsid w:val="00C232C2"/>
    <w:rsid w:val="00C24044"/>
    <w:rsid w:val="00C242D8"/>
    <w:rsid w:val="00C316F1"/>
    <w:rsid w:val="00C32D91"/>
    <w:rsid w:val="00C3314F"/>
    <w:rsid w:val="00C343BB"/>
    <w:rsid w:val="00C377DB"/>
    <w:rsid w:val="00C4084E"/>
    <w:rsid w:val="00C40A52"/>
    <w:rsid w:val="00C43A19"/>
    <w:rsid w:val="00C453FE"/>
    <w:rsid w:val="00C45F81"/>
    <w:rsid w:val="00C46BC9"/>
    <w:rsid w:val="00C527BC"/>
    <w:rsid w:val="00C536A4"/>
    <w:rsid w:val="00C5586E"/>
    <w:rsid w:val="00C55899"/>
    <w:rsid w:val="00C63D33"/>
    <w:rsid w:val="00C649CE"/>
    <w:rsid w:val="00C64EA2"/>
    <w:rsid w:val="00C66EC6"/>
    <w:rsid w:val="00C72AC8"/>
    <w:rsid w:val="00C82752"/>
    <w:rsid w:val="00C914CF"/>
    <w:rsid w:val="00C94164"/>
    <w:rsid w:val="00CA2790"/>
    <w:rsid w:val="00CA7AE6"/>
    <w:rsid w:val="00CB0F4D"/>
    <w:rsid w:val="00CB26C7"/>
    <w:rsid w:val="00CB4008"/>
    <w:rsid w:val="00CC329B"/>
    <w:rsid w:val="00CC3A01"/>
    <w:rsid w:val="00CD0959"/>
    <w:rsid w:val="00CE0A05"/>
    <w:rsid w:val="00CE588F"/>
    <w:rsid w:val="00CF207E"/>
    <w:rsid w:val="00CF54EA"/>
    <w:rsid w:val="00CF5B3E"/>
    <w:rsid w:val="00CF7AAC"/>
    <w:rsid w:val="00D01D4C"/>
    <w:rsid w:val="00D02458"/>
    <w:rsid w:val="00D04007"/>
    <w:rsid w:val="00D070D6"/>
    <w:rsid w:val="00D11A75"/>
    <w:rsid w:val="00D14498"/>
    <w:rsid w:val="00D22D8E"/>
    <w:rsid w:val="00D3200E"/>
    <w:rsid w:val="00D327FC"/>
    <w:rsid w:val="00D33B17"/>
    <w:rsid w:val="00D43042"/>
    <w:rsid w:val="00D52CC0"/>
    <w:rsid w:val="00D56A75"/>
    <w:rsid w:val="00D56F72"/>
    <w:rsid w:val="00D6215C"/>
    <w:rsid w:val="00D64860"/>
    <w:rsid w:val="00D72D19"/>
    <w:rsid w:val="00D72DAE"/>
    <w:rsid w:val="00D75077"/>
    <w:rsid w:val="00D76AA4"/>
    <w:rsid w:val="00D77CA2"/>
    <w:rsid w:val="00D831B1"/>
    <w:rsid w:val="00D84FAA"/>
    <w:rsid w:val="00D85A1C"/>
    <w:rsid w:val="00D911C7"/>
    <w:rsid w:val="00D92CDF"/>
    <w:rsid w:val="00D931C3"/>
    <w:rsid w:val="00D9350A"/>
    <w:rsid w:val="00DA4A28"/>
    <w:rsid w:val="00DB089B"/>
    <w:rsid w:val="00DB173F"/>
    <w:rsid w:val="00DB1E67"/>
    <w:rsid w:val="00DB7E12"/>
    <w:rsid w:val="00DD10B4"/>
    <w:rsid w:val="00DD7ECC"/>
    <w:rsid w:val="00DE0786"/>
    <w:rsid w:val="00DE258E"/>
    <w:rsid w:val="00DE3FF9"/>
    <w:rsid w:val="00DE48D7"/>
    <w:rsid w:val="00DE7F41"/>
    <w:rsid w:val="00DF54F7"/>
    <w:rsid w:val="00E0147E"/>
    <w:rsid w:val="00E03834"/>
    <w:rsid w:val="00E05837"/>
    <w:rsid w:val="00E07758"/>
    <w:rsid w:val="00E25448"/>
    <w:rsid w:val="00E3051A"/>
    <w:rsid w:val="00E325DB"/>
    <w:rsid w:val="00E35B4F"/>
    <w:rsid w:val="00E369BB"/>
    <w:rsid w:val="00E43AB3"/>
    <w:rsid w:val="00E451B2"/>
    <w:rsid w:val="00E4708B"/>
    <w:rsid w:val="00E60BBE"/>
    <w:rsid w:val="00E63496"/>
    <w:rsid w:val="00E77B39"/>
    <w:rsid w:val="00E8335D"/>
    <w:rsid w:val="00E90499"/>
    <w:rsid w:val="00E95DAA"/>
    <w:rsid w:val="00E96003"/>
    <w:rsid w:val="00EA57F8"/>
    <w:rsid w:val="00EA786B"/>
    <w:rsid w:val="00EB1F80"/>
    <w:rsid w:val="00EB3A9B"/>
    <w:rsid w:val="00EB629A"/>
    <w:rsid w:val="00EC1C6F"/>
    <w:rsid w:val="00EC3B92"/>
    <w:rsid w:val="00ED4894"/>
    <w:rsid w:val="00ED6FD3"/>
    <w:rsid w:val="00ED72D5"/>
    <w:rsid w:val="00EF07D8"/>
    <w:rsid w:val="00EF1838"/>
    <w:rsid w:val="00F01581"/>
    <w:rsid w:val="00F02D07"/>
    <w:rsid w:val="00F05F1B"/>
    <w:rsid w:val="00F11A12"/>
    <w:rsid w:val="00F1286E"/>
    <w:rsid w:val="00F22FD1"/>
    <w:rsid w:val="00F23C6C"/>
    <w:rsid w:val="00F2401E"/>
    <w:rsid w:val="00F24D52"/>
    <w:rsid w:val="00F25AC7"/>
    <w:rsid w:val="00F33B27"/>
    <w:rsid w:val="00F34517"/>
    <w:rsid w:val="00F348A8"/>
    <w:rsid w:val="00F35D2C"/>
    <w:rsid w:val="00F40775"/>
    <w:rsid w:val="00F41262"/>
    <w:rsid w:val="00F43AE1"/>
    <w:rsid w:val="00F4509B"/>
    <w:rsid w:val="00F566F3"/>
    <w:rsid w:val="00F577D4"/>
    <w:rsid w:val="00F64F29"/>
    <w:rsid w:val="00F65623"/>
    <w:rsid w:val="00F66EA5"/>
    <w:rsid w:val="00F67F29"/>
    <w:rsid w:val="00F778CC"/>
    <w:rsid w:val="00F83AE2"/>
    <w:rsid w:val="00F85461"/>
    <w:rsid w:val="00F86254"/>
    <w:rsid w:val="00F86A58"/>
    <w:rsid w:val="00F9135A"/>
    <w:rsid w:val="00F97736"/>
    <w:rsid w:val="00FA3DDD"/>
    <w:rsid w:val="00FA670C"/>
    <w:rsid w:val="00FA6FEA"/>
    <w:rsid w:val="00FA77FA"/>
    <w:rsid w:val="00FB383B"/>
    <w:rsid w:val="00FB5433"/>
    <w:rsid w:val="00FB7C72"/>
    <w:rsid w:val="00FD21A7"/>
    <w:rsid w:val="00FD24D2"/>
    <w:rsid w:val="00FE1FF5"/>
    <w:rsid w:val="00FE777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8"/>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972C0"/>
    <w:pPr>
      <w:spacing w:after="0" w:line="240" w:lineRule="auto"/>
    </w:pPr>
    <w:rPr>
      <w:rFonts w:eastAsia="Times New Roman" w:cs="Times New Roman"/>
      <w:sz w:val="20"/>
      <w:szCs w:val="20"/>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DD7ECC"/>
    <w:pPr>
      <w:tabs>
        <w:tab w:val="center" w:pos="4677"/>
        <w:tab w:val="right" w:pos="9355"/>
      </w:tabs>
    </w:pPr>
  </w:style>
  <w:style w:type="character" w:customStyle="1" w:styleId="a4">
    <w:name w:val="Верхний колонтитул Знак"/>
    <w:basedOn w:val="a0"/>
    <w:link w:val="a3"/>
    <w:uiPriority w:val="99"/>
    <w:rsid w:val="00DD7ECC"/>
    <w:rPr>
      <w:rFonts w:eastAsia="Times New Roman" w:cs="Times New Roman"/>
      <w:sz w:val="20"/>
      <w:szCs w:val="20"/>
      <w:lang w:val="uk-UA" w:eastAsia="ru-RU"/>
    </w:rPr>
  </w:style>
  <w:style w:type="paragraph" w:styleId="a5">
    <w:name w:val="footer"/>
    <w:basedOn w:val="a"/>
    <w:link w:val="a6"/>
    <w:uiPriority w:val="99"/>
    <w:unhideWhenUsed/>
    <w:rsid w:val="00DD7ECC"/>
    <w:pPr>
      <w:tabs>
        <w:tab w:val="center" w:pos="4677"/>
        <w:tab w:val="right" w:pos="9355"/>
      </w:tabs>
    </w:pPr>
  </w:style>
  <w:style w:type="character" w:customStyle="1" w:styleId="a6">
    <w:name w:val="Нижний колонтитул Знак"/>
    <w:basedOn w:val="a0"/>
    <w:link w:val="a5"/>
    <w:uiPriority w:val="99"/>
    <w:rsid w:val="00DD7ECC"/>
    <w:rPr>
      <w:rFonts w:eastAsia="Times New Roman" w:cs="Times New Roman"/>
      <w:sz w:val="20"/>
      <w:szCs w:val="20"/>
      <w:lang w:val="uk-UA" w:eastAsia="ru-RU"/>
    </w:rPr>
  </w:style>
  <w:style w:type="table" w:styleId="a7">
    <w:name w:val="Table Grid"/>
    <w:basedOn w:val="a1"/>
    <w:uiPriority w:val="39"/>
    <w:rsid w:val="00A8663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List Paragraph"/>
    <w:basedOn w:val="a"/>
    <w:uiPriority w:val="34"/>
    <w:qFormat/>
    <w:rsid w:val="00A12F9D"/>
    <w:pPr>
      <w:ind w:left="720"/>
      <w:contextualSpacing/>
    </w:pPr>
  </w:style>
  <w:style w:type="character" w:styleId="a9">
    <w:name w:val="annotation reference"/>
    <w:basedOn w:val="a0"/>
    <w:uiPriority w:val="99"/>
    <w:semiHidden/>
    <w:unhideWhenUsed/>
    <w:rsid w:val="00500057"/>
    <w:rPr>
      <w:sz w:val="16"/>
      <w:szCs w:val="16"/>
    </w:rPr>
  </w:style>
  <w:style w:type="paragraph" w:styleId="aa">
    <w:name w:val="annotation text"/>
    <w:basedOn w:val="a"/>
    <w:link w:val="ab"/>
    <w:uiPriority w:val="99"/>
    <w:semiHidden/>
    <w:unhideWhenUsed/>
    <w:rsid w:val="00500057"/>
  </w:style>
  <w:style w:type="character" w:customStyle="1" w:styleId="ab">
    <w:name w:val="Текст примечания Знак"/>
    <w:basedOn w:val="a0"/>
    <w:link w:val="aa"/>
    <w:uiPriority w:val="99"/>
    <w:semiHidden/>
    <w:rsid w:val="00500057"/>
    <w:rPr>
      <w:rFonts w:eastAsia="Times New Roman" w:cs="Times New Roman"/>
      <w:sz w:val="20"/>
      <w:szCs w:val="20"/>
      <w:lang w:val="uk-UA" w:eastAsia="ru-RU"/>
    </w:rPr>
  </w:style>
  <w:style w:type="paragraph" w:styleId="ac">
    <w:name w:val="annotation subject"/>
    <w:basedOn w:val="aa"/>
    <w:next w:val="aa"/>
    <w:link w:val="ad"/>
    <w:uiPriority w:val="99"/>
    <w:semiHidden/>
    <w:unhideWhenUsed/>
    <w:rsid w:val="00500057"/>
    <w:rPr>
      <w:b/>
      <w:bCs/>
    </w:rPr>
  </w:style>
  <w:style w:type="character" w:customStyle="1" w:styleId="ad">
    <w:name w:val="Тема примечания Знак"/>
    <w:basedOn w:val="ab"/>
    <w:link w:val="ac"/>
    <w:uiPriority w:val="99"/>
    <w:semiHidden/>
    <w:rsid w:val="00500057"/>
    <w:rPr>
      <w:rFonts w:eastAsia="Times New Roman" w:cs="Times New Roman"/>
      <w:b/>
      <w:bCs/>
      <w:sz w:val="20"/>
      <w:szCs w:val="20"/>
      <w:lang w:val="uk-UA" w:eastAsia="ru-RU"/>
    </w:rPr>
  </w:style>
  <w:style w:type="paragraph" w:styleId="ae">
    <w:name w:val="Balloon Text"/>
    <w:basedOn w:val="a"/>
    <w:link w:val="af"/>
    <w:uiPriority w:val="99"/>
    <w:semiHidden/>
    <w:unhideWhenUsed/>
    <w:rsid w:val="00500057"/>
    <w:rPr>
      <w:rFonts w:ascii="Segoe UI" w:hAnsi="Segoe UI" w:cs="Segoe UI"/>
      <w:sz w:val="18"/>
      <w:szCs w:val="18"/>
    </w:rPr>
  </w:style>
  <w:style w:type="character" w:customStyle="1" w:styleId="af">
    <w:name w:val="Текст выноски Знак"/>
    <w:basedOn w:val="a0"/>
    <w:link w:val="ae"/>
    <w:uiPriority w:val="99"/>
    <w:semiHidden/>
    <w:rsid w:val="00500057"/>
    <w:rPr>
      <w:rFonts w:ascii="Segoe UI" w:eastAsia="Times New Roman" w:hAnsi="Segoe UI" w:cs="Segoe UI"/>
      <w:sz w:val="18"/>
      <w:szCs w:val="18"/>
      <w:lang w:val="uk-UA" w:eastAsia="ru-RU"/>
    </w:rPr>
  </w:style>
  <w:style w:type="paragraph" w:styleId="af0">
    <w:name w:val="Normal (Web)"/>
    <w:basedOn w:val="a"/>
    <w:uiPriority w:val="99"/>
    <w:unhideWhenUsed/>
    <w:rsid w:val="004A68BD"/>
    <w:pPr>
      <w:spacing w:before="100" w:beforeAutospacing="1" w:after="100" w:afterAutospacing="1"/>
    </w:pPr>
    <w:rPr>
      <w:sz w:val="24"/>
      <w:szCs w:val="24"/>
      <w:lang w:val="ru-RU"/>
    </w:rPr>
  </w:style>
  <w:style w:type="character" w:styleId="af1">
    <w:name w:val="Hyperlink"/>
    <w:basedOn w:val="a0"/>
    <w:uiPriority w:val="99"/>
    <w:unhideWhenUsed/>
    <w:rsid w:val="00151941"/>
    <w:rPr>
      <w:color w:val="0563C1" w:themeColor="hyperlink"/>
      <w:u w:val="single"/>
    </w:rPr>
  </w:style>
  <w:style w:type="character" w:customStyle="1" w:styleId="UnresolvedMention">
    <w:name w:val="Unresolved Mention"/>
    <w:basedOn w:val="a0"/>
    <w:uiPriority w:val="99"/>
    <w:semiHidden/>
    <w:unhideWhenUsed/>
    <w:rsid w:val="00151941"/>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8"/>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972C0"/>
    <w:pPr>
      <w:spacing w:after="0" w:line="240" w:lineRule="auto"/>
    </w:pPr>
    <w:rPr>
      <w:rFonts w:eastAsia="Times New Roman" w:cs="Times New Roman"/>
      <w:sz w:val="20"/>
      <w:szCs w:val="20"/>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DD7ECC"/>
    <w:pPr>
      <w:tabs>
        <w:tab w:val="center" w:pos="4677"/>
        <w:tab w:val="right" w:pos="9355"/>
      </w:tabs>
    </w:pPr>
  </w:style>
  <w:style w:type="character" w:customStyle="1" w:styleId="a4">
    <w:name w:val="Верхний колонтитул Знак"/>
    <w:basedOn w:val="a0"/>
    <w:link w:val="a3"/>
    <w:uiPriority w:val="99"/>
    <w:rsid w:val="00DD7ECC"/>
    <w:rPr>
      <w:rFonts w:eastAsia="Times New Roman" w:cs="Times New Roman"/>
      <w:sz w:val="20"/>
      <w:szCs w:val="20"/>
      <w:lang w:val="uk-UA" w:eastAsia="ru-RU"/>
    </w:rPr>
  </w:style>
  <w:style w:type="paragraph" w:styleId="a5">
    <w:name w:val="footer"/>
    <w:basedOn w:val="a"/>
    <w:link w:val="a6"/>
    <w:uiPriority w:val="99"/>
    <w:unhideWhenUsed/>
    <w:rsid w:val="00DD7ECC"/>
    <w:pPr>
      <w:tabs>
        <w:tab w:val="center" w:pos="4677"/>
        <w:tab w:val="right" w:pos="9355"/>
      </w:tabs>
    </w:pPr>
  </w:style>
  <w:style w:type="character" w:customStyle="1" w:styleId="a6">
    <w:name w:val="Нижний колонтитул Знак"/>
    <w:basedOn w:val="a0"/>
    <w:link w:val="a5"/>
    <w:uiPriority w:val="99"/>
    <w:rsid w:val="00DD7ECC"/>
    <w:rPr>
      <w:rFonts w:eastAsia="Times New Roman" w:cs="Times New Roman"/>
      <w:sz w:val="20"/>
      <w:szCs w:val="20"/>
      <w:lang w:val="uk-UA" w:eastAsia="ru-RU"/>
    </w:rPr>
  </w:style>
  <w:style w:type="table" w:styleId="a7">
    <w:name w:val="Table Grid"/>
    <w:basedOn w:val="a1"/>
    <w:uiPriority w:val="39"/>
    <w:rsid w:val="00A8663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List Paragraph"/>
    <w:basedOn w:val="a"/>
    <w:uiPriority w:val="34"/>
    <w:qFormat/>
    <w:rsid w:val="00A12F9D"/>
    <w:pPr>
      <w:ind w:left="720"/>
      <w:contextualSpacing/>
    </w:pPr>
  </w:style>
  <w:style w:type="character" w:styleId="a9">
    <w:name w:val="annotation reference"/>
    <w:basedOn w:val="a0"/>
    <w:uiPriority w:val="99"/>
    <w:semiHidden/>
    <w:unhideWhenUsed/>
    <w:rsid w:val="00500057"/>
    <w:rPr>
      <w:sz w:val="16"/>
      <w:szCs w:val="16"/>
    </w:rPr>
  </w:style>
  <w:style w:type="paragraph" w:styleId="aa">
    <w:name w:val="annotation text"/>
    <w:basedOn w:val="a"/>
    <w:link w:val="ab"/>
    <w:uiPriority w:val="99"/>
    <w:semiHidden/>
    <w:unhideWhenUsed/>
    <w:rsid w:val="00500057"/>
  </w:style>
  <w:style w:type="character" w:customStyle="1" w:styleId="ab">
    <w:name w:val="Текст примечания Знак"/>
    <w:basedOn w:val="a0"/>
    <w:link w:val="aa"/>
    <w:uiPriority w:val="99"/>
    <w:semiHidden/>
    <w:rsid w:val="00500057"/>
    <w:rPr>
      <w:rFonts w:eastAsia="Times New Roman" w:cs="Times New Roman"/>
      <w:sz w:val="20"/>
      <w:szCs w:val="20"/>
      <w:lang w:val="uk-UA" w:eastAsia="ru-RU"/>
    </w:rPr>
  </w:style>
  <w:style w:type="paragraph" w:styleId="ac">
    <w:name w:val="annotation subject"/>
    <w:basedOn w:val="aa"/>
    <w:next w:val="aa"/>
    <w:link w:val="ad"/>
    <w:uiPriority w:val="99"/>
    <w:semiHidden/>
    <w:unhideWhenUsed/>
    <w:rsid w:val="00500057"/>
    <w:rPr>
      <w:b/>
      <w:bCs/>
    </w:rPr>
  </w:style>
  <w:style w:type="character" w:customStyle="1" w:styleId="ad">
    <w:name w:val="Тема примечания Знак"/>
    <w:basedOn w:val="ab"/>
    <w:link w:val="ac"/>
    <w:uiPriority w:val="99"/>
    <w:semiHidden/>
    <w:rsid w:val="00500057"/>
    <w:rPr>
      <w:rFonts w:eastAsia="Times New Roman" w:cs="Times New Roman"/>
      <w:b/>
      <w:bCs/>
      <w:sz w:val="20"/>
      <w:szCs w:val="20"/>
      <w:lang w:val="uk-UA" w:eastAsia="ru-RU"/>
    </w:rPr>
  </w:style>
  <w:style w:type="paragraph" w:styleId="ae">
    <w:name w:val="Balloon Text"/>
    <w:basedOn w:val="a"/>
    <w:link w:val="af"/>
    <w:uiPriority w:val="99"/>
    <w:semiHidden/>
    <w:unhideWhenUsed/>
    <w:rsid w:val="00500057"/>
    <w:rPr>
      <w:rFonts w:ascii="Segoe UI" w:hAnsi="Segoe UI" w:cs="Segoe UI"/>
      <w:sz w:val="18"/>
      <w:szCs w:val="18"/>
    </w:rPr>
  </w:style>
  <w:style w:type="character" w:customStyle="1" w:styleId="af">
    <w:name w:val="Текст выноски Знак"/>
    <w:basedOn w:val="a0"/>
    <w:link w:val="ae"/>
    <w:uiPriority w:val="99"/>
    <w:semiHidden/>
    <w:rsid w:val="00500057"/>
    <w:rPr>
      <w:rFonts w:ascii="Segoe UI" w:eastAsia="Times New Roman" w:hAnsi="Segoe UI" w:cs="Segoe UI"/>
      <w:sz w:val="18"/>
      <w:szCs w:val="18"/>
      <w:lang w:val="uk-UA" w:eastAsia="ru-RU"/>
    </w:rPr>
  </w:style>
  <w:style w:type="paragraph" w:styleId="af0">
    <w:name w:val="Normal (Web)"/>
    <w:basedOn w:val="a"/>
    <w:uiPriority w:val="99"/>
    <w:unhideWhenUsed/>
    <w:rsid w:val="004A68BD"/>
    <w:pPr>
      <w:spacing w:before="100" w:beforeAutospacing="1" w:after="100" w:afterAutospacing="1"/>
    </w:pPr>
    <w:rPr>
      <w:sz w:val="24"/>
      <w:szCs w:val="24"/>
      <w:lang w:val="ru-RU"/>
    </w:rPr>
  </w:style>
  <w:style w:type="character" w:styleId="af1">
    <w:name w:val="Hyperlink"/>
    <w:basedOn w:val="a0"/>
    <w:uiPriority w:val="99"/>
    <w:unhideWhenUsed/>
    <w:rsid w:val="00151941"/>
    <w:rPr>
      <w:color w:val="0563C1" w:themeColor="hyperlink"/>
      <w:u w:val="single"/>
    </w:rPr>
  </w:style>
  <w:style w:type="character" w:customStyle="1" w:styleId="UnresolvedMention">
    <w:name w:val="Unresolved Mention"/>
    <w:basedOn w:val="a0"/>
    <w:uiPriority w:val="99"/>
    <w:semiHidden/>
    <w:unhideWhenUsed/>
    <w:rsid w:val="0015194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5.xml"/><Relationship Id="rId18" Type="http://schemas.openxmlformats.org/officeDocument/2006/relationships/chart" Target="charts/chart10.xml"/><Relationship Id="rId26" Type="http://schemas.openxmlformats.org/officeDocument/2006/relationships/hyperlink" Target="http://www.agrosvit.info/pdf/19_2018/6.pdf" TargetMode="External"/><Relationship Id="rId39" Type="http://schemas.openxmlformats.org/officeDocument/2006/relationships/hyperlink" Target="https://fred.stlouisfed.org/series/CCUSMA02JPA618N" TargetMode="External"/><Relationship Id="rId21" Type="http://schemas.openxmlformats.org/officeDocument/2006/relationships/hyperlink" Target="https://papers.ssrn.com/sol3/papers.cfm?abstract_id=3839014" TargetMode="External"/><Relationship Id="rId34" Type="http://schemas.openxmlformats.org/officeDocument/2006/relationships/hyperlink" Target="https://economyandsociety.in.ua/journals/12_ukr/6.pdf" TargetMode="External"/><Relationship Id="rId42" Type="http://schemas.openxmlformats.org/officeDocument/2006/relationships/hyperlink" Target="https://docs.google.com/spreadsheets/d/1-D1rOjcXPwEya-OHTsX9fnvV_JKb8QDB/edit?pli=1" TargetMode="External"/><Relationship Id="rId47" Type="http://schemas.openxmlformats.org/officeDocument/2006/relationships/hyperlink" Target="https://www.xe.com/currencyconverter/convert/?Amount=1&amp;From=DKK&amp;To=UAH" TargetMode="External"/><Relationship Id="rId50" Type="http://schemas.openxmlformats.org/officeDocument/2006/relationships/hyperlink" Target="https://me.gov.ua/Documents/Detail?lang=uk-UA&amp;id=4e54dce3-f778-46af-9b2c-5c78a4fef863&amp;title=OgliadTorgovelnoiPolitikiYaponii" TargetMode="External"/><Relationship Id="rId55" Type="http://schemas.openxmlformats.org/officeDocument/2006/relationships/hyperlink" Target="http://www.ukrstat.gov.ua/operativ/operativ2021/zd/gsztp/gsztp_u/arh_gsztp2021_u.html" TargetMode="Externa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chart" Target="charts/chart8.xml"/><Relationship Id="rId20" Type="http://schemas.openxmlformats.org/officeDocument/2006/relationships/chart" Target="charts/chart12.xml"/><Relationship Id="rId29" Type="http://schemas.openxmlformats.org/officeDocument/2006/relationships/hyperlink" Target="http://russian.news.cn/2020-06/26/c_139168989.htm" TargetMode="External"/><Relationship Id="rId41" Type="http://schemas.openxmlformats.org/officeDocument/2006/relationships/hyperlink" Target="https://databank.worldbank.org/reports.aspx?source=world-development-indicators" TargetMode="External"/><Relationship Id="rId54" Type="http://schemas.openxmlformats.org/officeDocument/2006/relationships/hyperlink" Target="https://www.ukrinform.ua/rubric-economy/3211493-ukraina-zacikavlena-u-pocatku-peregovoriv-pro-zvt-z-aponieu-posol.html"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3.xml"/><Relationship Id="rId24" Type="http://schemas.openxmlformats.org/officeDocument/2006/relationships/hyperlink" Target="https://papers.ssrn.com/sol3/papers.cfm?abstract_id=3339178" TargetMode="External"/><Relationship Id="rId32" Type="http://schemas.openxmlformats.org/officeDocument/2006/relationships/hyperlink" Target="https://fingazeta.ru/ekonomika/world/455895" TargetMode="External"/><Relationship Id="rId37" Type="http://schemas.openxmlformats.org/officeDocument/2006/relationships/hyperlink" Target="https://buklib.net/books/28389/" TargetMode="External"/><Relationship Id="rId40" Type="http://schemas.openxmlformats.org/officeDocument/2006/relationships/hyperlink" Target="https://fred.stlouisfed.org/series/CCUSMA02CNM618N" TargetMode="External"/><Relationship Id="rId45" Type="http://schemas.openxmlformats.org/officeDocument/2006/relationships/hyperlink" Target="https://secretmag.ru/enciklopediya/chto-takoe-carry-trade-obyasnyaem-prostymi-slovami.htm" TargetMode="External"/><Relationship Id="rId53" Type="http://schemas.openxmlformats.org/officeDocument/2006/relationships/hyperlink" Target="http://fpp.com.ua/analiz-potochnogo-stanu-vidnosyn-ukrayina-yaponiya/" TargetMode="External"/><Relationship Id="rId58" Type="http://schemas.openxmlformats.org/officeDocument/2006/relationships/hyperlink" Target="https://www.radiosvoboda.org/a/kytai-ukrayina-investytsiyi-kredyty-knr-kpk/31487078.html" TargetMode="External"/><Relationship Id="rId5" Type="http://schemas.openxmlformats.org/officeDocument/2006/relationships/settings" Target="settings.xml"/><Relationship Id="rId15" Type="http://schemas.openxmlformats.org/officeDocument/2006/relationships/chart" Target="charts/chart7.xml"/><Relationship Id="rId23" Type="http://schemas.openxmlformats.org/officeDocument/2006/relationships/hyperlink" Target="https://economyandsociety.in.ua/journals/8_ukr/29.pdf" TargetMode="External"/><Relationship Id="rId28" Type="http://schemas.openxmlformats.org/officeDocument/2006/relationships/hyperlink" Target="https://www.nippon.com/ru/in-depth/d00778/" TargetMode="External"/><Relationship Id="rId36" Type="http://schemas.openxmlformats.org/officeDocument/2006/relationships/hyperlink" Target="http://russian.news.cn/2022-01/14/c_1310422908.htm" TargetMode="External"/><Relationship Id="rId49" Type="http://schemas.openxmlformats.org/officeDocument/2006/relationships/hyperlink" Target="http://www.ukrstat.gov.ua/operativ/operativ2021/zd/ztt/ztt_u/arh_ztt2021.html" TargetMode="External"/><Relationship Id="rId57" Type="http://schemas.openxmlformats.org/officeDocument/2006/relationships/hyperlink" Target="https://bank.gov.ua/ua/statistic/sector-external" TargetMode="External"/><Relationship Id="rId61" Type="http://schemas.openxmlformats.org/officeDocument/2006/relationships/theme" Target="theme/theme1.xml"/><Relationship Id="rId10" Type="http://schemas.openxmlformats.org/officeDocument/2006/relationships/chart" Target="charts/chart2.xml"/><Relationship Id="rId19" Type="http://schemas.openxmlformats.org/officeDocument/2006/relationships/chart" Target="charts/chart11.xml"/><Relationship Id="rId31" Type="http://schemas.openxmlformats.org/officeDocument/2006/relationships/hyperlink" Target="http://russian.people.com.cn/n3/2022/0212/c31518-9956889.html" TargetMode="External"/><Relationship Id="rId44" Type="http://schemas.openxmlformats.org/officeDocument/2006/relationships/hyperlink" Target="https://drive.google.com/drive/u/1/folders/1aTZPGncpc95HAv1JG92Dx5X-6K8iWLeI" TargetMode="External"/><Relationship Id="rId52" Type="http://schemas.openxmlformats.org/officeDocument/2006/relationships/hyperlink" Target="https://agropolit.com/spetsproekty/929-ukrayina-i-kitay--agrosektor-bere-kurs-na-harchovu-ta-prodovolchu-bezpeku" TargetMode="External"/><Relationship Id="rId6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chart" Target="charts/chart1.xml"/><Relationship Id="rId14" Type="http://schemas.openxmlformats.org/officeDocument/2006/relationships/chart" Target="charts/chart6.xml"/><Relationship Id="rId22" Type="http://schemas.openxmlformats.org/officeDocument/2006/relationships/hyperlink" Target="https://www.atlantis-press.com/proceedings/emle-21/125971334" TargetMode="External"/><Relationship Id="rId27" Type="http://schemas.openxmlformats.org/officeDocument/2006/relationships/hyperlink" Target="http://data.imf.org/?sk=7A51304B-6426-40C0-83DD-CA473CA1FD52&amp;sId=1390030341854" TargetMode="External"/><Relationship Id="rId30" Type="http://schemas.openxmlformats.org/officeDocument/2006/relationships/hyperlink" Target="https://www.dw.com/uk/ekonomika-kytaiu-zrosla-v-2020-rotsi-popry-pandemiiu-covid-19/a-56259289" TargetMode="External"/><Relationship Id="rId35" Type="http://schemas.openxmlformats.org/officeDocument/2006/relationships/hyperlink" Target="https://www.relinvestmentsgroup.com/ua/novosti/prjamye-inostrannye-investicii-v-japonii.htm" TargetMode="External"/><Relationship Id="rId43" Type="http://schemas.openxmlformats.org/officeDocument/2006/relationships/hyperlink" Target="https://docs.google.com/spreadsheets/d/1-D1rOjcXPwEya-OHTsX9fnvV_JKb8QDB/edit?pli=1" TargetMode="External"/><Relationship Id="rId48" Type="http://schemas.openxmlformats.org/officeDocument/2006/relationships/hyperlink" Target="https://www.investing.com/rates-bonds/ukraine-government-bonds?maturity_from=90&amp;maturity_to=110" TargetMode="External"/><Relationship Id="rId56" Type="http://schemas.openxmlformats.org/officeDocument/2006/relationships/hyperlink" Target="https://www.epravda.com.ua/publications/2020/03/25/658010/" TargetMode="External"/><Relationship Id="rId8" Type="http://schemas.openxmlformats.org/officeDocument/2006/relationships/endnotes" Target="endnotes.xml"/><Relationship Id="rId51" Type="http://schemas.openxmlformats.org/officeDocument/2006/relationships/hyperlink" Target="https://www.me.gov.ua/Documents/Detail?lang=uk-UA&amp;id=ec57e8e8-78f7-4109-b221-7219f012c49c&amp;title=OgliadTorgovelnoiPolitikiKitaiskoiNarodnoiRespubliki" TargetMode="External"/><Relationship Id="rId3" Type="http://schemas.openxmlformats.org/officeDocument/2006/relationships/styles" Target="styles.xml"/><Relationship Id="rId12" Type="http://schemas.openxmlformats.org/officeDocument/2006/relationships/chart" Target="charts/chart4.xml"/><Relationship Id="rId17" Type="http://schemas.openxmlformats.org/officeDocument/2006/relationships/chart" Target="charts/chart9.xml"/><Relationship Id="rId25" Type="http://schemas.openxmlformats.org/officeDocument/2006/relationships/hyperlink" Target="https://www.atlantis-press.com/proceedings/iceess-18/25904490" TargetMode="External"/><Relationship Id="rId33" Type="http://schemas.openxmlformats.org/officeDocument/2006/relationships/hyperlink" Target="https://www.bbc.com/russian/news-56770610" TargetMode="External"/><Relationship Id="rId38" Type="http://schemas.openxmlformats.org/officeDocument/2006/relationships/hyperlink" Target="https://old.bank.gov.ua/control/uk/publish/article?art_id=123545" TargetMode="External"/><Relationship Id="rId46" Type="http://schemas.openxmlformats.org/officeDocument/2006/relationships/hyperlink" Target="https://tradingeconomics.com/country-list/lending-rate" TargetMode="External"/><Relationship Id="rId59" Type="http://schemas.openxmlformats.org/officeDocument/2006/relationships/header" Target="header1.xml"/></Relationships>
</file>

<file path=word/charts/_rels/chart1.xml.rels><?xml version="1.0" encoding="UTF-8" standalone="yes"?>
<Relationships xmlns="http://schemas.openxmlformats.org/package/2006/relationships"><Relationship Id="rId3" Type="http://schemas.openxmlformats.org/officeDocument/2006/relationships/chartUserShapes" Target="../drawings/drawing1.xml"/><Relationship Id="rId2" Type="http://schemas.openxmlformats.org/officeDocument/2006/relationships/package" Target="../embeddings/_____Microsoft_Excel1.xlsx"/><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3" Type="http://schemas.openxmlformats.org/officeDocument/2006/relationships/chartUserShapes" Target="../drawings/drawing10.xml"/><Relationship Id="rId2" Type="http://schemas.openxmlformats.org/officeDocument/2006/relationships/oleObject" Target="file:///D:\&#1059;&#1085;&#1080;&#1074;&#1077;&#1088;&#1089;&#1080;&#1090;&#1077;&#1090;\3%20&#1082;&#1091;&#1088;&#1089;\&#1050;&#1091;&#1088;&#1089;&#1086;&#1074;&#1072;&#1103;%203\&#1075;&#1088;&#1072;&#1092;&#1080;&#1082;&#1080;.xlsx" TargetMode="External"/><Relationship Id="rId1" Type="http://schemas.openxmlformats.org/officeDocument/2006/relationships/themeOverride" Target="../theme/themeOverride8.xml"/></Relationships>
</file>

<file path=word/charts/_rels/chart11.xml.rels><?xml version="1.0" encoding="UTF-8" standalone="yes"?>
<Relationships xmlns="http://schemas.openxmlformats.org/package/2006/relationships"><Relationship Id="rId2" Type="http://schemas.openxmlformats.org/officeDocument/2006/relationships/oleObject" Target="file:///D:\&#1059;&#1085;&#1080;&#1074;&#1077;&#1088;&#1089;&#1080;&#1090;&#1077;&#1090;\3%20&#1082;&#1091;&#1088;&#1089;\&#1050;&#1091;&#1088;&#1089;&#1086;&#1074;&#1072;&#1103;%203\&#1075;&#1088;&#1072;&#1092;&#1080;&#1082;&#1080;.xlsx" TargetMode="External"/><Relationship Id="rId1" Type="http://schemas.openxmlformats.org/officeDocument/2006/relationships/themeOverride" Target="../theme/themeOverride9.xml"/></Relationships>
</file>

<file path=word/charts/_rels/chart12.xml.rels><?xml version="1.0" encoding="UTF-8" standalone="yes"?>
<Relationships xmlns="http://schemas.openxmlformats.org/package/2006/relationships"><Relationship Id="rId2" Type="http://schemas.openxmlformats.org/officeDocument/2006/relationships/oleObject" Target="file:///D:\&#1059;&#1085;&#1080;&#1074;&#1077;&#1088;&#1089;&#1080;&#1090;&#1077;&#1090;\3%20&#1082;&#1091;&#1088;&#1089;\&#1050;&#1091;&#1088;&#1089;&#1086;&#1074;&#1072;&#1103;%203\&#1075;&#1088;&#1072;&#1092;&#1080;&#1082;&#1080;.xlsx" TargetMode="External"/><Relationship Id="rId1" Type="http://schemas.openxmlformats.org/officeDocument/2006/relationships/themeOverride" Target="../theme/themeOverride10.xml"/></Relationships>
</file>

<file path=word/charts/_rels/chart2.xml.rels><?xml version="1.0" encoding="UTF-8" standalone="yes"?>
<Relationships xmlns="http://schemas.openxmlformats.org/package/2006/relationships"><Relationship Id="rId3" Type="http://schemas.openxmlformats.org/officeDocument/2006/relationships/chartUserShapes" Target="../drawings/drawing2.xml"/><Relationship Id="rId2" Type="http://schemas.openxmlformats.org/officeDocument/2006/relationships/package" Target="../embeddings/_____Microsoft_Excel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3" Type="http://schemas.openxmlformats.org/officeDocument/2006/relationships/chartUserShapes" Target="../drawings/drawing3.xml"/><Relationship Id="rId2" Type="http://schemas.openxmlformats.org/officeDocument/2006/relationships/package" Target="../embeddings/_____Microsoft_Excel3.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3" Type="http://schemas.openxmlformats.org/officeDocument/2006/relationships/chartUserShapes" Target="../drawings/drawing4.xml"/><Relationship Id="rId2" Type="http://schemas.openxmlformats.org/officeDocument/2006/relationships/package" Target="../embeddings/_____Microsoft_Excel4.xlsx"/><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3" Type="http://schemas.openxmlformats.org/officeDocument/2006/relationships/chartUserShapes" Target="../drawings/drawing5.xml"/><Relationship Id="rId2" Type="http://schemas.openxmlformats.org/officeDocument/2006/relationships/package" Target="../embeddings/_____Microsoft_Excel5.xlsx"/><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3" Type="http://schemas.openxmlformats.org/officeDocument/2006/relationships/chartUserShapes" Target="../drawings/drawing6.xml"/><Relationship Id="rId2" Type="http://schemas.openxmlformats.org/officeDocument/2006/relationships/package" Target="../embeddings/_____Microsoft_Excel6.xlsx"/><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2" Type="http://schemas.openxmlformats.org/officeDocument/2006/relationships/chartUserShapes" Target="../drawings/drawing7.xml"/><Relationship Id="rId1" Type="http://schemas.openxmlformats.org/officeDocument/2006/relationships/oleObject" Target="&#1050;&#1085;&#1080;&#1075;&#1072;1" TargetMode="External"/></Relationships>
</file>

<file path=word/charts/_rels/chart8.xml.rels><?xml version="1.0" encoding="UTF-8" standalone="yes"?>
<Relationships xmlns="http://schemas.openxmlformats.org/package/2006/relationships"><Relationship Id="rId2" Type="http://schemas.openxmlformats.org/officeDocument/2006/relationships/chartUserShapes" Target="../drawings/drawing8.xml"/><Relationship Id="rId1" Type="http://schemas.openxmlformats.org/officeDocument/2006/relationships/oleObject" Target="&#1050;&#1085;&#1080;&#1075;&#1072;1" TargetMode="External"/></Relationships>
</file>

<file path=word/charts/_rels/chart9.xml.rels><?xml version="1.0" encoding="UTF-8" standalone="yes"?>
<Relationships xmlns="http://schemas.openxmlformats.org/package/2006/relationships"><Relationship Id="rId3" Type="http://schemas.openxmlformats.org/officeDocument/2006/relationships/chartUserShapes" Target="../drawings/drawing9.xml"/><Relationship Id="rId2" Type="http://schemas.openxmlformats.org/officeDocument/2006/relationships/oleObject" Target="file:///D:\&#1059;&#1085;&#1080;&#1074;&#1077;&#1088;&#1089;&#1080;&#1090;&#1077;&#1090;\3%20&#1082;&#1091;&#1088;&#1089;\&#1050;&#1091;&#1088;&#1089;&#1086;&#1074;&#1072;&#1103;%203\&#1075;&#1088;&#1072;&#1092;&#1080;&#1082;&#1080;.xlsx" TargetMode="External"/><Relationship Id="rId1" Type="http://schemas.openxmlformats.org/officeDocument/2006/relationships/themeOverride" Target="../theme/themeOverride7.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100" b="0" i="0" u="none" strike="noStrike" kern="1200" spc="0" baseline="0">
                <a:solidFill>
                  <a:schemeClr val="tx1">
                    <a:lumMod val="65000"/>
                    <a:lumOff val="35000"/>
                  </a:schemeClr>
                </a:solidFill>
                <a:latin typeface="+mn-lt"/>
                <a:ea typeface="+mn-ea"/>
                <a:cs typeface="+mn-cs"/>
              </a:defRPr>
            </a:pPr>
            <a:r>
              <a:rPr lang="ru-RU" sz="1100"/>
              <a:t>Динаміка експорту/імпорту товарів Японії та Китаю у період 2017-2021 рр. </a:t>
            </a:r>
          </a:p>
        </c:rich>
      </c:tx>
      <c:overlay val="0"/>
      <c:spPr>
        <a:noFill/>
        <a:ln>
          <a:noFill/>
        </a:ln>
        <a:effectLst/>
      </c:spPr>
    </c:title>
    <c:autoTitleDeleted val="0"/>
    <c:plotArea>
      <c:layout>
        <c:manualLayout>
          <c:layoutTarget val="inner"/>
          <c:xMode val="edge"/>
          <c:yMode val="edge"/>
          <c:x val="0.10346616064922924"/>
          <c:y val="0.1508401423697934"/>
          <c:w val="0.54347151345256495"/>
          <c:h val="0.66778048504925325"/>
        </c:manualLayout>
      </c:layout>
      <c:areaChart>
        <c:grouping val="standard"/>
        <c:varyColors val="0"/>
        <c:ser>
          <c:idx val="2"/>
          <c:order val="2"/>
          <c:tx>
            <c:strRef>
              <c:f>Лист1!$B$5</c:f>
              <c:strCache>
                <c:ptCount val="1"/>
                <c:pt idx="0">
                  <c:v>Торгове сальдо Японії</c:v>
                </c:pt>
              </c:strCache>
            </c:strRef>
          </c:tx>
          <c:spPr>
            <a:solidFill>
              <a:schemeClr val="accent3"/>
            </a:solidFill>
            <a:ln>
              <a:noFill/>
            </a:ln>
            <a:effectLst/>
          </c:spPr>
          <c:cat>
            <c:numRef>
              <c:f>Лист1!$C$2:$G$2</c:f>
              <c:numCache>
                <c:formatCode>General</c:formatCode>
                <c:ptCount val="5"/>
                <c:pt idx="0">
                  <c:v>2017</c:v>
                </c:pt>
                <c:pt idx="1">
                  <c:v>2018</c:v>
                </c:pt>
                <c:pt idx="2">
                  <c:v>2019</c:v>
                </c:pt>
                <c:pt idx="3">
                  <c:v>2020</c:v>
                </c:pt>
                <c:pt idx="4">
                  <c:v>2021</c:v>
                </c:pt>
              </c:numCache>
            </c:numRef>
          </c:cat>
          <c:val>
            <c:numRef>
              <c:f>Лист1!$C$5:$G$5</c:f>
              <c:numCache>
                <c:formatCode>General</c:formatCode>
                <c:ptCount val="5"/>
                <c:pt idx="0">
                  <c:v>4.3999999999999997E-2</c:v>
                </c:pt>
                <c:pt idx="1">
                  <c:v>1.0999999999999999E-2</c:v>
                </c:pt>
                <c:pt idx="2">
                  <c:v>1E-3</c:v>
                </c:pt>
                <c:pt idx="3">
                  <c:v>2.8000000000000001E-2</c:v>
                </c:pt>
                <c:pt idx="4">
                  <c:v>1.6E-2</c:v>
                </c:pt>
              </c:numCache>
            </c:numRef>
          </c:val>
          <c:extLst xmlns:c16r2="http://schemas.microsoft.com/office/drawing/2015/06/chart">
            <c:ext xmlns:c16="http://schemas.microsoft.com/office/drawing/2014/chart" uri="{C3380CC4-5D6E-409C-BE32-E72D297353CC}">
              <c16:uniqueId val="{00000000-0826-4744-85A0-29577E70ABBD}"/>
            </c:ext>
          </c:extLst>
        </c:ser>
        <c:dLbls>
          <c:showLegendKey val="0"/>
          <c:showVal val="0"/>
          <c:showCatName val="0"/>
          <c:showSerName val="0"/>
          <c:showPercent val="0"/>
          <c:showBubbleSize val="0"/>
        </c:dLbls>
        <c:axId val="95575040"/>
        <c:axId val="95585024"/>
      </c:areaChart>
      <c:areaChart>
        <c:grouping val="standard"/>
        <c:varyColors val="0"/>
        <c:ser>
          <c:idx val="5"/>
          <c:order val="5"/>
          <c:tx>
            <c:strRef>
              <c:f>Лист1!$B$8</c:f>
              <c:strCache>
                <c:ptCount val="1"/>
                <c:pt idx="0">
                  <c:v>Торгове сальдо Китаю (права шкала)</c:v>
                </c:pt>
              </c:strCache>
            </c:strRef>
          </c:tx>
          <c:spPr>
            <a:noFill/>
            <a:ln w="28575">
              <a:solidFill>
                <a:srgbClr val="002060"/>
              </a:solidFill>
            </a:ln>
            <a:effectLst/>
          </c:spPr>
          <c:cat>
            <c:numRef>
              <c:f>Лист1!$C$2:$G$2</c:f>
              <c:numCache>
                <c:formatCode>General</c:formatCode>
                <c:ptCount val="5"/>
                <c:pt idx="0">
                  <c:v>2017</c:v>
                </c:pt>
                <c:pt idx="1">
                  <c:v>2018</c:v>
                </c:pt>
                <c:pt idx="2">
                  <c:v>2019</c:v>
                </c:pt>
                <c:pt idx="3">
                  <c:v>2020</c:v>
                </c:pt>
                <c:pt idx="4">
                  <c:v>2021</c:v>
                </c:pt>
              </c:numCache>
            </c:numRef>
          </c:cat>
          <c:val>
            <c:numRef>
              <c:f>Лист1!$C$8:$G$8</c:f>
              <c:numCache>
                <c:formatCode>General</c:formatCode>
                <c:ptCount val="5"/>
                <c:pt idx="0">
                  <c:v>0.47599999999999998</c:v>
                </c:pt>
                <c:pt idx="1">
                  <c:v>0.38</c:v>
                </c:pt>
                <c:pt idx="2">
                  <c:v>0.39300000000000002</c:v>
                </c:pt>
                <c:pt idx="3">
                  <c:v>0.51500000000000001</c:v>
                </c:pt>
                <c:pt idx="4">
                  <c:v>0.56299999999999994</c:v>
                </c:pt>
              </c:numCache>
            </c:numRef>
          </c:val>
          <c:extLst xmlns:c16r2="http://schemas.microsoft.com/office/drawing/2015/06/chart">
            <c:ext xmlns:c16="http://schemas.microsoft.com/office/drawing/2014/chart" uri="{C3380CC4-5D6E-409C-BE32-E72D297353CC}">
              <c16:uniqueId val="{00000001-0826-4744-85A0-29577E70ABBD}"/>
            </c:ext>
          </c:extLst>
        </c:ser>
        <c:dLbls>
          <c:showLegendKey val="0"/>
          <c:showVal val="0"/>
          <c:showCatName val="0"/>
          <c:showSerName val="0"/>
          <c:showPercent val="0"/>
          <c:showBubbleSize val="0"/>
        </c:dLbls>
        <c:axId val="95601024"/>
        <c:axId val="95586944"/>
      </c:areaChart>
      <c:lineChart>
        <c:grouping val="standard"/>
        <c:varyColors val="0"/>
        <c:ser>
          <c:idx val="0"/>
          <c:order val="0"/>
          <c:tx>
            <c:strRef>
              <c:f>Лист1!$B$3</c:f>
              <c:strCache>
                <c:ptCount val="1"/>
                <c:pt idx="0">
                  <c:v>Експорт товарів Японії</c:v>
                </c:pt>
              </c:strCache>
            </c:strRef>
          </c:tx>
          <c:spPr>
            <a:ln w="28575" cap="rnd">
              <a:solidFill>
                <a:schemeClr val="accent1"/>
              </a:solidFill>
              <a:round/>
            </a:ln>
            <a:effectLst/>
          </c:spPr>
          <c:marker>
            <c:symbol val="none"/>
          </c:marker>
          <c:cat>
            <c:numRef>
              <c:f>Лист1!$C$2:$G$2</c:f>
              <c:numCache>
                <c:formatCode>General</c:formatCode>
                <c:ptCount val="5"/>
                <c:pt idx="0">
                  <c:v>2017</c:v>
                </c:pt>
                <c:pt idx="1">
                  <c:v>2018</c:v>
                </c:pt>
                <c:pt idx="2">
                  <c:v>2019</c:v>
                </c:pt>
                <c:pt idx="3">
                  <c:v>2020</c:v>
                </c:pt>
                <c:pt idx="4">
                  <c:v>2021</c:v>
                </c:pt>
              </c:numCache>
            </c:numRef>
          </c:cat>
          <c:val>
            <c:numRef>
              <c:f>Лист1!$C$3:$G$3</c:f>
              <c:numCache>
                <c:formatCode>General</c:formatCode>
                <c:ptCount val="5"/>
                <c:pt idx="0">
                  <c:v>0.68899999999999995</c:v>
                </c:pt>
                <c:pt idx="1">
                  <c:v>0.73599999999999999</c:v>
                </c:pt>
                <c:pt idx="2">
                  <c:v>0.69499999999999995</c:v>
                </c:pt>
                <c:pt idx="3">
                  <c:v>0.63100000000000001</c:v>
                </c:pt>
                <c:pt idx="4">
                  <c:v>0.749</c:v>
                </c:pt>
              </c:numCache>
            </c:numRef>
          </c:val>
          <c:smooth val="0"/>
          <c:extLst xmlns:c16r2="http://schemas.microsoft.com/office/drawing/2015/06/chart">
            <c:ext xmlns:c16="http://schemas.microsoft.com/office/drawing/2014/chart" uri="{C3380CC4-5D6E-409C-BE32-E72D297353CC}">
              <c16:uniqueId val="{00000002-0826-4744-85A0-29577E70ABBD}"/>
            </c:ext>
          </c:extLst>
        </c:ser>
        <c:ser>
          <c:idx val="1"/>
          <c:order val="1"/>
          <c:tx>
            <c:strRef>
              <c:f>Лист1!$B$4</c:f>
              <c:strCache>
                <c:ptCount val="1"/>
                <c:pt idx="0">
                  <c:v>Імпорт товарів Японії</c:v>
                </c:pt>
              </c:strCache>
            </c:strRef>
          </c:tx>
          <c:spPr>
            <a:ln w="28575" cap="rnd">
              <a:solidFill>
                <a:schemeClr val="accent2"/>
              </a:solidFill>
              <a:round/>
            </a:ln>
            <a:effectLst/>
          </c:spPr>
          <c:marker>
            <c:symbol val="none"/>
          </c:marker>
          <c:cat>
            <c:numRef>
              <c:f>Лист1!$C$2:$G$2</c:f>
              <c:numCache>
                <c:formatCode>General</c:formatCode>
                <c:ptCount val="5"/>
                <c:pt idx="0">
                  <c:v>2017</c:v>
                </c:pt>
                <c:pt idx="1">
                  <c:v>2018</c:v>
                </c:pt>
                <c:pt idx="2">
                  <c:v>2019</c:v>
                </c:pt>
                <c:pt idx="3">
                  <c:v>2020</c:v>
                </c:pt>
                <c:pt idx="4">
                  <c:v>2021</c:v>
                </c:pt>
              </c:numCache>
            </c:numRef>
          </c:cat>
          <c:val>
            <c:numRef>
              <c:f>Лист1!$C$4:$G$4</c:f>
              <c:numCache>
                <c:formatCode>General</c:formatCode>
                <c:ptCount val="5"/>
                <c:pt idx="0">
                  <c:v>0.64500000000000002</c:v>
                </c:pt>
                <c:pt idx="1">
                  <c:v>0.72499999999999998</c:v>
                </c:pt>
                <c:pt idx="2">
                  <c:v>0.69399999999999995</c:v>
                </c:pt>
                <c:pt idx="3">
                  <c:v>0.60299999999999998</c:v>
                </c:pt>
                <c:pt idx="4">
                  <c:v>0.73299999999999998</c:v>
                </c:pt>
              </c:numCache>
            </c:numRef>
          </c:val>
          <c:smooth val="0"/>
          <c:extLst xmlns:c16r2="http://schemas.microsoft.com/office/drawing/2015/06/chart">
            <c:ext xmlns:c16="http://schemas.microsoft.com/office/drawing/2014/chart" uri="{C3380CC4-5D6E-409C-BE32-E72D297353CC}">
              <c16:uniqueId val="{00000003-0826-4744-85A0-29577E70ABBD}"/>
            </c:ext>
          </c:extLst>
        </c:ser>
        <c:dLbls>
          <c:showLegendKey val="0"/>
          <c:showVal val="0"/>
          <c:showCatName val="0"/>
          <c:showSerName val="0"/>
          <c:showPercent val="0"/>
          <c:showBubbleSize val="0"/>
        </c:dLbls>
        <c:marker val="1"/>
        <c:smooth val="0"/>
        <c:axId val="95575040"/>
        <c:axId val="95585024"/>
      </c:lineChart>
      <c:lineChart>
        <c:grouping val="standard"/>
        <c:varyColors val="0"/>
        <c:ser>
          <c:idx val="3"/>
          <c:order val="3"/>
          <c:tx>
            <c:strRef>
              <c:f>Лист1!$B$6</c:f>
              <c:strCache>
                <c:ptCount val="1"/>
                <c:pt idx="0">
                  <c:v>Експорт товарів Китаю (права шкала)</c:v>
                </c:pt>
              </c:strCache>
            </c:strRef>
          </c:tx>
          <c:spPr>
            <a:ln w="28575" cap="rnd">
              <a:solidFill>
                <a:schemeClr val="accent4"/>
              </a:solidFill>
              <a:prstDash val="sysDash"/>
              <a:round/>
            </a:ln>
            <a:effectLst/>
          </c:spPr>
          <c:marker>
            <c:symbol val="none"/>
          </c:marker>
          <c:cat>
            <c:numRef>
              <c:f>Лист1!$C$2:$G$2</c:f>
              <c:numCache>
                <c:formatCode>General</c:formatCode>
                <c:ptCount val="5"/>
                <c:pt idx="0">
                  <c:v>2017</c:v>
                </c:pt>
                <c:pt idx="1">
                  <c:v>2018</c:v>
                </c:pt>
                <c:pt idx="2">
                  <c:v>2019</c:v>
                </c:pt>
                <c:pt idx="3">
                  <c:v>2020</c:v>
                </c:pt>
                <c:pt idx="4">
                  <c:v>2021</c:v>
                </c:pt>
              </c:numCache>
            </c:numRef>
          </c:cat>
          <c:val>
            <c:numRef>
              <c:f>Лист1!$C$6:$G$6</c:f>
              <c:numCache>
                <c:formatCode>General</c:formatCode>
                <c:ptCount val="5"/>
                <c:pt idx="0">
                  <c:v>2.2160000000000002</c:v>
                </c:pt>
                <c:pt idx="1">
                  <c:v>2.4169999999999998</c:v>
                </c:pt>
                <c:pt idx="2">
                  <c:v>2.387</c:v>
                </c:pt>
                <c:pt idx="3">
                  <c:v>2.4969999999999999</c:v>
                </c:pt>
                <c:pt idx="4">
                  <c:v>3.2160000000000002</c:v>
                </c:pt>
              </c:numCache>
            </c:numRef>
          </c:val>
          <c:smooth val="0"/>
          <c:extLst xmlns:c16r2="http://schemas.microsoft.com/office/drawing/2015/06/chart">
            <c:ext xmlns:c16="http://schemas.microsoft.com/office/drawing/2014/chart" uri="{C3380CC4-5D6E-409C-BE32-E72D297353CC}">
              <c16:uniqueId val="{00000004-0826-4744-85A0-29577E70ABBD}"/>
            </c:ext>
          </c:extLst>
        </c:ser>
        <c:ser>
          <c:idx val="4"/>
          <c:order val="4"/>
          <c:tx>
            <c:strRef>
              <c:f>Лист1!$B$7</c:f>
              <c:strCache>
                <c:ptCount val="1"/>
                <c:pt idx="0">
                  <c:v>Імпорт товарів Китаю (права шкала)</c:v>
                </c:pt>
              </c:strCache>
            </c:strRef>
          </c:tx>
          <c:spPr>
            <a:ln w="28575" cap="rnd">
              <a:solidFill>
                <a:schemeClr val="accent5"/>
              </a:solidFill>
              <a:prstDash val="sysDash"/>
              <a:round/>
            </a:ln>
            <a:effectLst/>
          </c:spPr>
          <c:marker>
            <c:symbol val="none"/>
          </c:marker>
          <c:cat>
            <c:numRef>
              <c:f>Лист1!$C$2:$G$2</c:f>
              <c:numCache>
                <c:formatCode>General</c:formatCode>
                <c:ptCount val="5"/>
                <c:pt idx="0">
                  <c:v>2017</c:v>
                </c:pt>
                <c:pt idx="1">
                  <c:v>2018</c:v>
                </c:pt>
                <c:pt idx="2">
                  <c:v>2019</c:v>
                </c:pt>
                <c:pt idx="3">
                  <c:v>2020</c:v>
                </c:pt>
                <c:pt idx="4">
                  <c:v>2021</c:v>
                </c:pt>
              </c:numCache>
            </c:numRef>
          </c:cat>
          <c:val>
            <c:numRef>
              <c:f>Лист1!$C$7:$G$7</c:f>
              <c:numCache>
                <c:formatCode>General</c:formatCode>
                <c:ptCount val="5"/>
                <c:pt idx="0">
                  <c:v>1.74</c:v>
                </c:pt>
                <c:pt idx="1">
                  <c:v>2.0369999999999999</c:v>
                </c:pt>
                <c:pt idx="2">
                  <c:v>1.994</c:v>
                </c:pt>
                <c:pt idx="3">
                  <c:v>1.982</c:v>
                </c:pt>
                <c:pt idx="4">
                  <c:v>2.653</c:v>
                </c:pt>
              </c:numCache>
            </c:numRef>
          </c:val>
          <c:smooth val="0"/>
          <c:extLst xmlns:c16r2="http://schemas.microsoft.com/office/drawing/2015/06/chart">
            <c:ext xmlns:c16="http://schemas.microsoft.com/office/drawing/2014/chart" uri="{C3380CC4-5D6E-409C-BE32-E72D297353CC}">
              <c16:uniqueId val="{00000005-0826-4744-85A0-29577E70ABBD}"/>
            </c:ext>
          </c:extLst>
        </c:ser>
        <c:dLbls>
          <c:showLegendKey val="0"/>
          <c:showVal val="0"/>
          <c:showCatName val="0"/>
          <c:showSerName val="0"/>
          <c:showPercent val="0"/>
          <c:showBubbleSize val="0"/>
        </c:dLbls>
        <c:marker val="1"/>
        <c:smooth val="0"/>
        <c:axId val="95601024"/>
        <c:axId val="95586944"/>
      </c:lineChart>
      <c:catAx>
        <c:axId val="9557504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95585024"/>
        <c:crosses val="autoZero"/>
        <c:auto val="1"/>
        <c:lblAlgn val="ctr"/>
        <c:lblOffset val="100"/>
        <c:noMultiLvlLbl val="0"/>
      </c:catAx>
      <c:valAx>
        <c:axId val="9558502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sz="1000"/>
                  <a:t>трлн дол. США</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95575040"/>
        <c:crosses val="autoZero"/>
        <c:crossBetween val="between"/>
      </c:valAx>
      <c:valAx>
        <c:axId val="95586944"/>
        <c:scaling>
          <c:orientation val="minMax"/>
        </c:scaling>
        <c:delete val="0"/>
        <c:axPos val="r"/>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95601024"/>
        <c:crosses val="max"/>
        <c:crossBetween val="between"/>
      </c:valAx>
      <c:catAx>
        <c:axId val="95601024"/>
        <c:scaling>
          <c:orientation val="minMax"/>
        </c:scaling>
        <c:delete val="1"/>
        <c:axPos val="b"/>
        <c:numFmt formatCode="General" sourceLinked="1"/>
        <c:majorTickMark val="out"/>
        <c:minorTickMark val="none"/>
        <c:tickLblPos val="nextTo"/>
        <c:crossAx val="95586944"/>
        <c:crosses val="autoZero"/>
        <c:auto val="1"/>
        <c:lblAlgn val="ctr"/>
        <c:lblOffset val="100"/>
        <c:noMultiLvlLbl val="0"/>
      </c:catAx>
      <c:spPr>
        <a:noFill/>
        <a:ln>
          <a:noFill/>
        </a:ln>
        <a:effectLst/>
      </c:spPr>
    </c:plotArea>
    <c:legend>
      <c:legendPos val="r"/>
      <c:layout>
        <c:manualLayout>
          <c:xMode val="edge"/>
          <c:yMode val="edge"/>
          <c:x val="0.73465569612787163"/>
          <c:y val="0.11117790468556925"/>
          <c:w val="0.24232268719219086"/>
          <c:h val="0.88659633264510818"/>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2">
    <c:autoUpdate val="0"/>
  </c:externalData>
  <c:userShapes r:id="rId3"/>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r>
              <a:rPr lang="ru-RU" sz="1200"/>
              <a:t>Динаміка торгівлі послугами між Японією/Китаєм та Україною за 2017-2021 рр.</a:t>
            </a:r>
          </a:p>
        </c:rich>
      </c:tx>
      <c:overlay val="0"/>
      <c:spPr>
        <a:noFill/>
        <a:ln>
          <a:noFill/>
        </a:ln>
        <a:effectLst/>
      </c:spPr>
    </c:title>
    <c:autoTitleDeleted val="0"/>
    <c:plotArea>
      <c:layout>
        <c:manualLayout>
          <c:layoutTarget val="inner"/>
          <c:xMode val="edge"/>
          <c:yMode val="edge"/>
          <c:x val="0.14400546926169747"/>
          <c:y val="0.16945556052891511"/>
          <c:w val="0.45621502230254007"/>
          <c:h val="0.72726881645537855"/>
        </c:manualLayout>
      </c:layout>
      <c:areaChart>
        <c:grouping val="standard"/>
        <c:varyColors val="0"/>
        <c:ser>
          <c:idx val="4"/>
          <c:order val="4"/>
          <c:tx>
            <c:strRef>
              <c:f>Лист1!$B$174</c:f>
              <c:strCache>
                <c:ptCount val="1"/>
                <c:pt idx="0">
                  <c:v>Сальдо торгівлі послугами (Японія)</c:v>
                </c:pt>
              </c:strCache>
            </c:strRef>
          </c:tx>
          <c:spPr>
            <a:solidFill>
              <a:schemeClr val="accent5">
                <a:lumMod val="60000"/>
                <a:lumOff val="40000"/>
              </a:schemeClr>
            </a:solidFill>
            <a:ln>
              <a:noFill/>
            </a:ln>
            <a:effectLst/>
          </c:spPr>
          <c:cat>
            <c:numRef>
              <c:f>Лист1!$C$169:$G$169</c:f>
              <c:numCache>
                <c:formatCode>General</c:formatCode>
                <c:ptCount val="5"/>
                <c:pt idx="0">
                  <c:v>2017</c:v>
                </c:pt>
                <c:pt idx="1">
                  <c:v>2018</c:v>
                </c:pt>
                <c:pt idx="2">
                  <c:v>2019</c:v>
                </c:pt>
                <c:pt idx="3">
                  <c:v>2020</c:v>
                </c:pt>
                <c:pt idx="4">
                  <c:v>2021</c:v>
                </c:pt>
              </c:numCache>
            </c:numRef>
          </c:cat>
          <c:val>
            <c:numRef>
              <c:f>Лист1!$C$174:$G$174</c:f>
              <c:numCache>
                <c:formatCode>General</c:formatCode>
                <c:ptCount val="5"/>
                <c:pt idx="0">
                  <c:v>-6.0000000000000001E-3</c:v>
                </c:pt>
                <c:pt idx="1">
                  <c:v>5.0000000000000001E-3</c:v>
                </c:pt>
                <c:pt idx="2">
                  <c:v>-3.0000000000000001E-3</c:v>
                </c:pt>
                <c:pt idx="3">
                  <c:v>6.0000000000000001E-3</c:v>
                </c:pt>
                <c:pt idx="4">
                  <c:v>0.01</c:v>
                </c:pt>
              </c:numCache>
            </c:numRef>
          </c:val>
          <c:extLst xmlns:c16r2="http://schemas.microsoft.com/office/drawing/2015/06/chart">
            <c:ext xmlns:c16="http://schemas.microsoft.com/office/drawing/2014/chart" uri="{C3380CC4-5D6E-409C-BE32-E72D297353CC}">
              <c16:uniqueId val="{00000000-6198-4688-B25B-0A38079E9FF3}"/>
            </c:ext>
          </c:extLst>
        </c:ser>
        <c:dLbls>
          <c:showLegendKey val="0"/>
          <c:showVal val="0"/>
          <c:showCatName val="0"/>
          <c:showSerName val="0"/>
          <c:showPercent val="0"/>
          <c:showBubbleSize val="0"/>
        </c:dLbls>
        <c:axId val="120393728"/>
        <c:axId val="120395264"/>
      </c:areaChart>
      <c:areaChart>
        <c:grouping val="standard"/>
        <c:varyColors val="0"/>
        <c:ser>
          <c:idx val="5"/>
          <c:order val="5"/>
          <c:tx>
            <c:strRef>
              <c:f>Лист1!$B$175</c:f>
              <c:strCache>
                <c:ptCount val="1"/>
                <c:pt idx="0">
                  <c:v>Сальдо торгівлі послугами (Китай) права шкала</c:v>
                </c:pt>
              </c:strCache>
            </c:strRef>
          </c:tx>
          <c:spPr>
            <a:noFill/>
            <a:ln w="28575">
              <a:solidFill>
                <a:schemeClr val="accent6">
                  <a:lumMod val="50000"/>
                </a:schemeClr>
              </a:solidFill>
              <a:prstDash val="sysDash"/>
            </a:ln>
            <a:effectLst/>
          </c:spPr>
          <c:cat>
            <c:numRef>
              <c:f>Лист1!$C$169:$G$169</c:f>
              <c:numCache>
                <c:formatCode>General</c:formatCode>
                <c:ptCount val="5"/>
                <c:pt idx="0">
                  <c:v>2017</c:v>
                </c:pt>
                <c:pt idx="1">
                  <c:v>2018</c:v>
                </c:pt>
                <c:pt idx="2">
                  <c:v>2019</c:v>
                </c:pt>
                <c:pt idx="3">
                  <c:v>2020</c:v>
                </c:pt>
                <c:pt idx="4">
                  <c:v>2021</c:v>
                </c:pt>
              </c:numCache>
            </c:numRef>
          </c:cat>
          <c:val>
            <c:numRef>
              <c:f>Лист1!$C$175:$G$175</c:f>
              <c:numCache>
                <c:formatCode>General</c:formatCode>
                <c:ptCount val="5"/>
                <c:pt idx="0">
                  <c:v>-0.09</c:v>
                </c:pt>
                <c:pt idx="1">
                  <c:v>-7.9000000000000001E-2</c:v>
                </c:pt>
                <c:pt idx="2">
                  <c:v>-5.8999999999999997E-2</c:v>
                </c:pt>
                <c:pt idx="3">
                  <c:v>0.115</c:v>
                </c:pt>
                <c:pt idx="4">
                  <c:v>-0.20300000000000001</c:v>
                </c:pt>
              </c:numCache>
            </c:numRef>
          </c:val>
          <c:extLst xmlns:c16r2="http://schemas.microsoft.com/office/drawing/2015/06/chart">
            <c:ext xmlns:c16="http://schemas.microsoft.com/office/drawing/2014/chart" uri="{C3380CC4-5D6E-409C-BE32-E72D297353CC}">
              <c16:uniqueId val="{00000001-6198-4688-B25B-0A38079E9FF3}"/>
            </c:ext>
          </c:extLst>
        </c:ser>
        <c:dLbls>
          <c:showLegendKey val="0"/>
          <c:showVal val="0"/>
          <c:showCatName val="0"/>
          <c:showSerName val="0"/>
          <c:showPercent val="0"/>
          <c:showBubbleSize val="0"/>
        </c:dLbls>
        <c:axId val="120403072"/>
        <c:axId val="120397184"/>
      </c:areaChart>
      <c:lineChart>
        <c:grouping val="standard"/>
        <c:varyColors val="0"/>
        <c:ser>
          <c:idx val="0"/>
          <c:order val="0"/>
          <c:tx>
            <c:strRef>
              <c:f>Лист1!$B$170</c:f>
              <c:strCache>
                <c:ptCount val="1"/>
                <c:pt idx="0">
                  <c:v>Експорт послуг (Японія)</c:v>
                </c:pt>
              </c:strCache>
            </c:strRef>
          </c:tx>
          <c:spPr>
            <a:ln w="28575" cap="rnd">
              <a:solidFill>
                <a:schemeClr val="accent1"/>
              </a:solidFill>
              <a:round/>
            </a:ln>
            <a:effectLst/>
          </c:spPr>
          <c:marker>
            <c:symbol val="none"/>
          </c:marker>
          <c:cat>
            <c:numRef>
              <c:f>Лист1!$C$169:$G$169</c:f>
              <c:numCache>
                <c:formatCode>General</c:formatCode>
                <c:ptCount val="5"/>
                <c:pt idx="0">
                  <c:v>2017</c:v>
                </c:pt>
                <c:pt idx="1">
                  <c:v>2018</c:v>
                </c:pt>
                <c:pt idx="2">
                  <c:v>2019</c:v>
                </c:pt>
                <c:pt idx="3">
                  <c:v>2020</c:v>
                </c:pt>
                <c:pt idx="4">
                  <c:v>2021</c:v>
                </c:pt>
              </c:numCache>
            </c:numRef>
          </c:cat>
          <c:val>
            <c:numRef>
              <c:f>Лист1!$C$170:$G$170</c:f>
              <c:numCache>
                <c:formatCode>General</c:formatCode>
                <c:ptCount val="5"/>
                <c:pt idx="0">
                  <c:v>8.0000000000000002E-3</c:v>
                </c:pt>
                <c:pt idx="1">
                  <c:v>0.01</c:v>
                </c:pt>
                <c:pt idx="2">
                  <c:v>0.01</c:v>
                </c:pt>
                <c:pt idx="3">
                  <c:v>8.9999999999999993E-3</c:v>
                </c:pt>
                <c:pt idx="4">
                  <c:v>1.2999999999999999E-2</c:v>
                </c:pt>
              </c:numCache>
            </c:numRef>
          </c:val>
          <c:smooth val="0"/>
          <c:extLst xmlns:c16r2="http://schemas.microsoft.com/office/drawing/2015/06/chart">
            <c:ext xmlns:c16="http://schemas.microsoft.com/office/drawing/2014/chart" uri="{C3380CC4-5D6E-409C-BE32-E72D297353CC}">
              <c16:uniqueId val="{00000002-6198-4688-B25B-0A38079E9FF3}"/>
            </c:ext>
          </c:extLst>
        </c:ser>
        <c:ser>
          <c:idx val="2"/>
          <c:order val="2"/>
          <c:tx>
            <c:strRef>
              <c:f>Лист1!$B$172</c:f>
              <c:strCache>
                <c:ptCount val="1"/>
                <c:pt idx="0">
                  <c:v>Імпорт послуг (Японія)</c:v>
                </c:pt>
              </c:strCache>
            </c:strRef>
          </c:tx>
          <c:spPr>
            <a:ln w="28575" cap="rnd">
              <a:solidFill>
                <a:schemeClr val="accent2">
                  <a:lumMod val="75000"/>
                </a:schemeClr>
              </a:solidFill>
              <a:round/>
            </a:ln>
            <a:effectLst/>
          </c:spPr>
          <c:marker>
            <c:symbol val="none"/>
          </c:marker>
          <c:cat>
            <c:numRef>
              <c:f>Лист1!$C$169:$G$169</c:f>
              <c:numCache>
                <c:formatCode>General</c:formatCode>
                <c:ptCount val="5"/>
                <c:pt idx="0">
                  <c:v>2017</c:v>
                </c:pt>
                <c:pt idx="1">
                  <c:v>2018</c:v>
                </c:pt>
                <c:pt idx="2">
                  <c:v>2019</c:v>
                </c:pt>
                <c:pt idx="3">
                  <c:v>2020</c:v>
                </c:pt>
                <c:pt idx="4">
                  <c:v>2021</c:v>
                </c:pt>
              </c:numCache>
            </c:numRef>
          </c:cat>
          <c:val>
            <c:numRef>
              <c:f>Лист1!$C$172:$G$172</c:f>
              <c:numCache>
                <c:formatCode>General</c:formatCode>
                <c:ptCount val="5"/>
                <c:pt idx="0">
                  <c:v>1.4E-2</c:v>
                </c:pt>
                <c:pt idx="1">
                  <c:v>5.0000000000000001E-3</c:v>
                </c:pt>
                <c:pt idx="2">
                  <c:v>1.2999999999999999E-2</c:v>
                </c:pt>
                <c:pt idx="3">
                  <c:v>3.0000000000000001E-3</c:v>
                </c:pt>
                <c:pt idx="4">
                  <c:v>3.0000000000000001E-3</c:v>
                </c:pt>
              </c:numCache>
            </c:numRef>
          </c:val>
          <c:smooth val="0"/>
          <c:extLst xmlns:c16r2="http://schemas.microsoft.com/office/drawing/2015/06/chart">
            <c:ext xmlns:c16="http://schemas.microsoft.com/office/drawing/2014/chart" uri="{C3380CC4-5D6E-409C-BE32-E72D297353CC}">
              <c16:uniqueId val="{00000003-6198-4688-B25B-0A38079E9FF3}"/>
            </c:ext>
          </c:extLst>
        </c:ser>
        <c:dLbls>
          <c:showLegendKey val="0"/>
          <c:showVal val="0"/>
          <c:showCatName val="0"/>
          <c:showSerName val="0"/>
          <c:showPercent val="0"/>
          <c:showBubbleSize val="0"/>
        </c:dLbls>
        <c:marker val="1"/>
        <c:smooth val="0"/>
        <c:axId val="120393728"/>
        <c:axId val="120395264"/>
      </c:lineChart>
      <c:lineChart>
        <c:grouping val="standard"/>
        <c:varyColors val="0"/>
        <c:ser>
          <c:idx val="1"/>
          <c:order val="1"/>
          <c:tx>
            <c:strRef>
              <c:f>Лист1!$B$171</c:f>
              <c:strCache>
                <c:ptCount val="1"/>
                <c:pt idx="0">
                  <c:v>Експорт послуг (Китай) права шкала</c:v>
                </c:pt>
              </c:strCache>
            </c:strRef>
          </c:tx>
          <c:spPr>
            <a:ln w="28575" cap="rnd">
              <a:solidFill>
                <a:schemeClr val="accent2"/>
              </a:solidFill>
              <a:prstDash val="sysDash"/>
              <a:round/>
            </a:ln>
            <a:effectLst/>
          </c:spPr>
          <c:marker>
            <c:symbol val="none"/>
          </c:marker>
          <c:cat>
            <c:numRef>
              <c:f>Лист1!$C$169:$G$169</c:f>
              <c:numCache>
                <c:formatCode>General</c:formatCode>
                <c:ptCount val="5"/>
                <c:pt idx="0">
                  <c:v>2017</c:v>
                </c:pt>
                <c:pt idx="1">
                  <c:v>2018</c:v>
                </c:pt>
                <c:pt idx="2">
                  <c:v>2019</c:v>
                </c:pt>
                <c:pt idx="3">
                  <c:v>2020</c:v>
                </c:pt>
                <c:pt idx="4">
                  <c:v>2021</c:v>
                </c:pt>
              </c:numCache>
            </c:numRef>
          </c:cat>
          <c:val>
            <c:numRef>
              <c:f>Лист1!$C$171:$G$171</c:f>
              <c:numCache>
                <c:formatCode>General</c:formatCode>
                <c:ptCount val="5"/>
                <c:pt idx="0">
                  <c:v>7.4999999999999997E-2</c:v>
                </c:pt>
                <c:pt idx="1">
                  <c:v>0.105</c:v>
                </c:pt>
                <c:pt idx="2">
                  <c:v>0.16300000000000001</c:v>
                </c:pt>
                <c:pt idx="3">
                  <c:v>0.121</c:v>
                </c:pt>
                <c:pt idx="4">
                  <c:v>8.8999999999999996E-2</c:v>
                </c:pt>
              </c:numCache>
            </c:numRef>
          </c:val>
          <c:smooth val="0"/>
          <c:extLst xmlns:c16r2="http://schemas.microsoft.com/office/drawing/2015/06/chart">
            <c:ext xmlns:c16="http://schemas.microsoft.com/office/drawing/2014/chart" uri="{C3380CC4-5D6E-409C-BE32-E72D297353CC}">
              <c16:uniqueId val="{00000004-6198-4688-B25B-0A38079E9FF3}"/>
            </c:ext>
          </c:extLst>
        </c:ser>
        <c:ser>
          <c:idx val="3"/>
          <c:order val="3"/>
          <c:tx>
            <c:strRef>
              <c:f>Лист1!$B$173</c:f>
              <c:strCache>
                <c:ptCount val="1"/>
                <c:pt idx="0">
                  <c:v>Імпорт послуг (Китай) права шкала</c:v>
                </c:pt>
              </c:strCache>
            </c:strRef>
          </c:tx>
          <c:spPr>
            <a:ln w="28575" cap="rnd">
              <a:solidFill>
                <a:schemeClr val="accent4"/>
              </a:solidFill>
              <a:prstDash val="sysDash"/>
              <a:round/>
            </a:ln>
            <a:effectLst/>
          </c:spPr>
          <c:marker>
            <c:symbol val="none"/>
          </c:marker>
          <c:cat>
            <c:numRef>
              <c:f>Лист1!$C$169:$G$169</c:f>
              <c:numCache>
                <c:formatCode>General</c:formatCode>
                <c:ptCount val="5"/>
                <c:pt idx="0">
                  <c:v>2017</c:v>
                </c:pt>
                <c:pt idx="1">
                  <c:v>2018</c:v>
                </c:pt>
                <c:pt idx="2">
                  <c:v>2019</c:v>
                </c:pt>
                <c:pt idx="3">
                  <c:v>2020</c:v>
                </c:pt>
                <c:pt idx="4">
                  <c:v>2021</c:v>
                </c:pt>
              </c:numCache>
            </c:numRef>
          </c:cat>
          <c:val>
            <c:numRef>
              <c:f>Лист1!$C$173:$G$173</c:f>
              <c:numCache>
                <c:formatCode>General</c:formatCode>
                <c:ptCount val="5"/>
                <c:pt idx="0">
                  <c:v>0.16500000000000001</c:v>
                </c:pt>
                <c:pt idx="1">
                  <c:v>0.184</c:v>
                </c:pt>
                <c:pt idx="2">
                  <c:v>0.222</c:v>
                </c:pt>
                <c:pt idx="3">
                  <c:v>0.191</c:v>
                </c:pt>
                <c:pt idx="4">
                  <c:v>0.29199999999999998</c:v>
                </c:pt>
              </c:numCache>
            </c:numRef>
          </c:val>
          <c:smooth val="0"/>
          <c:extLst xmlns:c16r2="http://schemas.microsoft.com/office/drawing/2015/06/chart">
            <c:ext xmlns:c16="http://schemas.microsoft.com/office/drawing/2014/chart" uri="{C3380CC4-5D6E-409C-BE32-E72D297353CC}">
              <c16:uniqueId val="{00000005-6198-4688-B25B-0A38079E9FF3}"/>
            </c:ext>
          </c:extLst>
        </c:ser>
        <c:dLbls>
          <c:showLegendKey val="0"/>
          <c:showVal val="0"/>
          <c:showCatName val="0"/>
          <c:showSerName val="0"/>
          <c:showPercent val="0"/>
          <c:showBubbleSize val="0"/>
        </c:dLbls>
        <c:marker val="1"/>
        <c:smooth val="0"/>
        <c:axId val="120403072"/>
        <c:axId val="120397184"/>
      </c:lineChart>
      <c:catAx>
        <c:axId val="120393728"/>
        <c:scaling>
          <c:orientation val="minMax"/>
        </c:scaling>
        <c:delete val="0"/>
        <c:axPos val="b"/>
        <c:numFmt formatCode="General" sourceLinked="1"/>
        <c:majorTickMark val="none"/>
        <c:minorTickMark val="none"/>
        <c:tickLblPos val="low"/>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20395264"/>
        <c:crosses val="autoZero"/>
        <c:auto val="1"/>
        <c:lblAlgn val="ctr"/>
        <c:lblOffset val="100"/>
        <c:noMultiLvlLbl val="0"/>
      </c:catAx>
      <c:valAx>
        <c:axId val="12039526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млрд дол. США</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20393728"/>
        <c:crosses val="autoZero"/>
        <c:crossBetween val="between"/>
      </c:valAx>
      <c:valAx>
        <c:axId val="120397184"/>
        <c:scaling>
          <c:orientation val="minMax"/>
        </c:scaling>
        <c:delete val="0"/>
        <c:axPos val="r"/>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20403072"/>
        <c:crosses val="max"/>
        <c:crossBetween val="between"/>
      </c:valAx>
      <c:catAx>
        <c:axId val="120403072"/>
        <c:scaling>
          <c:orientation val="minMax"/>
        </c:scaling>
        <c:delete val="1"/>
        <c:axPos val="b"/>
        <c:numFmt formatCode="General" sourceLinked="1"/>
        <c:majorTickMark val="out"/>
        <c:minorTickMark val="none"/>
        <c:tickLblPos val="nextTo"/>
        <c:crossAx val="120397184"/>
        <c:crosses val="autoZero"/>
        <c:auto val="1"/>
        <c:lblAlgn val="ctr"/>
        <c:lblOffset val="100"/>
        <c:noMultiLvlLbl val="0"/>
      </c:catAx>
      <c:spPr>
        <a:noFill/>
        <a:ln>
          <a:noFill/>
        </a:ln>
        <a:effectLst/>
      </c:spPr>
    </c:plotArea>
    <c:legend>
      <c:legendPos val="r"/>
      <c:layout>
        <c:manualLayout>
          <c:xMode val="edge"/>
          <c:yMode val="edge"/>
          <c:x val="0.70056901357275692"/>
          <c:y val="0.15818797303223323"/>
          <c:w val="0.28021991786545808"/>
          <c:h val="0.82233811084715425"/>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2">
    <c:autoUpdate val="0"/>
  </c:externalData>
  <c:userShapes r:id="rId3"/>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r>
              <a:rPr lang="ru-RU" sz="1200"/>
              <a:t>Динаміка потоку прямих іноземних інвестицій</a:t>
            </a:r>
            <a:r>
              <a:rPr lang="ru-RU" sz="1200" baseline="0"/>
              <a:t> в Україну з Японії/Китаю протягом 2017-2021 рр.</a:t>
            </a:r>
            <a:endParaRPr lang="ru-RU" sz="1200"/>
          </a:p>
        </c:rich>
      </c:tx>
      <c:overlay val="0"/>
      <c:spPr>
        <a:noFill/>
        <a:ln>
          <a:noFill/>
        </a:ln>
        <a:effectLst/>
      </c:spPr>
    </c:title>
    <c:autoTitleDeleted val="0"/>
    <c:plotArea>
      <c:layout>
        <c:manualLayout>
          <c:layoutTarget val="inner"/>
          <c:xMode val="edge"/>
          <c:yMode val="edge"/>
          <c:x val="0.1220255905511811"/>
          <c:y val="0.18097222222222226"/>
          <c:w val="0.63536329833770788"/>
          <c:h val="0.70699876057159516"/>
        </c:manualLayout>
      </c:layout>
      <c:lineChart>
        <c:grouping val="standard"/>
        <c:varyColors val="0"/>
        <c:ser>
          <c:idx val="0"/>
          <c:order val="0"/>
          <c:tx>
            <c:strRef>
              <c:f>Лист1!$B$195</c:f>
              <c:strCache>
                <c:ptCount val="1"/>
                <c:pt idx="0">
                  <c:v>ПІІ в Україну з Японії</c:v>
                </c:pt>
              </c:strCache>
            </c:strRef>
          </c:tx>
          <c:spPr>
            <a:ln w="28575" cap="rnd">
              <a:solidFill>
                <a:schemeClr val="accent4"/>
              </a:solidFill>
              <a:round/>
            </a:ln>
            <a:effectLst/>
          </c:spPr>
          <c:marker>
            <c:symbol val="none"/>
          </c:marker>
          <c:dLbls>
            <c:dLbl>
              <c:idx val="0"/>
              <c:layout>
                <c:manualLayout>
                  <c:x val="-4.7222222222222249E-2"/>
                  <c:y val="-4.1666666666666664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96F6-4AD6-81A2-3C5CEDB9C170}"/>
                </c:ext>
              </c:extLst>
            </c:dLbl>
            <c:dLbl>
              <c:idx val="1"/>
              <c:layout>
                <c:manualLayout>
                  <c:x val="-1.1111111111111112E-2"/>
                  <c:y val="1.3888888888888888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96F6-4AD6-81A2-3C5CEDB9C170}"/>
                </c:ext>
              </c:extLst>
            </c:dLbl>
            <c:dLbl>
              <c:idx val="2"/>
              <c:layout>
                <c:manualLayout>
                  <c:x val="-1.9444444444444497E-2"/>
                  <c:y val="4.1666666666666664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96F6-4AD6-81A2-3C5CEDB9C170}"/>
                </c:ext>
              </c:extLst>
            </c:dLbl>
            <c:dLbl>
              <c:idx val="3"/>
              <c:layout>
                <c:manualLayout>
                  <c:x val="-4.7222222222222221E-2"/>
                  <c:y val="-4.6296296296296294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96F6-4AD6-81A2-3C5CEDB9C170}"/>
                </c:ext>
              </c:extLst>
            </c:dLbl>
            <c:dLbl>
              <c:idx val="4"/>
              <c:layout>
                <c:manualLayout>
                  <c:x val="-3.888888888888889E-2"/>
                  <c:y val="5.5555555555555552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96F6-4AD6-81A2-3C5CEDB9C170}"/>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accent4"/>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Лист1!$C$194:$G$194</c:f>
              <c:numCache>
                <c:formatCode>General</c:formatCode>
                <c:ptCount val="5"/>
                <c:pt idx="0">
                  <c:v>2017</c:v>
                </c:pt>
                <c:pt idx="1">
                  <c:v>2018</c:v>
                </c:pt>
                <c:pt idx="2">
                  <c:v>2019</c:v>
                </c:pt>
                <c:pt idx="3">
                  <c:v>2020</c:v>
                </c:pt>
                <c:pt idx="4">
                  <c:v>2021</c:v>
                </c:pt>
              </c:numCache>
            </c:numRef>
          </c:cat>
          <c:val>
            <c:numRef>
              <c:f>Лист1!$C$195:$G$195</c:f>
              <c:numCache>
                <c:formatCode>General</c:formatCode>
                <c:ptCount val="5"/>
                <c:pt idx="0">
                  <c:v>18.600000000000001</c:v>
                </c:pt>
                <c:pt idx="1">
                  <c:v>-71.599999999999994</c:v>
                </c:pt>
                <c:pt idx="2">
                  <c:v>0.3</c:v>
                </c:pt>
                <c:pt idx="3">
                  <c:v>34.700000000000003</c:v>
                </c:pt>
                <c:pt idx="4">
                  <c:v>18.100000000000001</c:v>
                </c:pt>
              </c:numCache>
            </c:numRef>
          </c:val>
          <c:smooth val="0"/>
          <c:extLst xmlns:c16r2="http://schemas.microsoft.com/office/drawing/2015/06/chart">
            <c:ext xmlns:c16="http://schemas.microsoft.com/office/drawing/2014/chart" uri="{C3380CC4-5D6E-409C-BE32-E72D297353CC}">
              <c16:uniqueId val="{00000005-96F6-4AD6-81A2-3C5CEDB9C170}"/>
            </c:ext>
          </c:extLst>
        </c:ser>
        <c:ser>
          <c:idx val="1"/>
          <c:order val="1"/>
          <c:tx>
            <c:strRef>
              <c:f>Лист1!$B$196</c:f>
              <c:strCache>
                <c:ptCount val="1"/>
                <c:pt idx="0">
                  <c:v>ПІІ в Україну з Китаю</c:v>
                </c:pt>
              </c:strCache>
            </c:strRef>
          </c:tx>
          <c:spPr>
            <a:ln w="28575" cap="rnd">
              <a:solidFill>
                <a:schemeClr val="accent2"/>
              </a:solidFill>
              <a:prstDash val="sysDash"/>
              <a:round/>
            </a:ln>
            <a:effectLst/>
          </c:spPr>
          <c:marker>
            <c:symbol val="none"/>
          </c:marker>
          <c:dLbls>
            <c:dLbl>
              <c:idx val="0"/>
              <c:layout>
                <c:manualLayout>
                  <c:x val="-6.3888888888888884E-2"/>
                  <c:y val="-2.3148148148148147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6-96F6-4AD6-81A2-3C5CEDB9C170}"/>
                </c:ext>
              </c:extLst>
            </c:dLbl>
            <c:dLbl>
              <c:idx val="1"/>
              <c:layout>
                <c:manualLayout>
                  <c:x val="-5.5555555555555608E-2"/>
                  <c:y val="3.7037037037037035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7-96F6-4AD6-81A2-3C5CEDB9C170}"/>
                </c:ext>
              </c:extLst>
            </c:dLbl>
            <c:dLbl>
              <c:idx val="2"/>
              <c:layout>
                <c:manualLayout>
                  <c:x val="-4.7222222222222276E-2"/>
                  <c:y val="-3.7037037037037035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8-96F6-4AD6-81A2-3C5CEDB9C170}"/>
                </c:ext>
              </c:extLst>
            </c:dLbl>
            <c:dLbl>
              <c:idx val="3"/>
              <c:layout>
                <c:manualLayout>
                  <c:x val="-5.5555555555555657E-2"/>
                  <c:y val="4.1666666666666581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9-96F6-4AD6-81A2-3C5CEDB9C170}"/>
                </c:ext>
              </c:extLst>
            </c:dLbl>
            <c:dLbl>
              <c:idx val="4"/>
              <c:layout>
                <c:manualLayout>
                  <c:x val="-4.7222222222222325E-2"/>
                  <c:y val="-4.1666666666666706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A-96F6-4AD6-81A2-3C5CEDB9C170}"/>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accent2"/>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Лист1!$C$194:$G$194</c:f>
              <c:numCache>
                <c:formatCode>General</c:formatCode>
                <c:ptCount val="5"/>
                <c:pt idx="0">
                  <c:v>2017</c:v>
                </c:pt>
                <c:pt idx="1">
                  <c:v>2018</c:v>
                </c:pt>
                <c:pt idx="2">
                  <c:v>2019</c:v>
                </c:pt>
                <c:pt idx="3">
                  <c:v>2020</c:v>
                </c:pt>
                <c:pt idx="4">
                  <c:v>2021</c:v>
                </c:pt>
              </c:numCache>
            </c:numRef>
          </c:cat>
          <c:val>
            <c:numRef>
              <c:f>Лист1!$C$196:$G$196</c:f>
              <c:numCache>
                <c:formatCode>General</c:formatCode>
                <c:ptCount val="5"/>
                <c:pt idx="0">
                  <c:v>3.1</c:v>
                </c:pt>
                <c:pt idx="1">
                  <c:v>-0.4</c:v>
                </c:pt>
                <c:pt idx="2">
                  <c:v>19.8</c:v>
                </c:pt>
                <c:pt idx="3">
                  <c:v>-15.8</c:v>
                </c:pt>
                <c:pt idx="4">
                  <c:v>23.8</c:v>
                </c:pt>
              </c:numCache>
            </c:numRef>
          </c:val>
          <c:smooth val="0"/>
          <c:extLst xmlns:c16r2="http://schemas.microsoft.com/office/drawing/2015/06/chart">
            <c:ext xmlns:c16="http://schemas.microsoft.com/office/drawing/2014/chart" uri="{C3380CC4-5D6E-409C-BE32-E72D297353CC}">
              <c16:uniqueId val="{0000000B-96F6-4AD6-81A2-3C5CEDB9C170}"/>
            </c:ext>
          </c:extLst>
        </c:ser>
        <c:dLbls>
          <c:showLegendKey val="0"/>
          <c:showVal val="0"/>
          <c:showCatName val="0"/>
          <c:showSerName val="0"/>
          <c:showPercent val="0"/>
          <c:showBubbleSize val="0"/>
        </c:dLbls>
        <c:marker val="1"/>
        <c:smooth val="0"/>
        <c:axId val="120452224"/>
        <c:axId val="120453760"/>
      </c:lineChart>
      <c:catAx>
        <c:axId val="120452224"/>
        <c:scaling>
          <c:orientation val="minMax"/>
        </c:scaling>
        <c:delete val="0"/>
        <c:axPos val="b"/>
        <c:numFmt formatCode="General" sourceLinked="1"/>
        <c:majorTickMark val="none"/>
        <c:minorTickMark val="none"/>
        <c:tickLblPos val="low"/>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20453760"/>
        <c:crosses val="autoZero"/>
        <c:auto val="1"/>
        <c:lblAlgn val="ctr"/>
        <c:lblOffset val="100"/>
        <c:noMultiLvlLbl val="0"/>
      </c:catAx>
      <c:valAx>
        <c:axId val="12045376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млн дол. США</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20452224"/>
        <c:crosses val="autoZero"/>
        <c:crossBetween val="between"/>
      </c:valAx>
      <c:spPr>
        <a:noFill/>
        <a:ln>
          <a:noFill/>
        </a:ln>
        <a:effectLst/>
      </c:spPr>
    </c:plotArea>
    <c:legend>
      <c:legendPos val="r"/>
      <c:layout>
        <c:manualLayout>
          <c:xMode val="edge"/>
          <c:yMode val="edge"/>
          <c:x val="0.75738888888888878"/>
          <c:y val="0.31097149314668998"/>
          <c:w val="0.22316666666666668"/>
          <c:h val="0.36921405657626127"/>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2">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r>
              <a:rPr lang="ru-RU" sz="1200"/>
              <a:t>Динаміка потоку прямих іноземних інвестицій з України</a:t>
            </a:r>
            <a:r>
              <a:rPr lang="ru-RU" sz="1200" baseline="0"/>
              <a:t> в Японію/Китай протягом 2017-2021 рр.</a:t>
            </a:r>
            <a:endParaRPr lang="ru-RU" sz="1200"/>
          </a:p>
        </c:rich>
      </c:tx>
      <c:layout>
        <c:manualLayout>
          <c:xMode val="edge"/>
          <c:yMode val="edge"/>
          <c:x val="0.12884125792592355"/>
          <c:y val="2.0671834625322998E-2"/>
        </c:manualLayout>
      </c:layout>
      <c:overlay val="0"/>
      <c:spPr>
        <a:noFill/>
        <a:ln>
          <a:noFill/>
        </a:ln>
        <a:effectLst/>
      </c:spPr>
    </c:title>
    <c:autoTitleDeleted val="0"/>
    <c:plotArea>
      <c:layout>
        <c:manualLayout>
          <c:layoutTarget val="inner"/>
          <c:xMode val="edge"/>
          <c:yMode val="edge"/>
          <c:x val="0.13172003499562554"/>
          <c:y val="0.22362526112807327"/>
          <c:w val="0.64280822513079905"/>
          <c:h val="0.65257699930365842"/>
        </c:manualLayout>
      </c:layout>
      <c:lineChart>
        <c:grouping val="standard"/>
        <c:varyColors val="0"/>
        <c:ser>
          <c:idx val="0"/>
          <c:order val="0"/>
          <c:tx>
            <c:strRef>
              <c:f>Лист1!$B$203</c:f>
              <c:strCache>
                <c:ptCount val="1"/>
                <c:pt idx="0">
                  <c:v>ПІІ з України в Японію</c:v>
                </c:pt>
              </c:strCache>
            </c:strRef>
          </c:tx>
          <c:spPr>
            <a:ln w="28575" cap="rnd">
              <a:solidFill>
                <a:schemeClr val="accent4"/>
              </a:solidFill>
              <a:round/>
            </a:ln>
            <a:effectLst/>
          </c:spPr>
          <c:marker>
            <c:symbol val="none"/>
          </c:marker>
          <c:cat>
            <c:numRef>
              <c:f>Лист1!$C$202:$G$202</c:f>
              <c:numCache>
                <c:formatCode>General</c:formatCode>
                <c:ptCount val="5"/>
                <c:pt idx="0">
                  <c:v>2017</c:v>
                </c:pt>
                <c:pt idx="1">
                  <c:v>2018</c:v>
                </c:pt>
                <c:pt idx="2">
                  <c:v>2019</c:v>
                </c:pt>
                <c:pt idx="3">
                  <c:v>2020</c:v>
                </c:pt>
                <c:pt idx="4">
                  <c:v>2021</c:v>
                </c:pt>
              </c:numCache>
            </c:numRef>
          </c:cat>
          <c:val>
            <c:numRef>
              <c:f>Лист1!$C$203:$G$203</c:f>
              <c:numCache>
                <c:formatCode>General</c:formatCode>
                <c:ptCount val="5"/>
                <c:pt idx="0">
                  <c:v>0</c:v>
                </c:pt>
                <c:pt idx="1">
                  <c:v>0</c:v>
                </c:pt>
                <c:pt idx="2">
                  <c:v>0</c:v>
                </c:pt>
                <c:pt idx="3">
                  <c:v>0</c:v>
                </c:pt>
                <c:pt idx="4">
                  <c:v>0</c:v>
                </c:pt>
              </c:numCache>
            </c:numRef>
          </c:val>
          <c:smooth val="0"/>
          <c:extLst xmlns:c16r2="http://schemas.microsoft.com/office/drawing/2015/06/chart">
            <c:ext xmlns:c16="http://schemas.microsoft.com/office/drawing/2014/chart" uri="{C3380CC4-5D6E-409C-BE32-E72D297353CC}">
              <c16:uniqueId val="{00000000-19A8-48F3-9611-14696BA5E896}"/>
            </c:ext>
          </c:extLst>
        </c:ser>
        <c:ser>
          <c:idx val="1"/>
          <c:order val="1"/>
          <c:tx>
            <c:strRef>
              <c:f>Лист1!$B$204</c:f>
              <c:strCache>
                <c:ptCount val="1"/>
                <c:pt idx="0">
                  <c:v>ПІІ з України в Китай</c:v>
                </c:pt>
              </c:strCache>
            </c:strRef>
          </c:tx>
          <c:spPr>
            <a:ln w="28575" cap="rnd">
              <a:solidFill>
                <a:schemeClr val="accent2"/>
              </a:solidFill>
              <a:prstDash val="sysDash"/>
              <a:round/>
            </a:ln>
            <a:effectLst/>
          </c:spPr>
          <c:marker>
            <c:symbol val="none"/>
          </c:marker>
          <c:dLbls>
            <c:dLbl>
              <c:idx val="0"/>
              <c:layout>
                <c:manualLayout>
                  <c:x val="-4.7222222222222221E-2"/>
                  <c:y val="-4.1666666666666664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19A8-48F3-9611-14696BA5E896}"/>
                </c:ext>
              </c:extLst>
            </c:dLbl>
            <c:dLbl>
              <c:idx val="1"/>
              <c:layout>
                <c:manualLayout>
                  <c:x val="-2.5000000000000001E-2"/>
                  <c:y val="-5.0925925925925923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19A8-48F3-9611-14696BA5E896}"/>
                </c:ext>
              </c:extLst>
            </c:dLbl>
            <c:dLbl>
              <c:idx val="2"/>
              <c:layout>
                <c:manualLayout>
                  <c:x val="-4.1666666666666616E-2"/>
                  <c:y val="-4.1666666666666664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19A8-48F3-9611-14696BA5E896}"/>
                </c:ext>
              </c:extLst>
            </c:dLbl>
            <c:dLbl>
              <c:idx val="3"/>
              <c:layout>
                <c:manualLayout>
                  <c:x val="-2.777777777777788E-2"/>
                  <c:y val="-4.1666666666666755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19A8-48F3-9611-14696BA5E896}"/>
                </c:ext>
              </c:extLst>
            </c:dLbl>
            <c:dLbl>
              <c:idx val="4"/>
              <c:layout>
                <c:manualLayout>
                  <c:x val="-5.2777777777777882E-2"/>
                  <c:y val="-4.1666666666666755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19A8-48F3-9611-14696BA5E896}"/>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accent2"/>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Лист1!$C$202:$G$202</c:f>
              <c:numCache>
                <c:formatCode>General</c:formatCode>
                <c:ptCount val="5"/>
                <c:pt idx="0">
                  <c:v>2017</c:v>
                </c:pt>
                <c:pt idx="1">
                  <c:v>2018</c:v>
                </c:pt>
                <c:pt idx="2">
                  <c:v>2019</c:v>
                </c:pt>
                <c:pt idx="3">
                  <c:v>2020</c:v>
                </c:pt>
                <c:pt idx="4">
                  <c:v>2021</c:v>
                </c:pt>
              </c:numCache>
            </c:numRef>
          </c:cat>
          <c:val>
            <c:numRef>
              <c:f>Лист1!$C$204:$G$204</c:f>
              <c:numCache>
                <c:formatCode>General</c:formatCode>
                <c:ptCount val="5"/>
                <c:pt idx="0">
                  <c:v>1.1000000000000001</c:v>
                </c:pt>
                <c:pt idx="1">
                  <c:v>0.6</c:v>
                </c:pt>
                <c:pt idx="2">
                  <c:v>0.6</c:v>
                </c:pt>
                <c:pt idx="3">
                  <c:v>0.3</c:v>
                </c:pt>
                <c:pt idx="4">
                  <c:v>0.3</c:v>
                </c:pt>
              </c:numCache>
            </c:numRef>
          </c:val>
          <c:smooth val="0"/>
          <c:extLst xmlns:c16r2="http://schemas.microsoft.com/office/drawing/2015/06/chart">
            <c:ext xmlns:c16="http://schemas.microsoft.com/office/drawing/2014/chart" uri="{C3380CC4-5D6E-409C-BE32-E72D297353CC}">
              <c16:uniqueId val="{00000006-19A8-48F3-9611-14696BA5E896}"/>
            </c:ext>
          </c:extLst>
        </c:ser>
        <c:dLbls>
          <c:showLegendKey val="0"/>
          <c:showVal val="0"/>
          <c:showCatName val="0"/>
          <c:showSerName val="0"/>
          <c:showPercent val="0"/>
          <c:showBubbleSize val="0"/>
        </c:dLbls>
        <c:marker val="1"/>
        <c:smooth val="0"/>
        <c:axId val="120541952"/>
        <c:axId val="120543488"/>
      </c:lineChart>
      <c:catAx>
        <c:axId val="12054195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20543488"/>
        <c:crosses val="autoZero"/>
        <c:auto val="1"/>
        <c:lblAlgn val="ctr"/>
        <c:lblOffset val="100"/>
        <c:noMultiLvlLbl val="0"/>
      </c:catAx>
      <c:valAx>
        <c:axId val="12054348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млн дол. США</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20541952"/>
        <c:crosses val="autoZero"/>
        <c:crossBetween val="between"/>
      </c:valAx>
      <c:spPr>
        <a:noFill/>
        <a:ln>
          <a:noFill/>
        </a:ln>
        <a:effectLst/>
      </c:spPr>
    </c:plotArea>
    <c:legend>
      <c:legendPos val="r"/>
      <c:layout>
        <c:manualLayout>
          <c:xMode val="edge"/>
          <c:yMode val="edge"/>
          <c:x val="0.77829946753344559"/>
          <c:y val="0.26391933151213243"/>
          <c:w val="0.20714930501237011"/>
          <c:h val="0.55953447679505175"/>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100" b="0" i="0" u="none" strike="noStrike" kern="1200" spc="0" baseline="0">
                <a:solidFill>
                  <a:schemeClr val="tx1">
                    <a:lumMod val="65000"/>
                    <a:lumOff val="35000"/>
                  </a:schemeClr>
                </a:solidFill>
                <a:latin typeface="+mn-lt"/>
                <a:ea typeface="+mn-ea"/>
                <a:cs typeface="+mn-cs"/>
              </a:defRPr>
            </a:pPr>
            <a:r>
              <a:rPr lang="ru-RU" sz="1100" b="0"/>
              <a:t>Динаміка експорту/імпорту послуг</a:t>
            </a:r>
            <a:r>
              <a:rPr lang="ru-RU" sz="1100" b="0" baseline="0"/>
              <a:t> Японії та Китаю у період 2017-2021 рр.</a:t>
            </a:r>
            <a:endParaRPr lang="ru-RU" sz="1100" b="0"/>
          </a:p>
        </c:rich>
      </c:tx>
      <c:overlay val="0"/>
      <c:spPr>
        <a:noFill/>
        <a:ln>
          <a:noFill/>
        </a:ln>
        <a:effectLst/>
      </c:spPr>
    </c:title>
    <c:autoTitleDeleted val="0"/>
    <c:plotArea>
      <c:layout/>
      <c:areaChart>
        <c:grouping val="standard"/>
        <c:varyColors val="0"/>
        <c:ser>
          <c:idx val="2"/>
          <c:order val="2"/>
          <c:tx>
            <c:strRef>
              <c:f>Лист1!$I$5</c:f>
              <c:strCache>
                <c:ptCount val="1"/>
                <c:pt idx="0">
                  <c:v>Сальдо послуг Японії</c:v>
                </c:pt>
              </c:strCache>
            </c:strRef>
          </c:tx>
          <c:spPr>
            <a:solidFill>
              <a:schemeClr val="accent3"/>
            </a:solidFill>
            <a:ln>
              <a:noFill/>
            </a:ln>
            <a:effectLst/>
          </c:spPr>
          <c:cat>
            <c:numRef>
              <c:f>Лист1!$J$2:$N$2</c:f>
              <c:numCache>
                <c:formatCode>General</c:formatCode>
                <c:ptCount val="5"/>
                <c:pt idx="0">
                  <c:v>2017</c:v>
                </c:pt>
                <c:pt idx="1">
                  <c:v>2018</c:v>
                </c:pt>
                <c:pt idx="2">
                  <c:v>2019</c:v>
                </c:pt>
                <c:pt idx="3">
                  <c:v>2020</c:v>
                </c:pt>
                <c:pt idx="4">
                  <c:v>2021</c:v>
                </c:pt>
              </c:numCache>
            </c:numRef>
          </c:cat>
          <c:val>
            <c:numRef>
              <c:f>Лист1!$J$5:$N$5</c:f>
              <c:numCache>
                <c:formatCode>General</c:formatCode>
                <c:ptCount val="5"/>
                <c:pt idx="0">
                  <c:v>-6.0000000000000001E-3</c:v>
                </c:pt>
                <c:pt idx="1">
                  <c:v>-8.9999999999999993E-3</c:v>
                </c:pt>
                <c:pt idx="2">
                  <c:v>-0.01</c:v>
                </c:pt>
                <c:pt idx="3">
                  <c:v>-3.5000000000000003E-2</c:v>
                </c:pt>
                <c:pt idx="4">
                  <c:v>-3.7999999999999999E-2</c:v>
                </c:pt>
              </c:numCache>
            </c:numRef>
          </c:val>
          <c:extLst xmlns:c16r2="http://schemas.microsoft.com/office/drawing/2015/06/chart">
            <c:ext xmlns:c16="http://schemas.microsoft.com/office/drawing/2014/chart" uri="{C3380CC4-5D6E-409C-BE32-E72D297353CC}">
              <c16:uniqueId val="{00000000-A36A-4ED2-9B4A-7D3D65A7342D}"/>
            </c:ext>
          </c:extLst>
        </c:ser>
        <c:dLbls>
          <c:showLegendKey val="0"/>
          <c:showVal val="0"/>
          <c:showCatName val="0"/>
          <c:showSerName val="0"/>
          <c:showPercent val="0"/>
          <c:showBubbleSize val="0"/>
        </c:dLbls>
        <c:axId val="96172288"/>
        <c:axId val="96899072"/>
      </c:areaChart>
      <c:areaChart>
        <c:grouping val="standard"/>
        <c:varyColors val="0"/>
        <c:ser>
          <c:idx val="5"/>
          <c:order val="5"/>
          <c:tx>
            <c:strRef>
              <c:f>Лист1!$I$8</c:f>
              <c:strCache>
                <c:ptCount val="1"/>
                <c:pt idx="0">
                  <c:v>Сальдо послуг Китаю (права шкала)</c:v>
                </c:pt>
              </c:strCache>
            </c:strRef>
          </c:tx>
          <c:spPr>
            <a:noFill/>
            <a:ln w="28575">
              <a:solidFill>
                <a:srgbClr val="002060"/>
              </a:solidFill>
            </a:ln>
            <a:effectLst/>
          </c:spPr>
          <c:cat>
            <c:numRef>
              <c:f>Лист1!$J$2:$N$2</c:f>
              <c:numCache>
                <c:formatCode>General</c:formatCode>
                <c:ptCount val="5"/>
                <c:pt idx="0">
                  <c:v>2017</c:v>
                </c:pt>
                <c:pt idx="1">
                  <c:v>2018</c:v>
                </c:pt>
                <c:pt idx="2">
                  <c:v>2019</c:v>
                </c:pt>
                <c:pt idx="3">
                  <c:v>2020</c:v>
                </c:pt>
                <c:pt idx="4">
                  <c:v>2021</c:v>
                </c:pt>
              </c:numCache>
            </c:numRef>
          </c:cat>
          <c:val>
            <c:numRef>
              <c:f>Лист1!$J$8:$N$8</c:f>
              <c:numCache>
                <c:formatCode>General</c:formatCode>
                <c:ptCount val="5"/>
                <c:pt idx="0">
                  <c:v>-0.25900000000000001</c:v>
                </c:pt>
                <c:pt idx="1">
                  <c:v>-0.29299999999999998</c:v>
                </c:pt>
                <c:pt idx="2">
                  <c:v>-0.26200000000000001</c:v>
                </c:pt>
                <c:pt idx="3">
                  <c:v>-0.14599999999999999</c:v>
                </c:pt>
                <c:pt idx="4">
                  <c:v>-0.1</c:v>
                </c:pt>
              </c:numCache>
            </c:numRef>
          </c:val>
          <c:extLst xmlns:c16r2="http://schemas.microsoft.com/office/drawing/2015/06/chart">
            <c:ext xmlns:c16="http://schemas.microsoft.com/office/drawing/2014/chart" uri="{C3380CC4-5D6E-409C-BE32-E72D297353CC}">
              <c16:uniqueId val="{00000001-A36A-4ED2-9B4A-7D3D65A7342D}"/>
            </c:ext>
          </c:extLst>
        </c:ser>
        <c:dLbls>
          <c:showLegendKey val="0"/>
          <c:showVal val="0"/>
          <c:showCatName val="0"/>
          <c:showSerName val="0"/>
          <c:showPercent val="0"/>
          <c:showBubbleSize val="0"/>
        </c:dLbls>
        <c:axId val="96902528"/>
        <c:axId val="96900992"/>
      </c:areaChart>
      <c:lineChart>
        <c:grouping val="standard"/>
        <c:varyColors val="0"/>
        <c:ser>
          <c:idx val="0"/>
          <c:order val="0"/>
          <c:tx>
            <c:strRef>
              <c:f>Лист1!$I$3</c:f>
              <c:strCache>
                <c:ptCount val="1"/>
                <c:pt idx="0">
                  <c:v>Експорт послуг Японії</c:v>
                </c:pt>
              </c:strCache>
            </c:strRef>
          </c:tx>
          <c:spPr>
            <a:ln w="28575" cap="rnd">
              <a:solidFill>
                <a:schemeClr val="accent1"/>
              </a:solidFill>
              <a:round/>
            </a:ln>
            <a:effectLst/>
          </c:spPr>
          <c:marker>
            <c:symbol val="none"/>
          </c:marker>
          <c:cat>
            <c:numRef>
              <c:f>Лист1!$J$2:$N$2</c:f>
              <c:numCache>
                <c:formatCode>General</c:formatCode>
                <c:ptCount val="5"/>
                <c:pt idx="0">
                  <c:v>2017</c:v>
                </c:pt>
                <c:pt idx="1">
                  <c:v>2018</c:v>
                </c:pt>
                <c:pt idx="2">
                  <c:v>2019</c:v>
                </c:pt>
                <c:pt idx="3">
                  <c:v>2020</c:v>
                </c:pt>
                <c:pt idx="4">
                  <c:v>2021</c:v>
                </c:pt>
              </c:numCache>
            </c:numRef>
          </c:cat>
          <c:val>
            <c:numRef>
              <c:f>Лист1!$J$3:$N$3</c:f>
              <c:numCache>
                <c:formatCode>General</c:formatCode>
                <c:ptCount val="5"/>
                <c:pt idx="0">
                  <c:v>0.187</c:v>
                </c:pt>
                <c:pt idx="1">
                  <c:v>0.19400000000000001</c:v>
                </c:pt>
                <c:pt idx="2">
                  <c:v>0.20899999999999999</c:v>
                </c:pt>
                <c:pt idx="3">
                  <c:v>0.16200000000000001</c:v>
                </c:pt>
                <c:pt idx="4">
                  <c:v>0.17</c:v>
                </c:pt>
              </c:numCache>
            </c:numRef>
          </c:val>
          <c:smooth val="0"/>
          <c:extLst xmlns:c16r2="http://schemas.microsoft.com/office/drawing/2015/06/chart">
            <c:ext xmlns:c16="http://schemas.microsoft.com/office/drawing/2014/chart" uri="{C3380CC4-5D6E-409C-BE32-E72D297353CC}">
              <c16:uniqueId val="{00000002-A36A-4ED2-9B4A-7D3D65A7342D}"/>
            </c:ext>
          </c:extLst>
        </c:ser>
        <c:ser>
          <c:idx val="1"/>
          <c:order val="1"/>
          <c:tx>
            <c:strRef>
              <c:f>Лист1!$I$4</c:f>
              <c:strCache>
                <c:ptCount val="1"/>
                <c:pt idx="0">
                  <c:v>Імпорт послуг Японії</c:v>
                </c:pt>
              </c:strCache>
            </c:strRef>
          </c:tx>
          <c:spPr>
            <a:ln w="28575" cap="rnd">
              <a:solidFill>
                <a:schemeClr val="accent2"/>
              </a:solidFill>
              <a:round/>
            </a:ln>
            <a:effectLst/>
          </c:spPr>
          <c:marker>
            <c:symbol val="none"/>
          </c:marker>
          <c:cat>
            <c:numRef>
              <c:f>Лист1!$J$2:$N$2</c:f>
              <c:numCache>
                <c:formatCode>General</c:formatCode>
                <c:ptCount val="5"/>
                <c:pt idx="0">
                  <c:v>2017</c:v>
                </c:pt>
                <c:pt idx="1">
                  <c:v>2018</c:v>
                </c:pt>
                <c:pt idx="2">
                  <c:v>2019</c:v>
                </c:pt>
                <c:pt idx="3">
                  <c:v>2020</c:v>
                </c:pt>
                <c:pt idx="4">
                  <c:v>2021</c:v>
                </c:pt>
              </c:numCache>
            </c:numRef>
          </c:cat>
          <c:val>
            <c:numRef>
              <c:f>Лист1!$J$4:$N$4</c:f>
              <c:numCache>
                <c:formatCode>General</c:formatCode>
                <c:ptCount val="5"/>
                <c:pt idx="0">
                  <c:v>0.193</c:v>
                </c:pt>
                <c:pt idx="1">
                  <c:v>0.20300000000000001</c:v>
                </c:pt>
                <c:pt idx="2">
                  <c:v>0.219</c:v>
                </c:pt>
                <c:pt idx="3">
                  <c:v>0.19700000000000001</c:v>
                </c:pt>
                <c:pt idx="4">
                  <c:v>0.20799999999999999</c:v>
                </c:pt>
              </c:numCache>
            </c:numRef>
          </c:val>
          <c:smooth val="0"/>
          <c:extLst xmlns:c16r2="http://schemas.microsoft.com/office/drawing/2015/06/chart">
            <c:ext xmlns:c16="http://schemas.microsoft.com/office/drawing/2014/chart" uri="{C3380CC4-5D6E-409C-BE32-E72D297353CC}">
              <c16:uniqueId val="{00000003-A36A-4ED2-9B4A-7D3D65A7342D}"/>
            </c:ext>
          </c:extLst>
        </c:ser>
        <c:dLbls>
          <c:showLegendKey val="0"/>
          <c:showVal val="0"/>
          <c:showCatName val="0"/>
          <c:showSerName val="0"/>
          <c:showPercent val="0"/>
          <c:showBubbleSize val="0"/>
        </c:dLbls>
        <c:marker val="1"/>
        <c:smooth val="0"/>
        <c:axId val="96172288"/>
        <c:axId val="96899072"/>
      </c:lineChart>
      <c:lineChart>
        <c:grouping val="standard"/>
        <c:varyColors val="0"/>
        <c:ser>
          <c:idx val="3"/>
          <c:order val="3"/>
          <c:tx>
            <c:strRef>
              <c:f>Лист1!$I$6</c:f>
              <c:strCache>
                <c:ptCount val="1"/>
                <c:pt idx="0">
                  <c:v>Експорт послуг Китаю (права шкала)</c:v>
                </c:pt>
              </c:strCache>
            </c:strRef>
          </c:tx>
          <c:spPr>
            <a:ln w="28575" cap="rnd">
              <a:solidFill>
                <a:schemeClr val="accent4"/>
              </a:solidFill>
              <a:prstDash val="sysDash"/>
              <a:round/>
            </a:ln>
            <a:effectLst/>
          </c:spPr>
          <c:marker>
            <c:symbol val="none"/>
          </c:marker>
          <c:cat>
            <c:numRef>
              <c:f>Лист1!$J$2:$N$2</c:f>
              <c:numCache>
                <c:formatCode>General</c:formatCode>
                <c:ptCount val="5"/>
                <c:pt idx="0">
                  <c:v>2017</c:v>
                </c:pt>
                <c:pt idx="1">
                  <c:v>2018</c:v>
                </c:pt>
                <c:pt idx="2">
                  <c:v>2019</c:v>
                </c:pt>
                <c:pt idx="3">
                  <c:v>2020</c:v>
                </c:pt>
                <c:pt idx="4">
                  <c:v>2021</c:v>
                </c:pt>
              </c:numCache>
            </c:numRef>
          </c:cat>
          <c:val>
            <c:numRef>
              <c:f>Лист1!$J$6:$N$6</c:f>
              <c:numCache>
                <c:formatCode>General</c:formatCode>
                <c:ptCount val="5"/>
                <c:pt idx="0">
                  <c:v>0.21299999999999999</c:v>
                </c:pt>
                <c:pt idx="1">
                  <c:v>0.23300000000000001</c:v>
                </c:pt>
                <c:pt idx="2">
                  <c:v>0.24399999999999999</c:v>
                </c:pt>
                <c:pt idx="3">
                  <c:v>0.23499999999999999</c:v>
                </c:pt>
                <c:pt idx="4">
                  <c:v>0.33800000000000002</c:v>
                </c:pt>
              </c:numCache>
            </c:numRef>
          </c:val>
          <c:smooth val="0"/>
          <c:extLst xmlns:c16r2="http://schemas.microsoft.com/office/drawing/2015/06/chart">
            <c:ext xmlns:c16="http://schemas.microsoft.com/office/drawing/2014/chart" uri="{C3380CC4-5D6E-409C-BE32-E72D297353CC}">
              <c16:uniqueId val="{00000004-A36A-4ED2-9B4A-7D3D65A7342D}"/>
            </c:ext>
          </c:extLst>
        </c:ser>
        <c:ser>
          <c:idx val="4"/>
          <c:order val="4"/>
          <c:tx>
            <c:strRef>
              <c:f>Лист1!$I$7</c:f>
              <c:strCache>
                <c:ptCount val="1"/>
                <c:pt idx="0">
                  <c:v>Імпорт послуг Китаю (права шкала)</c:v>
                </c:pt>
              </c:strCache>
            </c:strRef>
          </c:tx>
          <c:spPr>
            <a:ln w="28575" cap="rnd">
              <a:solidFill>
                <a:schemeClr val="accent5"/>
              </a:solidFill>
              <a:prstDash val="sysDash"/>
              <a:round/>
            </a:ln>
            <a:effectLst/>
          </c:spPr>
          <c:marker>
            <c:symbol val="none"/>
          </c:marker>
          <c:cat>
            <c:numRef>
              <c:f>Лист1!$J$2:$N$2</c:f>
              <c:numCache>
                <c:formatCode>General</c:formatCode>
                <c:ptCount val="5"/>
                <c:pt idx="0">
                  <c:v>2017</c:v>
                </c:pt>
                <c:pt idx="1">
                  <c:v>2018</c:v>
                </c:pt>
                <c:pt idx="2">
                  <c:v>2019</c:v>
                </c:pt>
                <c:pt idx="3">
                  <c:v>2020</c:v>
                </c:pt>
                <c:pt idx="4">
                  <c:v>2021</c:v>
                </c:pt>
              </c:numCache>
            </c:numRef>
          </c:cat>
          <c:val>
            <c:numRef>
              <c:f>Лист1!$J$7:$N$7</c:f>
              <c:numCache>
                <c:formatCode>General</c:formatCode>
                <c:ptCount val="5"/>
                <c:pt idx="0">
                  <c:v>0.47199999999999998</c:v>
                </c:pt>
                <c:pt idx="1">
                  <c:v>0.52600000000000002</c:v>
                </c:pt>
                <c:pt idx="2">
                  <c:v>0.50600000000000001</c:v>
                </c:pt>
                <c:pt idx="3">
                  <c:v>0.38100000000000001</c:v>
                </c:pt>
                <c:pt idx="4">
                  <c:v>0.438</c:v>
                </c:pt>
              </c:numCache>
            </c:numRef>
          </c:val>
          <c:smooth val="0"/>
          <c:extLst xmlns:c16r2="http://schemas.microsoft.com/office/drawing/2015/06/chart">
            <c:ext xmlns:c16="http://schemas.microsoft.com/office/drawing/2014/chart" uri="{C3380CC4-5D6E-409C-BE32-E72D297353CC}">
              <c16:uniqueId val="{00000005-A36A-4ED2-9B4A-7D3D65A7342D}"/>
            </c:ext>
          </c:extLst>
        </c:ser>
        <c:dLbls>
          <c:showLegendKey val="0"/>
          <c:showVal val="0"/>
          <c:showCatName val="0"/>
          <c:showSerName val="0"/>
          <c:showPercent val="0"/>
          <c:showBubbleSize val="0"/>
        </c:dLbls>
        <c:marker val="1"/>
        <c:smooth val="0"/>
        <c:axId val="96902528"/>
        <c:axId val="96900992"/>
      </c:lineChart>
      <c:catAx>
        <c:axId val="96172288"/>
        <c:scaling>
          <c:orientation val="minMax"/>
        </c:scaling>
        <c:delete val="0"/>
        <c:axPos val="b"/>
        <c:numFmt formatCode="General" sourceLinked="1"/>
        <c:majorTickMark val="none"/>
        <c:minorTickMark val="none"/>
        <c:tickLblPos val="low"/>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96899072"/>
        <c:crosses val="autoZero"/>
        <c:auto val="1"/>
        <c:lblAlgn val="ctr"/>
        <c:lblOffset val="100"/>
        <c:noMultiLvlLbl val="0"/>
      </c:catAx>
      <c:valAx>
        <c:axId val="9689907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sz="1000"/>
                  <a:t>трлн дол. США</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96172288"/>
        <c:crosses val="autoZero"/>
        <c:crossBetween val="between"/>
      </c:valAx>
      <c:valAx>
        <c:axId val="96900992"/>
        <c:scaling>
          <c:orientation val="minMax"/>
        </c:scaling>
        <c:delete val="0"/>
        <c:axPos val="r"/>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96902528"/>
        <c:crosses val="max"/>
        <c:crossBetween val="between"/>
      </c:valAx>
      <c:catAx>
        <c:axId val="96902528"/>
        <c:scaling>
          <c:orientation val="minMax"/>
        </c:scaling>
        <c:delete val="1"/>
        <c:axPos val="b"/>
        <c:numFmt formatCode="General" sourceLinked="1"/>
        <c:majorTickMark val="out"/>
        <c:minorTickMark val="none"/>
        <c:tickLblPos val="nextTo"/>
        <c:crossAx val="96900992"/>
        <c:crosses val="autoZero"/>
        <c:auto val="1"/>
        <c:lblAlgn val="ctr"/>
        <c:lblOffset val="100"/>
        <c:noMultiLvlLbl val="0"/>
      </c:catAx>
      <c:spPr>
        <a:noFill/>
        <a:ln>
          <a:noFill/>
        </a:ln>
        <a:effectLst/>
      </c:spPr>
    </c:plotArea>
    <c:legend>
      <c:legendPos val="r"/>
      <c:layout>
        <c:manualLayout>
          <c:xMode val="edge"/>
          <c:yMode val="edge"/>
          <c:x val="0.71937205317319164"/>
          <c:y val="0.1350809053758279"/>
          <c:w val="0.2581813381917758"/>
          <c:h val="0.8062035096046599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2">
    <c:autoUpdate val="0"/>
  </c:externalData>
  <c:userShapes r:id="rId3"/>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100" b="0" i="0" u="none" strike="noStrike" kern="1200" spc="0" baseline="0">
                <a:solidFill>
                  <a:schemeClr val="tx1">
                    <a:lumMod val="65000"/>
                    <a:lumOff val="35000"/>
                  </a:schemeClr>
                </a:solidFill>
                <a:latin typeface="+mn-lt"/>
                <a:ea typeface="+mn-ea"/>
                <a:cs typeface="+mn-cs"/>
              </a:defRPr>
            </a:pPr>
            <a:r>
              <a:rPr lang="ru-RU" sz="1100"/>
              <a:t>Динаміка складових</a:t>
            </a:r>
            <a:r>
              <a:rPr lang="ru-RU" sz="1100" baseline="0"/>
              <a:t> статті "первинні доходи" Японії та Китаю у період 2017-2021 рр.</a:t>
            </a:r>
            <a:endParaRPr lang="ru-RU" sz="1100"/>
          </a:p>
        </c:rich>
      </c:tx>
      <c:overlay val="0"/>
      <c:spPr>
        <a:noFill/>
        <a:ln>
          <a:noFill/>
        </a:ln>
        <a:effectLst/>
      </c:spPr>
    </c:title>
    <c:autoTitleDeleted val="0"/>
    <c:plotArea>
      <c:layout/>
      <c:areaChart>
        <c:grouping val="standard"/>
        <c:varyColors val="0"/>
        <c:ser>
          <c:idx val="4"/>
          <c:order val="4"/>
          <c:tx>
            <c:strRef>
              <c:f>Лист1!$B$32</c:f>
              <c:strCache>
                <c:ptCount val="1"/>
                <c:pt idx="0">
                  <c:v>Первинні доходи Японії</c:v>
                </c:pt>
              </c:strCache>
            </c:strRef>
          </c:tx>
          <c:spPr>
            <a:solidFill>
              <a:schemeClr val="accent2">
                <a:lumMod val="40000"/>
                <a:lumOff val="60000"/>
              </a:schemeClr>
            </a:solidFill>
            <a:ln>
              <a:noFill/>
            </a:ln>
            <a:effectLst/>
          </c:spPr>
          <c:cat>
            <c:numRef>
              <c:f>Лист1!$C$27:$G$27</c:f>
              <c:numCache>
                <c:formatCode>General</c:formatCode>
                <c:ptCount val="5"/>
                <c:pt idx="0">
                  <c:v>2017</c:v>
                </c:pt>
                <c:pt idx="1">
                  <c:v>2018</c:v>
                </c:pt>
                <c:pt idx="2">
                  <c:v>2019</c:v>
                </c:pt>
                <c:pt idx="3">
                  <c:v>2020</c:v>
                </c:pt>
                <c:pt idx="4">
                  <c:v>2021</c:v>
                </c:pt>
              </c:numCache>
            </c:numRef>
          </c:cat>
          <c:val>
            <c:numRef>
              <c:f>Лист1!$C$32:$G$32</c:f>
              <c:numCache>
                <c:formatCode>General</c:formatCode>
                <c:ptCount val="5"/>
                <c:pt idx="0">
                  <c:v>0.185</c:v>
                </c:pt>
                <c:pt idx="1">
                  <c:v>0.19500000000000001</c:v>
                </c:pt>
                <c:pt idx="2">
                  <c:v>0.19800000000000001</c:v>
                </c:pt>
                <c:pt idx="3">
                  <c:v>0.17899999999999999</c:v>
                </c:pt>
                <c:pt idx="4">
                  <c:v>0.188</c:v>
                </c:pt>
              </c:numCache>
            </c:numRef>
          </c:val>
          <c:extLst xmlns:c16r2="http://schemas.microsoft.com/office/drawing/2015/06/chart">
            <c:ext xmlns:c16="http://schemas.microsoft.com/office/drawing/2014/chart" uri="{C3380CC4-5D6E-409C-BE32-E72D297353CC}">
              <c16:uniqueId val="{00000000-AFA9-4340-A4E2-AE410E4FC899}"/>
            </c:ext>
          </c:extLst>
        </c:ser>
        <c:dLbls>
          <c:showLegendKey val="0"/>
          <c:showVal val="0"/>
          <c:showCatName val="0"/>
          <c:showSerName val="0"/>
          <c:showPercent val="0"/>
          <c:showBubbleSize val="0"/>
        </c:dLbls>
        <c:axId val="97212672"/>
        <c:axId val="97624064"/>
      </c:areaChart>
      <c:areaChart>
        <c:grouping val="standard"/>
        <c:varyColors val="0"/>
        <c:ser>
          <c:idx val="9"/>
          <c:order val="9"/>
          <c:tx>
            <c:strRef>
              <c:f>Лист1!$B$37</c:f>
              <c:strCache>
                <c:ptCount val="1"/>
                <c:pt idx="0">
                  <c:v>Первинні доходи Китаю права шкала</c:v>
                </c:pt>
              </c:strCache>
            </c:strRef>
          </c:tx>
          <c:spPr>
            <a:solidFill>
              <a:schemeClr val="accent4">
                <a:lumMod val="60000"/>
                <a:lumOff val="40000"/>
              </a:schemeClr>
            </a:solidFill>
            <a:ln w="19050">
              <a:solidFill>
                <a:schemeClr val="accent4">
                  <a:lumMod val="75000"/>
                </a:schemeClr>
              </a:solidFill>
              <a:prstDash val="sysDash"/>
            </a:ln>
            <a:effectLst/>
          </c:spPr>
          <c:cat>
            <c:numRef>
              <c:f>Лист1!$C$27:$G$27</c:f>
              <c:numCache>
                <c:formatCode>General</c:formatCode>
                <c:ptCount val="5"/>
                <c:pt idx="0">
                  <c:v>2017</c:v>
                </c:pt>
                <c:pt idx="1">
                  <c:v>2018</c:v>
                </c:pt>
                <c:pt idx="2">
                  <c:v>2019</c:v>
                </c:pt>
                <c:pt idx="3">
                  <c:v>2020</c:v>
                </c:pt>
                <c:pt idx="4">
                  <c:v>2021</c:v>
                </c:pt>
              </c:numCache>
            </c:numRef>
          </c:cat>
          <c:val>
            <c:numRef>
              <c:f>Лист1!$C$37:$G$37</c:f>
              <c:numCache>
                <c:formatCode>General</c:formatCode>
                <c:ptCount val="5"/>
                <c:pt idx="0">
                  <c:v>-1.7000000000000001E-2</c:v>
                </c:pt>
                <c:pt idx="1">
                  <c:v>-6.4000000000000001E-2</c:v>
                </c:pt>
                <c:pt idx="2">
                  <c:v>-4.1000000000000002E-2</c:v>
                </c:pt>
                <c:pt idx="3">
                  <c:v>-0.107</c:v>
                </c:pt>
                <c:pt idx="4">
                  <c:v>-0.16400000000000001</c:v>
                </c:pt>
              </c:numCache>
            </c:numRef>
          </c:val>
          <c:extLst xmlns:c16r2="http://schemas.microsoft.com/office/drawing/2015/06/chart">
            <c:ext xmlns:c16="http://schemas.microsoft.com/office/drawing/2014/chart" uri="{C3380CC4-5D6E-409C-BE32-E72D297353CC}">
              <c16:uniqueId val="{00000001-AFA9-4340-A4E2-AE410E4FC899}"/>
            </c:ext>
          </c:extLst>
        </c:ser>
        <c:dLbls>
          <c:showLegendKey val="0"/>
          <c:showVal val="0"/>
          <c:showCatName val="0"/>
          <c:showSerName val="0"/>
          <c:showPercent val="0"/>
          <c:showBubbleSize val="0"/>
        </c:dLbls>
        <c:axId val="97627520"/>
        <c:axId val="97625984"/>
      </c:areaChart>
      <c:lineChart>
        <c:grouping val="standard"/>
        <c:varyColors val="0"/>
        <c:ser>
          <c:idx val="0"/>
          <c:order val="0"/>
          <c:tx>
            <c:strRef>
              <c:f>Лист1!$B$28</c:f>
              <c:strCache>
                <c:ptCount val="1"/>
                <c:pt idx="0">
                  <c:v>Оплата праці Японії (кредит)</c:v>
                </c:pt>
              </c:strCache>
            </c:strRef>
          </c:tx>
          <c:spPr>
            <a:ln w="28575" cap="rnd">
              <a:solidFill>
                <a:schemeClr val="accent1"/>
              </a:solidFill>
              <a:round/>
            </a:ln>
            <a:effectLst/>
          </c:spPr>
          <c:marker>
            <c:symbol val="none"/>
          </c:marker>
          <c:cat>
            <c:numRef>
              <c:f>Лист1!$C$27:$G$27</c:f>
              <c:numCache>
                <c:formatCode>General</c:formatCode>
                <c:ptCount val="5"/>
                <c:pt idx="0">
                  <c:v>2017</c:v>
                </c:pt>
                <c:pt idx="1">
                  <c:v>2018</c:v>
                </c:pt>
                <c:pt idx="2">
                  <c:v>2019</c:v>
                </c:pt>
                <c:pt idx="3">
                  <c:v>2020</c:v>
                </c:pt>
                <c:pt idx="4">
                  <c:v>2021</c:v>
                </c:pt>
              </c:numCache>
            </c:numRef>
          </c:cat>
          <c:val>
            <c:numRef>
              <c:f>Лист1!$C$28:$G$28</c:f>
              <c:numCache>
                <c:formatCode>General</c:formatCode>
                <c:ptCount val="5"/>
                <c:pt idx="0">
                  <c:v>1.6000000000000001E-4</c:v>
                </c:pt>
                <c:pt idx="1">
                  <c:v>1.7000000000000001E-4</c:v>
                </c:pt>
                <c:pt idx="2">
                  <c:v>1.6000000000000001E-4</c:v>
                </c:pt>
                <c:pt idx="3">
                  <c:v>1.8000000000000001E-4</c:v>
                </c:pt>
                <c:pt idx="4">
                  <c:v>2.1000000000000001E-4</c:v>
                </c:pt>
              </c:numCache>
            </c:numRef>
          </c:val>
          <c:smooth val="0"/>
          <c:extLst xmlns:c16r2="http://schemas.microsoft.com/office/drawing/2015/06/chart">
            <c:ext xmlns:c16="http://schemas.microsoft.com/office/drawing/2014/chart" uri="{C3380CC4-5D6E-409C-BE32-E72D297353CC}">
              <c16:uniqueId val="{00000002-AFA9-4340-A4E2-AE410E4FC899}"/>
            </c:ext>
          </c:extLst>
        </c:ser>
        <c:ser>
          <c:idx val="1"/>
          <c:order val="1"/>
          <c:tx>
            <c:strRef>
              <c:f>Лист1!$B$29</c:f>
              <c:strCache>
                <c:ptCount val="1"/>
                <c:pt idx="0">
                  <c:v>Оплата праці Японії (дебет)</c:v>
                </c:pt>
              </c:strCache>
            </c:strRef>
          </c:tx>
          <c:spPr>
            <a:ln w="28575" cap="rnd">
              <a:solidFill>
                <a:schemeClr val="accent4">
                  <a:lumMod val="50000"/>
                </a:schemeClr>
              </a:solidFill>
              <a:round/>
            </a:ln>
            <a:effectLst/>
          </c:spPr>
          <c:marker>
            <c:symbol val="none"/>
          </c:marker>
          <c:cat>
            <c:numRef>
              <c:f>Лист1!$C$27:$G$27</c:f>
              <c:numCache>
                <c:formatCode>General</c:formatCode>
                <c:ptCount val="5"/>
                <c:pt idx="0">
                  <c:v>2017</c:v>
                </c:pt>
                <c:pt idx="1">
                  <c:v>2018</c:v>
                </c:pt>
                <c:pt idx="2">
                  <c:v>2019</c:v>
                </c:pt>
                <c:pt idx="3">
                  <c:v>2020</c:v>
                </c:pt>
                <c:pt idx="4">
                  <c:v>2021</c:v>
                </c:pt>
              </c:numCache>
            </c:numRef>
          </c:cat>
          <c:val>
            <c:numRef>
              <c:f>Лист1!$C$29:$G$29</c:f>
              <c:numCache>
                <c:formatCode>General</c:formatCode>
                <c:ptCount val="5"/>
                <c:pt idx="0">
                  <c:v>2.9999999999999997E-4</c:v>
                </c:pt>
                <c:pt idx="1">
                  <c:v>2.9999999999999997E-4</c:v>
                </c:pt>
                <c:pt idx="2">
                  <c:v>3.6000000000000002E-4</c:v>
                </c:pt>
                <c:pt idx="3">
                  <c:v>3.8999999999999999E-4</c:v>
                </c:pt>
                <c:pt idx="4">
                  <c:v>4.2999999999999999E-4</c:v>
                </c:pt>
              </c:numCache>
            </c:numRef>
          </c:val>
          <c:smooth val="0"/>
          <c:extLst xmlns:c16r2="http://schemas.microsoft.com/office/drawing/2015/06/chart">
            <c:ext xmlns:c16="http://schemas.microsoft.com/office/drawing/2014/chart" uri="{C3380CC4-5D6E-409C-BE32-E72D297353CC}">
              <c16:uniqueId val="{00000003-AFA9-4340-A4E2-AE410E4FC899}"/>
            </c:ext>
          </c:extLst>
        </c:ser>
        <c:ser>
          <c:idx val="2"/>
          <c:order val="2"/>
          <c:tx>
            <c:strRef>
              <c:f>Лист1!$B$30</c:f>
              <c:strCache>
                <c:ptCount val="1"/>
                <c:pt idx="0">
                  <c:v>Дохід від інвестицій Японії (кредит)</c:v>
                </c:pt>
              </c:strCache>
            </c:strRef>
          </c:tx>
          <c:spPr>
            <a:ln w="28575" cap="rnd">
              <a:solidFill>
                <a:schemeClr val="accent3"/>
              </a:solidFill>
              <a:round/>
            </a:ln>
            <a:effectLst/>
          </c:spPr>
          <c:marker>
            <c:symbol val="none"/>
          </c:marker>
          <c:cat>
            <c:numRef>
              <c:f>Лист1!$C$27:$G$27</c:f>
              <c:numCache>
                <c:formatCode>General</c:formatCode>
                <c:ptCount val="5"/>
                <c:pt idx="0">
                  <c:v>2017</c:v>
                </c:pt>
                <c:pt idx="1">
                  <c:v>2018</c:v>
                </c:pt>
                <c:pt idx="2">
                  <c:v>2019</c:v>
                </c:pt>
                <c:pt idx="3">
                  <c:v>2020</c:v>
                </c:pt>
                <c:pt idx="4">
                  <c:v>2021</c:v>
                </c:pt>
              </c:numCache>
            </c:numRef>
          </c:cat>
          <c:val>
            <c:numRef>
              <c:f>Лист1!$C$30:$G$30</c:f>
              <c:numCache>
                <c:formatCode>General</c:formatCode>
                <c:ptCount val="5"/>
                <c:pt idx="0">
                  <c:v>0.27800000000000002</c:v>
                </c:pt>
                <c:pt idx="1">
                  <c:v>0.30299999999999999</c:v>
                </c:pt>
                <c:pt idx="2">
                  <c:v>0.313</c:v>
                </c:pt>
                <c:pt idx="3">
                  <c:v>0.27700000000000002</c:v>
                </c:pt>
                <c:pt idx="4">
                  <c:v>0.28499999999999998</c:v>
                </c:pt>
              </c:numCache>
            </c:numRef>
          </c:val>
          <c:smooth val="0"/>
          <c:extLst xmlns:c16r2="http://schemas.microsoft.com/office/drawing/2015/06/chart">
            <c:ext xmlns:c16="http://schemas.microsoft.com/office/drawing/2014/chart" uri="{C3380CC4-5D6E-409C-BE32-E72D297353CC}">
              <c16:uniqueId val="{00000004-AFA9-4340-A4E2-AE410E4FC899}"/>
            </c:ext>
          </c:extLst>
        </c:ser>
        <c:ser>
          <c:idx val="3"/>
          <c:order val="3"/>
          <c:tx>
            <c:strRef>
              <c:f>Лист1!$B$31</c:f>
              <c:strCache>
                <c:ptCount val="1"/>
                <c:pt idx="0">
                  <c:v>Дохід від інвестицій Японії (дебет)</c:v>
                </c:pt>
              </c:strCache>
            </c:strRef>
          </c:tx>
          <c:spPr>
            <a:ln w="28575" cap="rnd">
              <a:solidFill>
                <a:schemeClr val="accent4"/>
              </a:solidFill>
              <a:round/>
            </a:ln>
            <a:effectLst/>
          </c:spPr>
          <c:marker>
            <c:symbol val="none"/>
          </c:marker>
          <c:cat>
            <c:numRef>
              <c:f>Лист1!$C$27:$G$27</c:f>
              <c:numCache>
                <c:formatCode>General</c:formatCode>
                <c:ptCount val="5"/>
                <c:pt idx="0">
                  <c:v>2017</c:v>
                </c:pt>
                <c:pt idx="1">
                  <c:v>2018</c:v>
                </c:pt>
                <c:pt idx="2">
                  <c:v>2019</c:v>
                </c:pt>
                <c:pt idx="3">
                  <c:v>2020</c:v>
                </c:pt>
                <c:pt idx="4">
                  <c:v>2021</c:v>
                </c:pt>
              </c:numCache>
            </c:numRef>
          </c:cat>
          <c:val>
            <c:numRef>
              <c:f>Лист1!$C$31:$G$31</c:f>
              <c:numCache>
                <c:formatCode>General</c:formatCode>
                <c:ptCount val="5"/>
                <c:pt idx="0">
                  <c:v>9.2999999999999999E-2</c:v>
                </c:pt>
                <c:pt idx="1">
                  <c:v>0.108</c:v>
                </c:pt>
                <c:pt idx="2">
                  <c:v>0.115</c:v>
                </c:pt>
                <c:pt idx="3">
                  <c:v>9.7000000000000003E-2</c:v>
                </c:pt>
                <c:pt idx="4">
                  <c:v>9.7000000000000003E-2</c:v>
                </c:pt>
              </c:numCache>
            </c:numRef>
          </c:val>
          <c:smooth val="0"/>
          <c:extLst xmlns:c16r2="http://schemas.microsoft.com/office/drawing/2015/06/chart">
            <c:ext xmlns:c16="http://schemas.microsoft.com/office/drawing/2014/chart" uri="{C3380CC4-5D6E-409C-BE32-E72D297353CC}">
              <c16:uniqueId val="{00000005-AFA9-4340-A4E2-AE410E4FC899}"/>
            </c:ext>
          </c:extLst>
        </c:ser>
        <c:dLbls>
          <c:showLegendKey val="0"/>
          <c:showVal val="0"/>
          <c:showCatName val="0"/>
          <c:showSerName val="0"/>
          <c:showPercent val="0"/>
          <c:showBubbleSize val="0"/>
        </c:dLbls>
        <c:marker val="1"/>
        <c:smooth val="0"/>
        <c:axId val="97212672"/>
        <c:axId val="97624064"/>
      </c:lineChart>
      <c:lineChart>
        <c:grouping val="standard"/>
        <c:varyColors val="0"/>
        <c:ser>
          <c:idx val="5"/>
          <c:order val="5"/>
          <c:tx>
            <c:strRef>
              <c:f>Лист1!$B$33</c:f>
              <c:strCache>
                <c:ptCount val="1"/>
                <c:pt idx="0">
                  <c:v>Оплата праці Китаю (кредит) права шкала</c:v>
                </c:pt>
              </c:strCache>
            </c:strRef>
          </c:tx>
          <c:spPr>
            <a:ln w="28575" cap="rnd">
              <a:solidFill>
                <a:schemeClr val="accent6">
                  <a:lumMod val="75000"/>
                </a:schemeClr>
              </a:solidFill>
              <a:prstDash val="sysDash"/>
              <a:round/>
            </a:ln>
            <a:effectLst/>
          </c:spPr>
          <c:marker>
            <c:symbol val="none"/>
          </c:marker>
          <c:cat>
            <c:numRef>
              <c:f>Лист1!$C$27:$G$27</c:f>
              <c:numCache>
                <c:formatCode>General</c:formatCode>
                <c:ptCount val="5"/>
                <c:pt idx="0">
                  <c:v>2017</c:v>
                </c:pt>
                <c:pt idx="1">
                  <c:v>2018</c:v>
                </c:pt>
                <c:pt idx="2">
                  <c:v>2019</c:v>
                </c:pt>
                <c:pt idx="3">
                  <c:v>2020</c:v>
                </c:pt>
                <c:pt idx="4">
                  <c:v>2021</c:v>
                </c:pt>
              </c:numCache>
            </c:numRef>
          </c:cat>
          <c:val>
            <c:numRef>
              <c:f>Лист1!$C$33:$G$33</c:f>
              <c:numCache>
                <c:formatCode>General</c:formatCode>
                <c:ptCount val="5"/>
                <c:pt idx="0">
                  <c:v>2.1999999999999999E-2</c:v>
                </c:pt>
                <c:pt idx="1">
                  <c:v>1.7999999999999999E-2</c:v>
                </c:pt>
                <c:pt idx="2">
                  <c:v>1.4E-2</c:v>
                </c:pt>
                <c:pt idx="3">
                  <c:v>1.4999999999999999E-2</c:v>
                </c:pt>
                <c:pt idx="4">
                  <c:v>1.7000000000000001E-2</c:v>
                </c:pt>
              </c:numCache>
            </c:numRef>
          </c:val>
          <c:smooth val="0"/>
          <c:extLst xmlns:c16r2="http://schemas.microsoft.com/office/drawing/2015/06/chart">
            <c:ext xmlns:c16="http://schemas.microsoft.com/office/drawing/2014/chart" uri="{C3380CC4-5D6E-409C-BE32-E72D297353CC}">
              <c16:uniqueId val="{00000006-AFA9-4340-A4E2-AE410E4FC899}"/>
            </c:ext>
          </c:extLst>
        </c:ser>
        <c:ser>
          <c:idx val="6"/>
          <c:order val="6"/>
          <c:tx>
            <c:strRef>
              <c:f>Лист1!$B$34</c:f>
              <c:strCache>
                <c:ptCount val="1"/>
                <c:pt idx="0">
                  <c:v>Оплата праці Китаю (дебет) права шкала</c:v>
                </c:pt>
              </c:strCache>
            </c:strRef>
          </c:tx>
          <c:spPr>
            <a:ln w="28575" cap="rnd">
              <a:solidFill>
                <a:schemeClr val="accent1">
                  <a:lumMod val="60000"/>
                </a:schemeClr>
              </a:solidFill>
              <a:prstDash val="sysDash"/>
              <a:round/>
            </a:ln>
            <a:effectLst/>
          </c:spPr>
          <c:marker>
            <c:symbol val="none"/>
          </c:marker>
          <c:cat>
            <c:numRef>
              <c:f>Лист1!$C$27:$G$27</c:f>
              <c:numCache>
                <c:formatCode>General</c:formatCode>
                <c:ptCount val="5"/>
                <c:pt idx="0">
                  <c:v>2017</c:v>
                </c:pt>
                <c:pt idx="1">
                  <c:v>2018</c:v>
                </c:pt>
                <c:pt idx="2">
                  <c:v>2019</c:v>
                </c:pt>
                <c:pt idx="3">
                  <c:v>2020</c:v>
                </c:pt>
                <c:pt idx="4">
                  <c:v>2021</c:v>
                </c:pt>
              </c:numCache>
            </c:numRef>
          </c:cat>
          <c:val>
            <c:numRef>
              <c:f>Лист1!$C$34:$G$34</c:f>
              <c:numCache>
                <c:formatCode>General</c:formatCode>
                <c:ptCount val="5"/>
                <c:pt idx="0">
                  <c:v>7.0000000000000001E-3</c:v>
                </c:pt>
                <c:pt idx="1">
                  <c:v>0.01</c:v>
                </c:pt>
                <c:pt idx="2">
                  <c:v>1.0999999999999999E-2</c:v>
                </c:pt>
                <c:pt idx="3">
                  <c:v>1.4E-2</c:v>
                </c:pt>
                <c:pt idx="4">
                  <c:v>1.7999999999999999E-2</c:v>
                </c:pt>
              </c:numCache>
            </c:numRef>
          </c:val>
          <c:smooth val="0"/>
          <c:extLst xmlns:c16r2="http://schemas.microsoft.com/office/drawing/2015/06/chart">
            <c:ext xmlns:c16="http://schemas.microsoft.com/office/drawing/2014/chart" uri="{C3380CC4-5D6E-409C-BE32-E72D297353CC}">
              <c16:uniqueId val="{00000007-AFA9-4340-A4E2-AE410E4FC899}"/>
            </c:ext>
          </c:extLst>
        </c:ser>
        <c:ser>
          <c:idx val="7"/>
          <c:order val="7"/>
          <c:tx>
            <c:strRef>
              <c:f>Лист1!$B$35</c:f>
              <c:strCache>
                <c:ptCount val="1"/>
                <c:pt idx="0">
                  <c:v>Дохід від інвестицій Китаю (кредит) права шкала</c:v>
                </c:pt>
              </c:strCache>
            </c:strRef>
          </c:tx>
          <c:spPr>
            <a:ln w="28575" cap="rnd">
              <a:solidFill>
                <a:schemeClr val="accent2">
                  <a:lumMod val="60000"/>
                </a:schemeClr>
              </a:solidFill>
              <a:prstDash val="sysDash"/>
              <a:round/>
            </a:ln>
            <a:effectLst/>
          </c:spPr>
          <c:marker>
            <c:symbol val="none"/>
          </c:marker>
          <c:cat>
            <c:numRef>
              <c:f>Лист1!$C$27:$G$27</c:f>
              <c:numCache>
                <c:formatCode>General</c:formatCode>
                <c:ptCount val="5"/>
                <c:pt idx="0">
                  <c:v>2017</c:v>
                </c:pt>
                <c:pt idx="1">
                  <c:v>2018</c:v>
                </c:pt>
                <c:pt idx="2">
                  <c:v>2019</c:v>
                </c:pt>
                <c:pt idx="3">
                  <c:v>2020</c:v>
                </c:pt>
                <c:pt idx="4">
                  <c:v>2021</c:v>
                </c:pt>
              </c:numCache>
            </c:numRef>
          </c:cat>
          <c:val>
            <c:numRef>
              <c:f>Лист1!$C$35:$G$35</c:f>
              <c:numCache>
                <c:formatCode>General</c:formatCode>
                <c:ptCount val="5"/>
                <c:pt idx="0">
                  <c:v>0.26700000000000002</c:v>
                </c:pt>
                <c:pt idx="1">
                  <c:v>0.248</c:v>
                </c:pt>
                <c:pt idx="2">
                  <c:v>0.25700000000000001</c:v>
                </c:pt>
                <c:pt idx="3">
                  <c:v>0.224</c:v>
                </c:pt>
                <c:pt idx="4">
                  <c:v>0.254</c:v>
                </c:pt>
              </c:numCache>
            </c:numRef>
          </c:val>
          <c:smooth val="0"/>
          <c:extLst xmlns:c16r2="http://schemas.microsoft.com/office/drawing/2015/06/chart">
            <c:ext xmlns:c16="http://schemas.microsoft.com/office/drawing/2014/chart" uri="{C3380CC4-5D6E-409C-BE32-E72D297353CC}">
              <c16:uniqueId val="{00000008-AFA9-4340-A4E2-AE410E4FC899}"/>
            </c:ext>
          </c:extLst>
        </c:ser>
        <c:ser>
          <c:idx val="8"/>
          <c:order val="8"/>
          <c:tx>
            <c:strRef>
              <c:f>Лист1!$B$36</c:f>
              <c:strCache>
                <c:ptCount val="1"/>
                <c:pt idx="0">
                  <c:v>Дохід від інвестицій Китаю (дебет) права шкала</c:v>
                </c:pt>
              </c:strCache>
            </c:strRef>
          </c:tx>
          <c:spPr>
            <a:ln w="28575" cap="rnd">
              <a:solidFill>
                <a:schemeClr val="accent3">
                  <a:lumMod val="60000"/>
                </a:schemeClr>
              </a:solidFill>
              <a:prstDash val="sysDash"/>
              <a:round/>
            </a:ln>
            <a:effectLst/>
          </c:spPr>
          <c:marker>
            <c:symbol val="none"/>
          </c:marker>
          <c:cat>
            <c:numRef>
              <c:f>Лист1!$C$27:$G$27</c:f>
              <c:numCache>
                <c:formatCode>General</c:formatCode>
                <c:ptCount val="5"/>
                <c:pt idx="0">
                  <c:v>2017</c:v>
                </c:pt>
                <c:pt idx="1">
                  <c:v>2018</c:v>
                </c:pt>
                <c:pt idx="2">
                  <c:v>2019</c:v>
                </c:pt>
                <c:pt idx="3">
                  <c:v>2020</c:v>
                </c:pt>
                <c:pt idx="4">
                  <c:v>2021</c:v>
                </c:pt>
              </c:numCache>
            </c:numRef>
          </c:cat>
          <c:val>
            <c:numRef>
              <c:f>Лист1!$C$36:$G$36</c:f>
              <c:numCache>
                <c:formatCode>General</c:formatCode>
                <c:ptCount val="5"/>
                <c:pt idx="0">
                  <c:v>0.29899999999999999</c:v>
                </c:pt>
                <c:pt idx="1">
                  <c:v>0.32</c:v>
                </c:pt>
                <c:pt idx="2">
                  <c:v>0.30099999999999999</c:v>
                </c:pt>
                <c:pt idx="3">
                  <c:v>0.33200000000000002</c:v>
                </c:pt>
                <c:pt idx="4">
                  <c:v>0.41699999999999998</c:v>
                </c:pt>
              </c:numCache>
            </c:numRef>
          </c:val>
          <c:smooth val="0"/>
          <c:extLst xmlns:c16r2="http://schemas.microsoft.com/office/drawing/2015/06/chart">
            <c:ext xmlns:c16="http://schemas.microsoft.com/office/drawing/2014/chart" uri="{C3380CC4-5D6E-409C-BE32-E72D297353CC}">
              <c16:uniqueId val="{00000009-AFA9-4340-A4E2-AE410E4FC899}"/>
            </c:ext>
          </c:extLst>
        </c:ser>
        <c:dLbls>
          <c:showLegendKey val="0"/>
          <c:showVal val="0"/>
          <c:showCatName val="0"/>
          <c:showSerName val="0"/>
          <c:showPercent val="0"/>
          <c:showBubbleSize val="0"/>
        </c:dLbls>
        <c:marker val="1"/>
        <c:smooth val="0"/>
        <c:axId val="97627520"/>
        <c:axId val="97625984"/>
      </c:lineChart>
      <c:catAx>
        <c:axId val="97212672"/>
        <c:scaling>
          <c:orientation val="minMax"/>
        </c:scaling>
        <c:delete val="0"/>
        <c:axPos val="b"/>
        <c:numFmt formatCode="General" sourceLinked="1"/>
        <c:majorTickMark val="none"/>
        <c:minorTickMark val="none"/>
        <c:tickLblPos val="low"/>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97624064"/>
        <c:crosses val="autoZero"/>
        <c:auto val="1"/>
        <c:lblAlgn val="ctr"/>
        <c:lblOffset val="100"/>
        <c:noMultiLvlLbl val="0"/>
      </c:catAx>
      <c:valAx>
        <c:axId val="9762406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трлн дол. США</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97212672"/>
        <c:crosses val="autoZero"/>
        <c:crossBetween val="between"/>
      </c:valAx>
      <c:valAx>
        <c:axId val="97625984"/>
        <c:scaling>
          <c:orientation val="minMax"/>
        </c:scaling>
        <c:delete val="0"/>
        <c:axPos val="r"/>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97627520"/>
        <c:crosses val="max"/>
        <c:crossBetween val="between"/>
      </c:valAx>
      <c:catAx>
        <c:axId val="97627520"/>
        <c:scaling>
          <c:orientation val="minMax"/>
        </c:scaling>
        <c:delete val="1"/>
        <c:axPos val="b"/>
        <c:numFmt formatCode="General" sourceLinked="1"/>
        <c:majorTickMark val="out"/>
        <c:minorTickMark val="none"/>
        <c:tickLblPos val="nextTo"/>
        <c:crossAx val="97625984"/>
        <c:crosses val="autoZero"/>
        <c:auto val="1"/>
        <c:lblAlgn val="ctr"/>
        <c:lblOffset val="100"/>
        <c:noMultiLvlLbl val="0"/>
      </c:catAx>
      <c:spPr>
        <a:noFill/>
        <a:ln>
          <a:noFill/>
        </a:ln>
        <a:effectLst/>
      </c:spPr>
    </c:plotArea>
    <c:legend>
      <c:legendPos val="r"/>
      <c:layout>
        <c:manualLayout>
          <c:xMode val="edge"/>
          <c:yMode val="edge"/>
          <c:x val="0.6924832214765102"/>
          <c:y val="0.13602991886259441"/>
          <c:w val="0.29409395973154356"/>
          <c:h val="0.80348123220153467"/>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2">
    <c:autoUpdate val="0"/>
  </c:externalData>
  <c:userShapes r:id="rId3"/>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r>
              <a:rPr lang="ru-RU" sz="1200"/>
              <a:t>Динаміка балансу вторинних доходів Японії</a:t>
            </a:r>
            <a:r>
              <a:rPr lang="ru-RU" sz="1200" baseline="0"/>
              <a:t> та Китаю у період 2017-2021 рр.</a:t>
            </a:r>
            <a:endParaRPr lang="ru-RU" sz="1200"/>
          </a:p>
        </c:rich>
      </c:tx>
      <c:overlay val="0"/>
      <c:spPr>
        <a:noFill/>
        <a:ln>
          <a:noFill/>
        </a:ln>
        <a:effectLst/>
      </c:spPr>
    </c:title>
    <c:autoTitleDeleted val="0"/>
    <c:plotArea>
      <c:layout/>
      <c:areaChart>
        <c:grouping val="standard"/>
        <c:varyColors val="0"/>
        <c:ser>
          <c:idx val="0"/>
          <c:order val="0"/>
          <c:tx>
            <c:strRef>
              <c:f>Лист1!$B$50</c:f>
              <c:strCache>
                <c:ptCount val="1"/>
                <c:pt idx="0">
                  <c:v>Баланс вторинних доходів Японії</c:v>
                </c:pt>
              </c:strCache>
            </c:strRef>
          </c:tx>
          <c:spPr>
            <a:solidFill>
              <a:schemeClr val="accent1">
                <a:lumMod val="60000"/>
                <a:lumOff val="40000"/>
              </a:schemeClr>
            </a:solidFill>
            <a:ln w="38100">
              <a:noFill/>
            </a:ln>
            <a:effectLst/>
          </c:spPr>
          <c:cat>
            <c:numRef>
              <c:f>Лист1!$C$49:$G$49</c:f>
              <c:numCache>
                <c:formatCode>General</c:formatCode>
                <c:ptCount val="5"/>
                <c:pt idx="0">
                  <c:v>2017</c:v>
                </c:pt>
                <c:pt idx="1">
                  <c:v>2018</c:v>
                </c:pt>
                <c:pt idx="2">
                  <c:v>2019</c:v>
                </c:pt>
                <c:pt idx="3">
                  <c:v>2020</c:v>
                </c:pt>
                <c:pt idx="4">
                  <c:v>2021</c:v>
                </c:pt>
              </c:numCache>
            </c:numRef>
          </c:cat>
          <c:val>
            <c:numRef>
              <c:f>Лист1!$C$50:$G$50</c:f>
              <c:numCache>
                <c:formatCode>General</c:formatCode>
                <c:ptCount val="5"/>
                <c:pt idx="0">
                  <c:v>-1.9E-2</c:v>
                </c:pt>
                <c:pt idx="1">
                  <c:v>-1.7999999999999999E-2</c:v>
                </c:pt>
                <c:pt idx="2">
                  <c:v>-1.2999999999999999E-2</c:v>
                </c:pt>
                <c:pt idx="3">
                  <c:v>-2.4E-2</c:v>
                </c:pt>
                <c:pt idx="4">
                  <c:v>-2.1000000000000001E-2</c:v>
                </c:pt>
              </c:numCache>
            </c:numRef>
          </c:val>
          <c:extLst xmlns:c16r2="http://schemas.microsoft.com/office/drawing/2015/06/chart">
            <c:ext xmlns:c16="http://schemas.microsoft.com/office/drawing/2014/chart" uri="{C3380CC4-5D6E-409C-BE32-E72D297353CC}">
              <c16:uniqueId val="{00000000-0203-4C48-8468-64E7998BC532}"/>
            </c:ext>
          </c:extLst>
        </c:ser>
        <c:dLbls>
          <c:showLegendKey val="0"/>
          <c:showVal val="0"/>
          <c:showCatName val="0"/>
          <c:showSerName val="0"/>
          <c:showPercent val="0"/>
          <c:showBubbleSize val="0"/>
        </c:dLbls>
        <c:axId val="98719232"/>
        <c:axId val="98720768"/>
      </c:areaChart>
      <c:areaChart>
        <c:grouping val="standard"/>
        <c:varyColors val="0"/>
        <c:ser>
          <c:idx val="3"/>
          <c:order val="3"/>
          <c:tx>
            <c:strRef>
              <c:f>Лист1!$B$53</c:f>
              <c:strCache>
                <c:ptCount val="1"/>
                <c:pt idx="0">
                  <c:v>Баланс вторинних доходів Китаю (права шкала)</c:v>
                </c:pt>
              </c:strCache>
            </c:strRef>
          </c:tx>
          <c:spPr>
            <a:solidFill>
              <a:schemeClr val="accent4">
                <a:lumMod val="60000"/>
                <a:lumOff val="40000"/>
              </a:schemeClr>
            </a:solidFill>
            <a:ln w="28575">
              <a:solidFill>
                <a:schemeClr val="accent2">
                  <a:lumMod val="75000"/>
                </a:schemeClr>
              </a:solidFill>
              <a:prstDash val="sysDash"/>
            </a:ln>
            <a:effectLst/>
          </c:spPr>
          <c:cat>
            <c:numRef>
              <c:f>Лист1!$C$49:$G$49</c:f>
              <c:numCache>
                <c:formatCode>General</c:formatCode>
                <c:ptCount val="5"/>
                <c:pt idx="0">
                  <c:v>2017</c:v>
                </c:pt>
                <c:pt idx="1">
                  <c:v>2018</c:v>
                </c:pt>
                <c:pt idx="2">
                  <c:v>2019</c:v>
                </c:pt>
                <c:pt idx="3">
                  <c:v>2020</c:v>
                </c:pt>
                <c:pt idx="4">
                  <c:v>2021</c:v>
                </c:pt>
              </c:numCache>
            </c:numRef>
          </c:cat>
          <c:val>
            <c:numRef>
              <c:f>Лист1!$C$53:$G$53</c:f>
              <c:numCache>
                <c:formatCode>General</c:formatCode>
                <c:ptCount val="5"/>
                <c:pt idx="0">
                  <c:v>-1.2E-2</c:v>
                </c:pt>
                <c:pt idx="1">
                  <c:v>-2E-3</c:v>
                </c:pt>
                <c:pt idx="2">
                  <c:v>0.01</c:v>
                </c:pt>
                <c:pt idx="3">
                  <c:v>0.01</c:v>
                </c:pt>
                <c:pt idx="4">
                  <c:v>1.6E-2</c:v>
                </c:pt>
              </c:numCache>
            </c:numRef>
          </c:val>
          <c:extLst xmlns:c16r2="http://schemas.microsoft.com/office/drawing/2015/06/chart">
            <c:ext xmlns:c16="http://schemas.microsoft.com/office/drawing/2014/chart" uri="{C3380CC4-5D6E-409C-BE32-E72D297353CC}">
              <c16:uniqueId val="{00000001-0203-4C48-8468-64E7998BC532}"/>
            </c:ext>
          </c:extLst>
        </c:ser>
        <c:dLbls>
          <c:showLegendKey val="0"/>
          <c:showVal val="0"/>
          <c:showCatName val="0"/>
          <c:showSerName val="0"/>
          <c:showPercent val="0"/>
          <c:showBubbleSize val="0"/>
        </c:dLbls>
        <c:axId val="98740864"/>
        <c:axId val="98739328"/>
      </c:areaChart>
      <c:lineChart>
        <c:grouping val="standard"/>
        <c:varyColors val="0"/>
        <c:ser>
          <c:idx val="1"/>
          <c:order val="1"/>
          <c:tx>
            <c:strRef>
              <c:f>Лист1!$B$51</c:f>
              <c:strCache>
                <c:ptCount val="1"/>
                <c:pt idx="0">
                  <c:v>надходження Японії</c:v>
                </c:pt>
              </c:strCache>
            </c:strRef>
          </c:tx>
          <c:spPr>
            <a:ln w="28575" cap="rnd">
              <a:solidFill>
                <a:schemeClr val="accent2"/>
              </a:solidFill>
              <a:round/>
            </a:ln>
            <a:effectLst/>
          </c:spPr>
          <c:marker>
            <c:symbol val="none"/>
          </c:marker>
          <c:cat>
            <c:numRef>
              <c:f>Лист1!$C$49:$G$49</c:f>
              <c:numCache>
                <c:formatCode>General</c:formatCode>
                <c:ptCount val="5"/>
                <c:pt idx="0">
                  <c:v>2017</c:v>
                </c:pt>
                <c:pt idx="1">
                  <c:v>2018</c:v>
                </c:pt>
                <c:pt idx="2">
                  <c:v>2019</c:v>
                </c:pt>
                <c:pt idx="3">
                  <c:v>2020</c:v>
                </c:pt>
                <c:pt idx="4">
                  <c:v>2021</c:v>
                </c:pt>
              </c:numCache>
            </c:numRef>
          </c:cat>
          <c:val>
            <c:numRef>
              <c:f>Лист1!$C$51:$G$51</c:f>
              <c:numCache>
                <c:formatCode>General</c:formatCode>
                <c:ptCount val="5"/>
                <c:pt idx="0">
                  <c:v>0.02</c:v>
                </c:pt>
                <c:pt idx="1">
                  <c:v>2.1999999999999999E-2</c:v>
                </c:pt>
                <c:pt idx="2">
                  <c:v>3.2000000000000001E-2</c:v>
                </c:pt>
                <c:pt idx="3">
                  <c:v>3.1E-2</c:v>
                </c:pt>
                <c:pt idx="4">
                  <c:v>2.8000000000000001E-2</c:v>
                </c:pt>
              </c:numCache>
            </c:numRef>
          </c:val>
          <c:smooth val="0"/>
          <c:extLst xmlns:c16r2="http://schemas.microsoft.com/office/drawing/2015/06/chart">
            <c:ext xmlns:c16="http://schemas.microsoft.com/office/drawing/2014/chart" uri="{C3380CC4-5D6E-409C-BE32-E72D297353CC}">
              <c16:uniqueId val="{00000002-0203-4C48-8468-64E7998BC532}"/>
            </c:ext>
          </c:extLst>
        </c:ser>
        <c:ser>
          <c:idx val="2"/>
          <c:order val="2"/>
          <c:tx>
            <c:strRef>
              <c:f>Лист1!$B$52</c:f>
              <c:strCache>
                <c:ptCount val="1"/>
                <c:pt idx="0">
                  <c:v>виплати Японії</c:v>
                </c:pt>
              </c:strCache>
            </c:strRef>
          </c:tx>
          <c:spPr>
            <a:ln w="28575" cap="rnd">
              <a:solidFill>
                <a:schemeClr val="accent3"/>
              </a:solidFill>
              <a:round/>
            </a:ln>
            <a:effectLst/>
          </c:spPr>
          <c:marker>
            <c:symbol val="none"/>
          </c:marker>
          <c:cat>
            <c:numRef>
              <c:f>Лист1!$C$49:$G$49</c:f>
              <c:numCache>
                <c:formatCode>General</c:formatCode>
                <c:ptCount val="5"/>
                <c:pt idx="0">
                  <c:v>2017</c:v>
                </c:pt>
                <c:pt idx="1">
                  <c:v>2018</c:v>
                </c:pt>
                <c:pt idx="2">
                  <c:v>2019</c:v>
                </c:pt>
                <c:pt idx="3">
                  <c:v>2020</c:v>
                </c:pt>
                <c:pt idx="4">
                  <c:v>2021</c:v>
                </c:pt>
              </c:numCache>
            </c:numRef>
          </c:cat>
          <c:val>
            <c:numRef>
              <c:f>Лист1!$C$52:$G$52</c:f>
              <c:numCache>
                <c:formatCode>General</c:formatCode>
                <c:ptCount val="5"/>
                <c:pt idx="0">
                  <c:v>3.9E-2</c:v>
                </c:pt>
                <c:pt idx="1">
                  <c:v>0.04</c:v>
                </c:pt>
                <c:pt idx="2">
                  <c:v>4.4999999999999998E-2</c:v>
                </c:pt>
                <c:pt idx="3">
                  <c:v>5.5E-2</c:v>
                </c:pt>
                <c:pt idx="4">
                  <c:v>4.9000000000000002E-2</c:v>
                </c:pt>
              </c:numCache>
            </c:numRef>
          </c:val>
          <c:smooth val="0"/>
          <c:extLst xmlns:c16r2="http://schemas.microsoft.com/office/drawing/2015/06/chart">
            <c:ext xmlns:c16="http://schemas.microsoft.com/office/drawing/2014/chart" uri="{C3380CC4-5D6E-409C-BE32-E72D297353CC}">
              <c16:uniqueId val="{00000003-0203-4C48-8468-64E7998BC532}"/>
            </c:ext>
          </c:extLst>
        </c:ser>
        <c:dLbls>
          <c:showLegendKey val="0"/>
          <c:showVal val="0"/>
          <c:showCatName val="0"/>
          <c:showSerName val="0"/>
          <c:showPercent val="0"/>
          <c:showBubbleSize val="0"/>
        </c:dLbls>
        <c:marker val="1"/>
        <c:smooth val="0"/>
        <c:axId val="98719232"/>
        <c:axId val="98720768"/>
      </c:lineChart>
      <c:lineChart>
        <c:grouping val="standard"/>
        <c:varyColors val="0"/>
        <c:ser>
          <c:idx val="4"/>
          <c:order val="4"/>
          <c:tx>
            <c:strRef>
              <c:f>Лист1!$B$54</c:f>
              <c:strCache>
                <c:ptCount val="1"/>
                <c:pt idx="0">
                  <c:v>надходження Китаю (права шкала)</c:v>
                </c:pt>
              </c:strCache>
            </c:strRef>
          </c:tx>
          <c:spPr>
            <a:ln w="28575" cap="rnd">
              <a:solidFill>
                <a:schemeClr val="accent5"/>
              </a:solidFill>
              <a:prstDash val="sysDash"/>
              <a:round/>
            </a:ln>
            <a:effectLst/>
          </c:spPr>
          <c:marker>
            <c:symbol val="none"/>
          </c:marker>
          <c:cat>
            <c:numRef>
              <c:f>Лист1!$C$49:$G$49</c:f>
              <c:numCache>
                <c:formatCode>General</c:formatCode>
                <c:ptCount val="5"/>
                <c:pt idx="0">
                  <c:v>2017</c:v>
                </c:pt>
                <c:pt idx="1">
                  <c:v>2018</c:v>
                </c:pt>
                <c:pt idx="2">
                  <c:v>2019</c:v>
                </c:pt>
                <c:pt idx="3">
                  <c:v>2020</c:v>
                </c:pt>
                <c:pt idx="4">
                  <c:v>2021</c:v>
                </c:pt>
              </c:numCache>
            </c:numRef>
          </c:cat>
          <c:val>
            <c:numRef>
              <c:f>Лист1!$C$54:$G$54</c:f>
              <c:numCache>
                <c:formatCode>General</c:formatCode>
                <c:ptCount val="5"/>
                <c:pt idx="0">
                  <c:v>2.8000000000000001E-2</c:v>
                </c:pt>
                <c:pt idx="1">
                  <c:v>2.8000000000000001E-2</c:v>
                </c:pt>
                <c:pt idx="2">
                  <c:v>2.5999999999999999E-2</c:v>
                </c:pt>
                <c:pt idx="3">
                  <c:v>3.7999999999999999E-2</c:v>
                </c:pt>
                <c:pt idx="4">
                  <c:v>4.9000000000000002E-2</c:v>
                </c:pt>
              </c:numCache>
            </c:numRef>
          </c:val>
          <c:smooth val="0"/>
          <c:extLst xmlns:c16r2="http://schemas.microsoft.com/office/drawing/2015/06/chart">
            <c:ext xmlns:c16="http://schemas.microsoft.com/office/drawing/2014/chart" uri="{C3380CC4-5D6E-409C-BE32-E72D297353CC}">
              <c16:uniqueId val="{00000004-0203-4C48-8468-64E7998BC532}"/>
            </c:ext>
          </c:extLst>
        </c:ser>
        <c:ser>
          <c:idx val="5"/>
          <c:order val="5"/>
          <c:tx>
            <c:strRef>
              <c:f>Лист1!$B$55</c:f>
              <c:strCache>
                <c:ptCount val="1"/>
                <c:pt idx="0">
                  <c:v>виплати Китаю (права шкала)</c:v>
                </c:pt>
              </c:strCache>
            </c:strRef>
          </c:tx>
          <c:spPr>
            <a:ln w="28575" cap="rnd">
              <a:solidFill>
                <a:schemeClr val="accent6"/>
              </a:solidFill>
              <a:prstDash val="sysDash"/>
              <a:round/>
            </a:ln>
            <a:effectLst/>
          </c:spPr>
          <c:marker>
            <c:symbol val="none"/>
          </c:marker>
          <c:cat>
            <c:numRef>
              <c:f>Лист1!$C$49:$G$49</c:f>
              <c:numCache>
                <c:formatCode>General</c:formatCode>
                <c:ptCount val="5"/>
                <c:pt idx="0">
                  <c:v>2017</c:v>
                </c:pt>
                <c:pt idx="1">
                  <c:v>2018</c:v>
                </c:pt>
                <c:pt idx="2">
                  <c:v>2019</c:v>
                </c:pt>
                <c:pt idx="3">
                  <c:v>2020</c:v>
                </c:pt>
                <c:pt idx="4">
                  <c:v>2021</c:v>
                </c:pt>
              </c:numCache>
            </c:numRef>
          </c:cat>
          <c:val>
            <c:numRef>
              <c:f>Лист1!$C$55:$G$55</c:f>
              <c:numCache>
                <c:formatCode>General</c:formatCode>
                <c:ptCount val="5"/>
                <c:pt idx="0">
                  <c:v>0.04</c:v>
                </c:pt>
                <c:pt idx="1">
                  <c:v>0.03</c:v>
                </c:pt>
                <c:pt idx="2">
                  <c:v>1.6E-2</c:v>
                </c:pt>
                <c:pt idx="3">
                  <c:v>2.8000000000000001E-2</c:v>
                </c:pt>
                <c:pt idx="4">
                  <c:v>3.3000000000000002E-2</c:v>
                </c:pt>
              </c:numCache>
            </c:numRef>
          </c:val>
          <c:smooth val="0"/>
          <c:extLst xmlns:c16r2="http://schemas.microsoft.com/office/drawing/2015/06/chart">
            <c:ext xmlns:c16="http://schemas.microsoft.com/office/drawing/2014/chart" uri="{C3380CC4-5D6E-409C-BE32-E72D297353CC}">
              <c16:uniqueId val="{00000005-0203-4C48-8468-64E7998BC532}"/>
            </c:ext>
          </c:extLst>
        </c:ser>
        <c:dLbls>
          <c:showLegendKey val="0"/>
          <c:showVal val="0"/>
          <c:showCatName val="0"/>
          <c:showSerName val="0"/>
          <c:showPercent val="0"/>
          <c:showBubbleSize val="0"/>
        </c:dLbls>
        <c:marker val="1"/>
        <c:smooth val="0"/>
        <c:axId val="98740864"/>
        <c:axId val="98739328"/>
      </c:lineChart>
      <c:catAx>
        <c:axId val="98719232"/>
        <c:scaling>
          <c:orientation val="minMax"/>
        </c:scaling>
        <c:delete val="0"/>
        <c:axPos val="b"/>
        <c:numFmt formatCode="General" sourceLinked="1"/>
        <c:majorTickMark val="none"/>
        <c:minorTickMark val="none"/>
        <c:tickLblPos val="low"/>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98720768"/>
        <c:crosses val="autoZero"/>
        <c:auto val="1"/>
        <c:lblAlgn val="ctr"/>
        <c:lblOffset val="100"/>
        <c:noMultiLvlLbl val="0"/>
      </c:catAx>
      <c:valAx>
        <c:axId val="9872076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трлн дол. США</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98719232"/>
        <c:crosses val="autoZero"/>
        <c:crossBetween val="between"/>
      </c:valAx>
      <c:valAx>
        <c:axId val="98739328"/>
        <c:scaling>
          <c:orientation val="minMax"/>
        </c:scaling>
        <c:delete val="0"/>
        <c:axPos val="r"/>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98740864"/>
        <c:crosses val="max"/>
        <c:crossBetween val="between"/>
      </c:valAx>
      <c:catAx>
        <c:axId val="98740864"/>
        <c:scaling>
          <c:orientation val="minMax"/>
        </c:scaling>
        <c:delete val="1"/>
        <c:axPos val="b"/>
        <c:numFmt formatCode="General" sourceLinked="1"/>
        <c:majorTickMark val="out"/>
        <c:minorTickMark val="none"/>
        <c:tickLblPos val="nextTo"/>
        <c:crossAx val="98739328"/>
        <c:crosses val="autoZero"/>
        <c:auto val="1"/>
        <c:lblAlgn val="ctr"/>
        <c:lblOffset val="100"/>
        <c:noMultiLvlLbl val="0"/>
      </c:catAx>
      <c:spPr>
        <a:noFill/>
        <a:ln>
          <a:noFill/>
        </a:ln>
        <a:effectLst/>
      </c:spPr>
    </c:plotArea>
    <c:legend>
      <c:legendPos val="r"/>
      <c:layout>
        <c:manualLayout>
          <c:xMode val="edge"/>
          <c:yMode val="edge"/>
          <c:x val="0.69811326191105616"/>
          <c:y val="0.14256598133566636"/>
          <c:w val="0.2881646136303555"/>
          <c:h val="0.84028433945756764"/>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2">
    <c:autoUpdate val="0"/>
  </c:externalData>
  <c:userShapes r:id="rId3"/>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100" b="0" i="0" u="none" strike="noStrike" kern="1200" spc="0" baseline="0">
                <a:solidFill>
                  <a:schemeClr val="tx1">
                    <a:lumMod val="65000"/>
                    <a:lumOff val="35000"/>
                  </a:schemeClr>
                </a:solidFill>
                <a:latin typeface="+mn-lt"/>
                <a:ea typeface="+mn-ea"/>
                <a:cs typeface="+mn-cs"/>
              </a:defRPr>
            </a:pPr>
            <a:r>
              <a:rPr lang="ru-RU" sz="1100"/>
              <a:t>Динаміка прямих інвестицій Японії та Китаю у період 2017-2021 рр.</a:t>
            </a:r>
          </a:p>
        </c:rich>
      </c:tx>
      <c:overlay val="0"/>
      <c:spPr>
        <a:noFill/>
        <a:ln>
          <a:noFill/>
        </a:ln>
        <a:effectLst/>
      </c:spPr>
    </c:title>
    <c:autoTitleDeleted val="0"/>
    <c:plotArea>
      <c:layout/>
      <c:areaChart>
        <c:grouping val="standard"/>
        <c:varyColors val="0"/>
        <c:ser>
          <c:idx val="2"/>
          <c:order val="2"/>
          <c:tx>
            <c:strRef>
              <c:f>Лист1!$B$68</c:f>
              <c:strCache>
                <c:ptCount val="1"/>
                <c:pt idx="0">
                  <c:v>Сальдо прямих інвестицій Японії</c:v>
                </c:pt>
              </c:strCache>
            </c:strRef>
          </c:tx>
          <c:spPr>
            <a:solidFill>
              <a:schemeClr val="accent1">
                <a:lumMod val="40000"/>
                <a:lumOff val="60000"/>
              </a:schemeClr>
            </a:solidFill>
            <a:ln>
              <a:noFill/>
            </a:ln>
            <a:effectLst/>
          </c:spPr>
          <c:cat>
            <c:numRef>
              <c:f>Лист1!$C$65:$G$65</c:f>
              <c:numCache>
                <c:formatCode>General</c:formatCode>
                <c:ptCount val="5"/>
                <c:pt idx="0">
                  <c:v>2017</c:v>
                </c:pt>
                <c:pt idx="1">
                  <c:v>2018</c:v>
                </c:pt>
                <c:pt idx="2">
                  <c:v>2019</c:v>
                </c:pt>
                <c:pt idx="3">
                  <c:v>2020</c:v>
                </c:pt>
                <c:pt idx="4">
                  <c:v>2021</c:v>
                </c:pt>
              </c:numCache>
            </c:numRef>
          </c:cat>
          <c:val>
            <c:numRef>
              <c:f>Лист1!$C$68:$G$68</c:f>
              <c:numCache>
                <c:formatCode>General</c:formatCode>
                <c:ptCount val="5"/>
                <c:pt idx="0">
                  <c:v>154.94999999999999</c:v>
                </c:pt>
                <c:pt idx="1">
                  <c:v>134.93</c:v>
                </c:pt>
                <c:pt idx="2">
                  <c:v>217.95</c:v>
                </c:pt>
                <c:pt idx="3">
                  <c:v>89.59</c:v>
                </c:pt>
                <c:pt idx="4">
                  <c:v>122.54</c:v>
                </c:pt>
              </c:numCache>
            </c:numRef>
          </c:val>
          <c:extLst xmlns:c16r2="http://schemas.microsoft.com/office/drawing/2015/06/chart">
            <c:ext xmlns:c16="http://schemas.microsoft.com/office/drawing/2014/chart" uri="{C3380CC4-5D6E-409C-BE32-E72D297353CC}">
              <c16:uniqueId val="{00000000-9761-4207-88E8-BD99ACE1B697}"/>
            </c:ext>
          </c:extLst>
        </c:ser>
        <c:dLbls>
          <c:showLegendKey val="0"/>
          <c:showVal val="0"/>
          <c:showCatName val="0"/>
          <c:showSerName val="0"/>
          <c:showPercent val="0"/>
          <c:showBubbleSize val="0"/>
        </c:dLbls>
        <c:axId val="118248192"/>
        <c:axId val="118249728"/>
      </c:areaChart>
      <c:areaChart>
        <c:grouping val="standard"/>
        <c:varyColors val="0"/>
        <c:ser>
          <c:idx val="5"/>
          <c:order val="5"/>
          <c:tx>
            <c:strRef>
              <c:f>Лист1!$B$71</c:f>
              <c:strCache>
                <c:ptCount val="1"/>
                <c:pt idx="0">
                  <c:v>Сальдо прямих інвестицій Китаю (права шкала)</c:v>
                </c:pt>
              </c:strCache>
            </c:strRef>
          </c:tx>
          <c:spPr>
            <a:noFill/>
            <a:ln w="28575">
              <a:solidFill>
                <a:schemeClr val="accent6">
                  <a:lumMod val="50000"/>
                </a:schemeClr>
              </a:solidFill>
              <a:prstDash val="sysDash"/>
            </a:ln>
            <a:effectLst/>
          </c:spPr>
          <c:cat>
            <c:numRef>
              <c:f>Лист1!$C$65:$G$65</c:f>
              <c:numCache>
                <c:formatCode>General</c:formatCode>
                <c:ptCount val="5"/>
                <c:pt idx="0">
                  <c:v>2017</c:v>
                </c:pt>
                <c:pt idx="1">
                  <c:v>2018</c:v>
                </c:pt>
                <c:pt idx="2">
                  <c:v>2019</c:v>
                </c:pt>
                <c:pt idx="3">
                  <c:v>2020</c:v>
                </c:pt>
                <c:pt idx="4">
                  <c:v>2021</c:v>
                </c:pt>
              </c:numCache>
            </c:numRef>
          </c:cat>
          <c:val>
            <c:numRef>
              <c:f>Лист1!$C$71:$G$71</c:f>
              <c:numCache>
                <c:formatCode>General</c:formatCode>
                <c:ptCount val="5"/>
                <c:pt idx="0">
                  <c:v>-27.79</c:v>
                </c:pt>
                <c:pt idx="1">
                  <c:v>-92.34</c:v>
                </c:pt>
                <c:pt idx="2">
                  <c:v>-50.26</c:v>
                </c:pt>
                <c:pt idx="3">
                  <c:v>-102.56</c:v>
                </c:pt>
                <c:pt idx="4">
                  <c:v>-205.94</c:v>
                </c:pt>
              </c:numCache>
            </c:numRef>
          </c:val>
          <c:extLst xmlns:c16r2="http://schemas.microsoft.com/office/drawing/2015/06/chart">
            <c:ext xmlns:c16="http://schemas.microsoft.com/office/drawing/2014/chart" uri="{C3380CC4-5D6E-409C-BE32-E72D297353CC}">
              <c16:uniqueId val="{00000001-9761-4207-88E8-BD99ACE1B697}"/>
            </c:ext>
          </c:extLst>
        </c:ser>
        <c:dLbls>
          <c:showLegendKey val="0"/>
          <c:showVal val="0"/>
          <c:showCatName val="0"/>
          <c:showSerName val="0"/>
          <c:showPercent val="0"/>
          <c:showBubbleSize val="0"/>
        </c:dLbls>
        <c:axId val="118261632"/>
        <c:axId val="118260096"/>
      </c:areaChart>
      <c:lineChart>
        <c:grouping val="standard"/>
        <c:varyColors val="0"/>
        <c:ser>
          <c:idx val="0"/>
          <c:order val="0"/>
          <c:tx>
            <c:strRef>
              <c:f>Лист1!$B$66</c:f>
              <c:strCache>
                <c:ptCount val="1"/>
                <c:pt idx="0">
                  <c:v>Прямі інвестиції Японії (активи)</c:v>
                </c:pt>
              </c:strCache>
            </c:strRef>
          </c:tx>
          <c:spPr>
            <a:ln w="28575" cap="rnd">
              <a:solidFill>
                <a:schemeClr val="accent1"/>
              </a:solidFill>
              <a:round/>
            </a:ln>
            <a:effectLst/>
          </c:spPr>
          <c:marker>
            <c:symbol val="none"/>
          </c:marker>
          <c:cat>
            <c:numRef>
              <c:f>Лист1!$C$65:$G$65</c:f>
              <c:numCache>
                <c:formatCode>General</c:formatCode>
                <c:ptCount val="5"/>
                <c:pt idx="0">
                  <c:v>2017</c:v>
                </c:pt>
                <c:pt idx="1">
                  <c:v>2018</c:v>
                </c:pt>
                <c:pt idx="2">
                  <c:v>2019</c:v>
                </c:pt>
                <c:pt idx="3">
                  <c:v>2020</c:v>
                </c:pt>
                <c:pt idx="4">
                  <c:v>2021</c:v>
                </c:pt>
              </c:numCache>
            </c:numRef>
          </c:cat>
          <c:val>
            <c:numRef>
              <c:f>Лист1!$C$66:$G$66</c:f>
              <c:numCache>
                <c:formatCode>General</c:formatCode>
                <c:ptCount val="5"/>
                <c:pt idx="0">
                  <c:v>173.75</c:v>
                </c:pt>
                <c:pt idx="1">
                  <c:v>160.22</c:v>
                </c:pt>
                <c:pt idx="2">
                  <c:v>258.08</c:v>
                </c:pt>
                <c:pt idx="3">
                  <c:v>152.31</c:v>
                </c:pt>
                <c:pt idx="4">
                  <c:v>149.86000000000001</c:v>
                </c:pt>
              </c:numCache>
            </c:numRef>
          </c:val>
          <c:smooth val="0"/>
          <c:extLst xmlns:c16r2="http://schemas.microsoft.com/office/drawing/2015/06/chart">
            <c:ext xmlns:c16="http://schemas.microsoft.com/office/drawing/2014/chart" uri="{C3380CC4-5D6E-409C-BE32-E72D297353CC}">
              <c16:uniqueId val="{00000002-9761-4207-88E8-BD99ACE1B697}"/>
            </c:ext>
          </c:extLst>
        </c:ser>
        <c:ser>
          <c:idx val="1"/>
          <c:order val="1"/>
          <c:tx>
            <c:strRef>
              <c:f>Лист1!$B$67</c:f>
              <c:strCache>
                <c:ptCount val="1"/>
                <c:pt idx="0">
                  <c:v>Прямі інвестиції Японії (пасиви)</c:v>
                </c:pt>
              </c:strCache>
            </c:strRef>
          </c:tx>
          <c:spPr>
            <a:ln w="28575" cap="rnd">
              <a:solidFill>
                <a:schemeClr val="accent2"/>
              </a:solidFill>
              <a:round/>
            </a:ln>
            <a:effectLst/>
          </c:spPr>
          <c:marker>
            <c:symbol val="none"/>
          </c:marker>
          <c:cat>
            <c:numRef>
              <c:f>Лист1!$C$65:$G$65</c:f>
              <c:numCache>
                <c:formatCode>General</c:formatCode>
                <c:ptCount val="5"/>
                <c:pt idx="0">
                  <c:v>2017</c:v>
                </c:pt>
                <c:pt idx="1">
                  <c:v>2018</c:v>
                </c:pt>
                <c:pt idx="2">
                  <c:v>2019</c:v>
                </c:pt>
                <c:pt idx="3">
                  <c:v>2020</c:v>
                </c:pt>
                <c:pt idx="4">
                  <c:v>2021</c:v>
                </c:pt>
              </c:numCache>
            </c:numRef>
          </c:cat>
          <c:val>
            <c:numRef>
              <c:f>Лист1!$C$67:$G$67</c:f>
              <c:numCache>
                <c:formatCode>General</c:formatCode>
                <c:ptCount val="5"/>
                <c:pt idx="0">
                  <c:v>18.8</c:v>
                </c:pt>
                <c:pt idx="1">
                  <c:v>25.29</c:v>
                </c:pt>
                <c:pt idx="2">
                  <c:v>40.130000000000003</c:v>
                </c:pt>
                <c:pt idx="3">
                  <c:v>62.72</c:v>
                </c:pt>
                <c:pt idx="4">
                  <c:v>27.32</c:v>
                </c:pt>
              </c:numCache>
            </c:numRef>
          </c:val>
          <c:smooth val="0"/>
          <c:extLst xmlns:c16r2="http://schemas.microsoft.com/office/drawing/2015/06/chart">
            <c:ext xmlns:c16="http://schemas.microsoft.com/office/drawing/2014/chart" uri="{C3380CC4-5D6E-409C-BE32-E72D297353CC}">
              <c16:uniqueId val="{00000003-9761-4207-88E8-BD99ACE1B697}"/>
            </c:ext>
          </c:extLst>
        </c:ser>
        <c:dLbls>
          <c:showLegendKey val="0"/>
          <c:showVal val="0"/>
          <c:showCatName val="0"/>
          <c:showSerName val="0"/>
          <c:showPercent val="0"/>
          <c:showBubbleSize val="0"/>
        </c:dLbls>
        <c:marker val="1"/>
        <c:smooth val="0"/>
        <c:axId val="118248192"/>
        <c:axId val="118249728"/>
      </c:lineChart>
      <c:lineChart>
        <c:grouping val="standard"/>
        <c:varyColors val="0"/>
        <c:ser>
          <c:idx val="3"/>
          <c:order val="3"/>
          <c:tx>
            <c:strRef>
              <c:f>Лист1!$B$69</c:f>
              <c:strCache>
                <c:ptCount val="1"/>
                <c:pt idx="0">
                  <c:v>Прямі інвестиції Китаю (активи) права шкала</c:v>
                </c:pt>
              </c:strCache>
            </c:strRef>
          </c:tx>
          <c:spPr>
            <a:ln w="28575" cap="rnd">
              <a:solidFill>
                <a:schemeClr val="accent4"/>
              </a:solidFill>
              <a:prstDash val="sysDash"/>
              <a:round/>
            </a:ln>
            <a:effectLst/>
          </c:spPr>
          <c:marker>
            <c:symbol val="none"/>
          </c:marker>
          <c:cat>
            <c:numRef>
              <c:f>Лист1!$C$65:$G$65</c:f>
              <c:numCache>
                <c:formatCode>General</c:formatCode>
                <c:ptCount val="5"/>
                <c:pt idx="0">
                  <c:v>2017</c:v>
                </c:pt>
                <c:pt idx="1">
                  <c:v>2018</c:v>
                </c:pt>
                <c:pt idx="2">
                  <c:v>2019</c:v>
                </c:pt>
                <c:pt idx="3">
                  <c:v>2020</c:v>
                </c:pt>
                <c:pt idx="4">
                  <c:v>2021</c:v>
                </c:pt>
              </c:numCache>
            </c:numRef>
          </c:cat>
          <c:val>
            <c:numRef>
              <c:f>Лист1!$C$69:$G$69</c:f>
              <c:numCache>
                <c:formatCode>General</c:formatCode>
                <c:ptCount val="5"/>
                <c:pt idx="0">
                  <c:v>138.29</c:v>
                </c:pt>
                <c:pt idx="1">
                  <c:v>143.03</c:v>
                </c:pt>
                <c:pt idx="2">
                  <c:v>136.91</c:v>
                </c:pt>
                <c:pt idx="3">
                  <c:v>109.92</c:v>
                </c:pt>
                <c:pt idx="4">
                  <c:v>128.04</c:v>
                </c:pt>
              </c:numCache>
            </c:numRef>
          </c:val>
          <c:smooth val="0"/>
          <c:extLst xmlns:c16r2="http://schemas.microsoft.com/office/drawing/2015/06/chart">
            <c:ext xmlns:c16="http://schemas.microsoft.com/office/drawing/2014/chart" uri="{C3380CC4-5D6E-409C-BE32-E72D297353CC}">
              <c16:uniqueId val="{00000004-9761-4207-88E8-BD99ACE1B697}"/>
            </c:ext>
          </c:extLst>
        </c:ser>
        <c:ser>
          <c:idx val="4"/>
          <c:order val="4"/>
          <c:tx>
            <c:strRef>
              <c:f>Лист1!$B$70</c:f>
              <c:strCache>
                <c:ptCount val="1"/>
                <c:pt idx="0">
                  <c:v>Прямі інвестиції Китаю (пасиви) права шкала</c:v>
                </c:pt>
              </c:strCache>
            </c:strRef>
          </c:tx>
          <c:spPr>
            <a:ln w="28575" cap="rnd">
              <a:solidFill>
                <a:schemeClr val="accent5"/>
              </a:solidFill>
              <a:prstDash val="sysDash"/>
              <a:round/>
            </a:ln>
            <a:effectLst/>
          </c:spPr>
          <c:marker>
            <c:symbol val="none"/>
          </c:marker>
          <c:cat>
            <c:numRef>
              <c:f>Лист1!$C$65:$G$65</c:f>
              <c:numCache>
                <c:formatCode>General</c:formatCode>
                <c:ptCount val="5"/>
                <c:pt idx="0">
                  <c:v>2017</c:v>
                </c:pt>
                <c:pt idx="1">
                  <c:v>2018</c:v>
                </c:pt>
                <c:pt idx="2">
                  <c:v>2019</c:v>
                </c:pt>
                <c:pt idx="3">
                  <c:v>2020</c:v>
                </c:pt>
                <c:pt idx="4">
                  <c:v>2021</c:v>
                </c:pt>
              </c:numCache>
            </c:numRef>
          </c:cat>
          <c:val>
            <c:numRef>
              <c:f>Лист1!$C$70:$G$70</c:f>
              <c:numCache>
                <c:formatCode>General</c:formatCode>
                <c:ptCount val="5"/>
                <c:pt idx="0">
                  <c:v>166.08</c:v>
                </c:pt>
                <c:pt idx="1">
                  <c:v>235.37</c:v>
                </c:pt>
                <c:pt idx="2">
                  <c:v>187.17</c:v>
                </c:pt>
                <c:pt idx="3">
                  <c:v>212.48</c:v>
                </c:pt>
                <c:pt idx="4">
                  <c:v>333.98</c:v>
                </c:pt>
              </c:numCache>
            </c:numRef>
          </c:val>
          <c:smooth val="0"/>
          <c:extLst xmlns:c16r2="http://schemas.microsoft.com/office/drawing/2015/06/chart">
            <c:ext xmlns:c16="http://schemas.microsoft.com/office/drawing/2014/chart" uri="{C3380CC4-5D6E-409C-BE32-E72D297353CC}">
              <c16:uniqueId val="{00000005-9761-4207-88E8-BD99ACE1B697}"/>
            </c:ext>
          </c:extLst>
        </c:ser>
        <c:dLbls>
          <c:showLegendKey val="0"/>
          <c:showVal val="0"/>
          <c:showCatName val="0"/>
          <c:showSerName val="0"/>
          <c:showPercent val="0"/>
          <c:showBubbleSize val="0"/>
        </c:dLbls>
        <c:marker val="1"/>
        <c:smooth val="0"/>
        <c:axId val="118261632"/>
        <c:axId val="118260096"/>
      </c:lineChart>
      <c:catAx>
        <c:axId val="118248192"/>
        <c:scaling>
          <c:orientation val="minMax"/>
        </c:scaling>
        <c:delete val="0"/>
        <c:axPos val="b"/>
        <c:numFmt formatCode="General" sourceLinked="1"/>
        <c:majorTickMark val="none"/>
        <c:minorTickMark val="none"/>
        <c:tickLblPos val="low"/>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18249728"/>
        <c:crosses val="autoZero"/>
        <c:auto val="1"/>
        <c:lblAlgn val="ctr"/>
        <c:lblOffset val="100"/>
        <c:noMultiLvlLbl val="0"/>
      </c:catAx>
      <c:valAx>
        <c:axId val="11824972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sz="1000"/>
                  <a:t>млрд дол. США</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18248192"/>
        <c:crosses val="autoZero"/>
        <c:crossBetween val="between"/>
      </c:valAx>
      <c:valAx>
        <c:axId val="118260096"/>
        <c:scaling>
          <c:orientation val="minMax"/>
        </c:scaling>
        <c:delete val="0"/>
        <c:axPos val="r"/>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18261632"/>
        <c:crosses val="max"/>
        <c:crossBetween val="between"/>
      </c:valAx>
      <c:catAx>
        <c:axId val="118261632"/>
        <c:scaling>
          <c:orientation val="minMax"/>
        </c:scaling>
        <c:delete val="1"/>
        <c:axPos val="b"/>
        <c:numFmt formatCode="General" sourceLinked="1"/>
        <c:majorTickMark val="out"/>
        <c:minorTickMark val="none"/>
        <c:tickLblPos val="nextTo"/>
        <c:crossAx val="118260096"/>
        <c:crosses val="autoZero"/>
        <c:auto val="1"/>
        <c:lblAlgn val="ctr"/>
        <c:lblOffset val="100"/>
        <c:noMultiLvlLbl val="0"/>
      </c:catAx>
      <c:spPr>
        <a:noFill/>
        <a:ln>
          <a:noFill/>
        </a:ln>
        <a:effectLst/>
      </c:spPr>
    </c:plotArea>
    <c:legend>
      <c:legendPos val="r"/>
      <c:layout>
        <c:manualLayout>
          <c:xMode val="edge"/>
          <c:yMode val="edge"/>
          <c:x val="0.69572794375432312"/>
          <c:y val="0.13911797193735864"/>
          <c:w val="0.26817097321318589"/>
          <c:h val="0.81842547399836441"/>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2">
    <c:autoUpdate val="0"/>
  </c:externalData>
  <c:userShapes r:id="rId3"/>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100" b="0" i="0" u="none" strike="noStrike" kern="1200" spc="0" baseline="0">
                <a:solidFill>
                  <a:schemeClr val="tx1">
                    <a:lumMod val="65000"/>
                    <a:lumOff val="35000"/>
                  </a:schemeClr>
                </a:solidFill>
                <a:latin typeface="+mn-lt"/>
                <a:ea typeface="+mn-ea"/>
                <a:cs typeface="+mn-cs"/>
              </a:defRPr>
            </a:pPr>
            <a:r>
              <a:rPr lang="ru-RU" sz="1100"/>
              <a:t>Динаміка портфельних інвестицій Японії та Китаю у період 2017-2021</a:t>
            </a:r>
            <a:r>
              <a:rPr lang="ru-RU" sz="1100" baseline="0"/>
              <a:t> рр.</a:t>
            </a:r>
            <a:endParaRPr lang="ru-RU" sz="1100"/>
          </a:p>
        </c:rich>
      </c:tx>
      <c:overlay val="0"/>
      <c:spPr>
        <a:noFill/>
        <a:ln>
          <a:noFill/>
        </a:ln>
        <a:effectLst/>
      </c:spPr>
    </c:title>
    <c:autoTitleDeleted val="0"/>
    <c:plotArea>
      <c:layout/>
      <c:areaChart>
        <c:grouping val="standard"/>
        <c:varyColors val="0"/>
        <c:ser>
          <c:idx val="2"/>
          <c:order val="2"/>
          <c:tx>
            <c:strRef>
              <c:f>Лист1!$B$85</c:f>
              <c:strCache>
                <c:ptCount val="1"/>
                <c:pt idx="0">
                  <c:v>Сальдо портфельних інвестицій Японії</c:v>
                </c:pt>
              </c:strCache>
            </c:strRef>
          </c:tx>
          <c:spPr>
            <a:solidFill>
              <a:schemeClr val="accent1">
                <a:lumMod val="40000"/>
                <a:lumOff val="60000"/>
              </a:schemeClr>
            </a:solidFill>
            <a:ln>
              <a:noFill/>
            </a:ln>
            <a:effectLst/>
          </c:spPr>
          <c:cat>
            <c:numRef>
              <c:f>Лист1!$C$82:$G$82</c:f>
              <c:numCache>
                <c:formatCode>General</c:formatCode>
                <c:ptCount val="5"/>
                <c:pt idx="0">
                  <c:v>2017</c:v>
                </c:pt>
                <c:pt idx="1">
                  <c:v>2018</c:v>
                </c:pt>
                <c:pt idx="2">
                  <c:v>2019</c:v>
                </c:pt>
                <c:pt idx="3">
                  <c:v>2020</c:v>
                </c:pt>
                <c:pt idx="4">
                  <c:v>2021</c:v>
                </c:pt>
              </c:numCache>
            </c:numRef>
          </c:cat>
          <c:val>
            <c:numRef>
              <c:f>Лист1!$C$85:$G$85</c:f>
              <c:numCache>
                <c:formatCode>General</c:formatCode>
                <c:ptCount val="5"/>
                <c:pt idx="0">
                  <c:v>-49.21</c:v>
                </c:pt>
                <c:pt idx="1">
                  <c:v>92.91</c:v>
                </c:pt>
                <c:pt idx="2">
                  <c:v>86.64</c:v>
                </c:pt>
                <c:pt idx="3">
                  <c:v>34.42</c:v>
                </c:pt>
                <c:pt idx="4">
                  <c:v>-196.64</c:v>
                </c:pt>
              </c:numCache>
            </c:numRef>
          </c:val>
          <c:extLst xmlns:c16r2="http://schemas.microsoft.com/office/drawing/2015/06/chart">
            <c:ext xmlns:c16="http://schemas.microsoft.com/office/drawing/2014/chart" uri="{C3380CC4-5D6E-409C-BE32-E72D297353CC}">
              <c16:uniqueId val="{00000000-E3C7-40D2-800D-0CEF664D7FFA}"/>
            </c:ext>
          </c:extLst>
        </c:ser>
        <c:dLbls>
          <c:showLegendKey val="0"/>
          <c:showVal val="0"/>
          <c:showCatName val="0"/>
          <c:showSerName val="0"/>
          <c:showPercent val="0"/>
          <c:showBubbleSize val="0"/>
        </c:dLbls>
        <c:axId val="118468608"/>
        <c:axId val="118470144"/>
      </c:areaChart>
      <c:areaChart>
        <c:grouping val="standard"/>
        <c:varyColors val="0"/>
        <c:ser>
          <c:idx val="5"/>
          <c:order val="5"/>
          <c:tx>
            <c:strRef>
              <c:f>Лист1!$B$88</c:f>
              <c:strCache>
                <c:ptCount val="1"/>
                <c:pt idx="0">
                  <c:v>Сальдо портфельних інвестицій Китаю (права шкала)</c:v>
                </c:pt>
              </c:strCache>
            </c:strRef>
          </c:tx>
          <c:spPr>
            <a:solidFill>
              <a:schemeClr val="accent6">
                <a:lumMod val="60000"/>
                <a:lumOff val="40000"/>
              </a:schemeClr>
            </a:solidFill>
            <a:ln w="28575">
              <a:solidFill>
                <a:schemeClr val="accent6">
                  <a:lumMod val="50000"/>
                </a:schemeClr>
              </a:solidFill>
              <a:prstDash val="sysDash"/>
            </a:ln>
            <a:effectLst/>
          </c:spPr>
          <c:cat>
            <c:numRef>
              <c:f>Лист1!$C$82:$G$82</c:f>
              <c:numCache>
                <c:formatCode>General</c:formatCode>
                <c:ptCount val="5"/>
                <c:pt idx="0">
                  <c:v>2017</c:v>
                </c:pt>
                <c:pt idx="1">
                  <c:v>2018</c:v>
                </c:pt>
                <c:pt idx="2">
                  <c:v>2019</c:v>
                </c:pt>
                <c:pt idx="3">
                  <c:v>2020</c:v>
                </c:pt>
                <c:pt idx="4">
                  <c:v>2021</c:v>
                </c:pt>
              </c:numCache>
            </c:numRef>
          </c:cat>
          <c:val>
            <c:numRef>
              <c:f>Лист1!$C$88:$G$88</c:f>
              <c:numCache>
                <c:formatCode>General</c:formatCode>
                <c:ptCount val="5"/>
                <c:pt idx="0">
                  <c:v>-29.5</c:v>
                </c:pt>
                <c:pt idx="1">
                  <c:v>-106.87</c:v>
                </c:pt>
                <c:pt idx="2">
                  <c:v>-57.95</c:v>
                </c:pt>
                <c:pt idx="3">
                  <c:v>-87.33</c:v>
                </c:pt>
                <c:pt idx="4">
                  <c:v>-50.96</c:v>
                </c:pt>
              </c:numCache>
            </c:numRef>
          </c:val>
          <c:extLst xmlns:c16r2="http://schemas.microsoft.com/office/drawing/2015/06/chart">
            <c:ext xmlns:c16="http://schemas.microsoft.com/office/drawing/2014/chart" uri="{C3380CC4-5D6E-409C-BE32-E72D297353CC}">
              <c16:uniqueId val="{00000001-E3C7-40D2-800D-0CEF664D7FFA}"/>
            </c:ext>
          </c:extLst>
        </c:ser>
        <c:dLbls>
          <c:showLegendKey val="0"/>
          <c:showVal val="0"/>
          <c:showCatName val="0"/>
          <c:showSerName val="0"/>
          <c:showPercent val="0"/>
          <c:showBubbleSize val="0"/>
        </c:dLbls>
        <c:axId val="118473856"/>
        <c:axId val="118472064"/>
      </c:areaChart>
      <c:lineChart>
        <c:grouping val="standard"/>
        <c:varyColors val="0"/>
        <c:ser>
          <c:idx val="0"/>
          <c:order val="0"/>
          <c:tx>
            <c:strRef>
              <c:f>Лист1!$B$83</c:f>
              <c:strCache>
                <c:ptCount val="1"/>
                <c:pt idx="0">
                  <c:v>Портфельні інвестиції Японії (активи)</c:v>
                </c:pt>
              </c:strCache>
            </c:strRef>
          </c:tx>
          <c:spPr>
            <a:ln w="28575" cap="rnd">
              <a:solidFill>
                <a:schemeClr val="accent1"/>
              </a:solidFill>
              <a:round/>
            </a:ln>
            <a:effectLst/>
          </c:spPr>
          <c:marker>
            <c:symbol val="none"/>
          </c:marker>
          <c:cat>
            <c:numRef>
              <c:f>Лист1!$C$82:$G$82</c:f>
              <c:numCache>
                <c:formatCode>General</c:formatCode>
                <c:ptCount val="5"/>
                <c:pt idx="0">
                  <c:v>2017</c:v>
                </c:pt>
                <c:pt idx="1">
                  <c:v>2018</c:v>
                </c:pt>
                <c:pt idx="2">
                  <c:v>2019</c:v>
                </c:pt>
                <c:pt idx="3">
                  <c:v>2020</c:v>
                </c:pt>
                <c:pt idx="4">
                  <c:v>2021</c:v>
                </c:pt>
              </c:numCache>
            </c:numRef>
          </c:cat>
          <c:val>
            <c:numRef>
              <c:f>Лист1!$C$83:$G$83</c:f>
              <c:numCache>
                <c:formatCode>General</c:formatCode>
                <c:ptCount val="5"/>
                <c:pt idx="0">
                  <c:v>103.55</c:v>
                </c:pt>
                <c:pt idx="1">
                  <c:v>188.25</c:v>
                </c:pt>
                <c:pt idx="2">
                  <c:v>184.89</c:v>
                </c:pt>
                <c:pt idx="3">
                  <c:v>159.28</c:v>
                </c:pt>
                <c:pt idx="4">
                  <c:v>-5.49</c:v>
                </c:pt>
              </c:numCache>
            </c:numRef>
          </c:val>
          <c:smooth val="0"/>
          <c:extLst xmlns:c16r2="http://schemas.microsoft.com/office/drawing/2015/06/chart">
            <c:ext xmlns:c16="http://schemas.microsoft.com/office/drawing/2014/chart" uri="{C3380CC4-5D6E-409C-BE32-E72D297353CC}">
              <c16:uniqueId val="{00000002-E3C7-40D2-800D-0CEF664D7FFA}"/>
            </c:ext>
          </c:extLst>
        </c:ser>
        <c:ser>
          <c:idx val="1"/>
          <c:order val="1"/>
          <c:tx>
            <c:strRef>
              <c:f>Лист1!$B$84</c:f>
              <c:strCache>
                <c:ptCount val="1"/>
                <c:pt idx="0">
                  <c:v>Портфельні інвестиції Японії (пасиви)</c:v>
                </c:pt>
              </c:strCache>
            </c:strRef>
          </c:tx>
          <c:spPr>
            <a:ln w="28575" cap="rnd">
              <a:solidFill>
                <a:schemeClr val="accent2"/>
              </a:solidFill>
              <a:round/>
            </a:ln>
            <a:effectLst/>
          </c:spPr>
          <c:marker>
            <c:symbol val="none"/>
          </c:marker>
          <c:cat>
            <c:numRef>
              <c:f>Лист1!$C$82:$G$82</c:f>
              <c:numCache>
                <c:formatCode>General</c:formatCode>
                <c:ptCount val="5"/>
                <c:pt idx="0">
                  <c:v>2017</c:v>
                </c:pt>
                <c:pt idx="1">
                  <c:v>2018</c:v>
                </c:pt>
                <c:pt idx="2">
                  <c:v>2019</c:v>
                </c:pt>
                <c:pt idx="3">
                  <c:v>2020</c:v>
                </c:pt>
                <c:pt idx="4">
                  <c:v>2021</c:v>
                </c:pt>
              </c:numCache>
            </c:numRef>
          </c:cat>
          <c:val>
            <c:numRef>
              <c:f>Лист1!$C$84:$G$84</c:f>
              <c:numCache>
                <c:formatCode>General</c:formatCode>
                <c:ptCount val="5"/>
                <c:pt idx="0">
                  <c:v>152.76</c:v>
                </c:pt>
                <c:pt idx="1">
                  <c:v>95.34</c:v>
                </c:pt>
                <c:pt idx="2">
                  <c:v>98.25</c:v>
                </c:pt>
                <c:pt idx="3">
                  <c:v>124.86</c:v>
                </c:pt>
                <c:pt idx="4">
                  <c:v>191.15</c:v>
                </c:pt>
              </c:numCache>
            </c:numRef>
          </c:val>
          <c:smooth val="0"/>
          <c:extLst xmlns:c16r2="http://schemas.microsoft.com/office/drawing/2015/06/chart">
            <c:ext xmlns:c16="http://schemas.microsoft.com/office/drawing/2014/chart" uri="{C3380CC4-5D6E-409C-BE32-E72D297353CC}">
              <c16:uniqueId val="{00000003-E3C7-40D2-800D-0CEF664D7FFA}"/>
            </c:ext>
          </c:extLst>
        </c:ser>
        <c:dLbls>
          <c:showLegendKey val="0"/>
          <c:showVal val="0"/>
          <c:showCatName val="0"/>
          <c:showSerName val="0"/>
          <c:showPercent val="0"/>
          <c:showBubbleSize val="0"/>
        </c:dLbls>
        <c:marker val="1"/>
        <c:smooth val="0"/>
        <c:axId val="118468608"/>
        <c:axId val="118470144"/>
      </c:lineChart>
      <c:lineChart>
        <c:grouping val="standard"/>
        <c:varyColors val="0"/>
        <c:ser>
          <c:idx val="3"/>
          <c:order val="3"/>
          <c:tx>
            <c:strRef>
              <c:f>Лист1!$B$86</c:f>
              <c:strCache>
                <c:ptCount val="1"/>
                <c:pt idx="0">
                  <c:v>Портфельні інвестиції Китаю (активи) права шкала</c:v>
                </c:pt>
              </c:strCache>
            </c:strRef>
          </c:tx>
          <c:spPr>
            <a:ln w="28575" cap="rnd">
              <a:solidFill>
                <a:schemeClr val="accent4"/>
              </a:solidFill>
              <a:prstDash val="sysDash"/>
              <a:round/>
            </a:ln>
            <a:effectLst/>
          </c:spPr>
          <c:marker>
            <c:symbol val="none"/>
          </c:marker>
          <c:cat>
            <c:numRef>
              <c:f>Лист1!$C$82:$G$82</c:f>
              <c:numCache>
                <c:formatCode>General</c:formatCode>
                <c:ptCount val="5"/>
                <c:pt idx="0">
                  <c:v>2017</c:v>
                </c:pt>
                <c:pt idx="1">
                  <c:v>2018</c:v>
                </c:pt>
                <c:pt idx="2">
                  <c:v>2019</c:v>
                </c:pt>
                <c:pt idx="3">
                  <c:v>2020</c:v>
                </c:pt>
                <c:pt idx="4">
                  <c:v>2021</c:v>
                </c:pt>
              </c:numCache>
            </c:numRef>
          </c:cat>
          <c:val>
            <c:numRef>
              <c:f>Лист1!$C$86:$G$86</c:f>
              <c:numCache>
                <c:formatCode>General</c:formatCode>
                <c:ptCount val="5"/>
                <c:pt idx="0">
                  <c:v>94.8</c:v>
                </c:pt>
                <c:pt idx="1">
                  <c:v>53.51</c:v>
                </c:pt>
                <c:pt idx="2">
                  <c:v>89.42</c:v>
                </c:pt>
                <c:pt idx="3">
                  <c:v>167.33</c:v>
                </c:pt>
                <c:pt idx="4">
                  <c:v>125.92</c:v>
                </c:pt>
              </c:numCache>
            </c:numRef>
          </c:val>
          <c:smooth val="0"/>
          <c:extLst xmlns:c16r2="http://schemas.microsoft.com/office/drawing/2015/06/chart">
            <c:ext xmlns:c16="http://schemas.microsoft.com/office/drawing/2014/chart" uri="{C3380CC4-5D6E-409C-BE32-E72D297353CC}">
              <c16:uniqueId val="{00000004-E3C7-40D2-800D-0CEF664D7FFA}"/>
            </c:ext>
          </c:extLst>
        </c:ser>
        <c:ser>
          <c:idx val="4"/>
          <c:order val="4"/>
          <c:tx>
            <c:strRef>
              <c:f>Лист1!$B$87</c:f>
              <c:strCache>
                <c:ptCount val="1"/>
                <c:pt idx="0">
                  <c:v>Портфельні інвестиції Китаю (пасиви) права шкала</c:v>
                </c:pt>
              </c:strCache>
            </c:strRef>
          </c:tx>
          <c:spPr>
            <a:ln w="28575" cap="rnd">
              <a:solidFill>
                <a:schemeClr val="accent5"/>
              </a:solidFill>
              <a:prstDash val="sysDash"/>
              <a:round/>
            </a:ln>
            <a:effectLst/>
          </c:spPr>
          <c:marker>
            <c:symbol val="none"/>
          </c:marker>
          <c:cat>
            <c:numRef>
              <c:f>Лист1!$C$82:$G$82</c:f>
              <c:numCache>
                <c:formatCode>General</c:formatCode>
                <c:ptCount val="5"/>
                <c:pt idx="0">
                  <c:v>2017</c:v>
                </c:pt>
                <c:pt idx="1">
                  <c:v>2018</c:v>
                </c:pt>
                <c:pt idx="2">
                  <c:v>2019</c:v>
                </c:pt>
                <c:pt idx="3">
                  <c:v>2020</c:v>
                </c:pt>
                <c:pt idx="4">
                  <c:v>2021</c:v>
                </c:pt>
              </c:numCache>
            </c:numRef>
          </c:cat>
          <c:val>
            <c:numRef>
              <c:f>Лист1!$C$87:$G$87</c:f>
              <c:numCache>
                <c:formatCode>General</c:formatCode>
                <c:ptCount val="5"/>
                <c:pt idx="0">
                  <c:v>124.3</c:v>
                </c:pt>
                <c:pt idx="1">
                  <c:v>160.38</c:v>
                </c:pt>
                <c:pt idx="2">
                  <c:v>147.37</c:v>
                </c:pt>
                <c:pt idx="3">
                  <c:v>254.66</c:v>
                </c:pt>
                <c:pt idx="4">
                  <c:v>176.88</c:v>
                </c:pt>
              </c:numCache>
            </c:numRef>
          </c:val>
          <c:smooth val="0"/>
          <c:extLst xmlns:c16r2="http://schemas.microsoft.com/office/drawing/2015/06/chart">
            <c:ext xmlns:c16="http://schemas.microsoft.com/office/drawing/2014/chart" uri="{C3380CC4-5D6E-409C-BE32-E72D297353CC}">
              <c16:uniqueId val="{00000005-E3C7-40D2-800D-0CEF664D7FFA}"/>
            </c:ext>
          </c:extLst>
        </c:ser>
        <c:dLbls>
          <c:showLegendKey val="0"/>
          <c:showVal val="0"/>
          <c:showCatName val="0"/>
          <c:showSerName val="0"/>
          <c:showPercent val="0"/>
          <c:showBubbleSize val="0"/>
        </c:dLbls>
        <c:marker val="1"/>
        <c:smooth val="0"/>
        <c:axId val="118473856"/>
        <c:axId val="118472064"/>
      </c:lineChart>
      <c:catAx>
        <c:axId val="118468608"/>
        <c:scaling>
          <c:orientation val="minMax"/>
        </c:scaling>
        <c:delete val="0"/>
        <c:axPos val="b"/>
        <c:numFmt formatCode="General" sourceLinked="1"/>
        <c:majorTickMark val="none"/>
        <c:minorTickMark val="none"/>
        <c:tickLblPos val="low"/>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18470144"/>
        <c:crosses val="autoZero"/>
        <c:auto val="1"/>
        <c:lblAlgn val="ctr"/>
        <c:lblOffset val="100"/>
        <c:noMultiLvlLbl val="0"/>
      </c:catAx>
      <c:valAx>
        <c:axId val="11847014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млрд дол. США</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18468608"/>
        <c:crosses val="autoZero"/>
        <c:crossBetween val="between"/>
      </c:valAx>
      <c:valAx>
        <c:axId val="118472064"/>
        <c:scaling>
          <c:orientation val="minMax"/>
        </c:scaling>
        <c:delete val="0"/>
        <c:axPos val="r"/>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18473856"/>
        <c:crosses val="max"/>
        <c:crossBetween val="between"/>
      </c:valAx>
      <c:catAx>
        <c:axId val="118473856"/>
        <c:scaling>
          <c:orientation val="minMax"/>
        </c:scaling>
        <c:delete val="1"/>
        <c:axPos val="b"/>
        <c:numFmt formatCode="General" sourceLinked="1"/>
        <c:majorTickMark val="out"/>
        <c:minorTickMark val="none"/>
        <c:tickLblPos val="nextTo"/>
        <c:crossAx val="118472064"/>
        <c:crosses val="autoZero"/>
        <c:auto val="1"/>
        <c:lblAlgn val="ctr"/>
        <c:lblOffset val="100"/>
        <c:noMultiLvlLbl val="0"/>
      </c:catAx>
      <c:spPr>
        <a:noFill/>
        <a:ln>
          <a:noFill/>
        </a:ln>
        <a:effectLst/>
      </c:spPr>
    </c:plotArea>
    <c:legend>
      <c:legendPos val="r"/>
      <c:layout>
        <c:manualLayout>
          <c:xMode val="edge"/>
          <c:yMode val="edge"/>
          <c:x val="0.6665958702064898"/>
          <c:y val="0.13218903816247127"/>
          <c:w val="0.31452507374631267"/>
          <c:h val="0.82560590855963745"/>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2">
    <c:autoUpdate val="0"/>
  </c:externalData>
  <c:userShapes r:id="rId3"/>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r>
              <a:rPr lang="ru-RU" sz="1200"/>
              <a:t>Динаміка інших інвестицій Японії та Китаю у період 2017-2021 рр.</a:t>
            </a:r>
          </a:p>
        </c:rich>
      </c:tx>
      <c:overlay val="0"/>
      <c:spPr>
        <a:noFill/>
        <a:ln>
          <a:noFill/>
        </a:ln>
        <a:effectLst/>
      </c:spPr>
    </c:title>
    <c:autoTitleDeleted val="0"/>
    <c:plotArea>
      <c:layout/>
      <c:areaChart>
        <c:grouping val="standard"/>
        <c:varyColors val="0"/>
        <c:ser>
          <c:idx val="2"/>
          <c:order val="2"/>
          <c:tx>
            <c:strRef>
              <c:f>Лист1!$B$101</c:f>
              <c:strCache>
                <c:ptCount val="1"/>
                <c:pt idx="0">
                  <c:v>Сальдо інших інвестицій Японії</c:v>
                </c:pt>
              </c:strCache>
            </c:strRef>
          </c:tx>
          <c:spPr>
            <a:solidFill>
              <a:schemeClr val="accent3"/>
            </a:solidFill>
            <a:ln>
              <a:noFill/>
            </a:ln>
            <a:effectLst/>
          </c:spPr>
          <c:cat>
            <c:numRef>
              <c:f>Лист1!$C$98:$G$98</c:f>
              <c:numCache>
                <c:formatCode>General</c:formatCode>
                <c:ptCount val="5"/>
                <c:pt idx="0">
                  <c:v>2017</c:v>
                </c:pt>
                <c:pt idx="1">
                  <c:v>2018</c:v>
                </c:pt>
                <c:pt idx="2">
                  <c:v>2019</c:v>
                </c:pt>
                <c:pt idx="3">
                  <c:v>2020</c:v>
                </c:pt>
                <c:pt idx="4">
                  <c:v>2021</c:v>
                </c:pt>
              </c:numCache>
            </c:numRef>
          </c:cat>
          <c:val>
            <c:numRef>
              <c:f>Лист1!$C$101:$G$101</c:f>
              <c:numCache>
                <c:formatCode>General</c:formatCode>
                <c:ptCount val="5"/>
                <c:pt idx="0">
                  <c:v>7.87</c:v>
                </c:pt>
                <c:pt idx="1">
                  <c:v>-69.790000000000006</c:v>
                </c:pt>
                <c:pt idx="2">
                  <c:v>-105.99</c:v>
                </c:pt>
                <c:pt idx="3">
                  <c:v>-14.86</c:v>
                </c:pt>
                <c:pt idx="4">
                  <c:v>88.72</c:v>
                </c:pt>
              </c:numCache>
            </c:numRef>
          </c:val>
          <c:extLst xmlns:c16r2="http://schemas.microsoft.com/office/drawing/2015/06/chart">
            <c:ext xmlns:c16="http://schemas.microsoft.com/office/drawing/2014/chart" uri="{C3380CC4-5D6E-409C-BE32-E72D297353CC}">
              <c16:uniqueId val="{00000000-815C-4D48-ABE5-1CC6D9A2267D}"/>
            </c:ext>
          </c:extLst>
        </c:ser>
        <c:dLbls>
          <c:showLegendKey val="0"/>
          <c:showVal val="0"/>
          <c:showCatName val="0"/>
          <c:showSerName val="0"/>
          <c:showPercent val="0"/>
          <c:showBubbleSize val="0"/>
        </c:dLbls>
        <c:axId val="118675712"/>
        <c:axId val="118681600"/>
      </c:areaChart>
      <c:areaChart>
        <c:grouping val="standard"/>
        <c:varyColors val="0"/>
        <c:ser>
          <c:idx val="5"/>
          <c:order val="5"/>
          <c:tx>
            <c:strRef>
              <c:f>Лист1!$B$104</c:f>
              <c:strCache>
                <c:ptCount val="1"/>
                <c:pt idx="0">
                  <c:v>Сальдо інших інвестицій Китаю (права шкала)</c:v>
                </c:pt>
              </c:strCache>
            </c:strRef>
          </c:tx>
          <c:spPr>
            <a:noFill/>
            <a:ln w="28575">
              <a:solidFill>
                <a:schemeClr val="accent2"/>
              </a:solidFill>
              <a:prstDash val="sysDash"/>
            </a:ln>
            <a:effectLst/>
          </c:spPr>
          <c:cat>
            <c:numRef>
              <c:f>Лист1!$C$98:$G$98</c:f>
              <c:numCache>
                <c:formatCode>General</c:formatCode>
                <c:ptCount val="5"/>
                <c:pt idx="0">
                  <c:v>2017</c:v>
                </c:pt>
                <c:pt idx="1">
                  <c:v>2018</c:v>
                </c:pt>
                <c:pt idx="2">
                  <c:v>2019</c:v>
                </c:pt>
                <c:pt idx="3">
                  <c:v>2020</c:v>
                </c:pt>
                <c:pt idx="4">
                  <c:v>2021</c:v>
                </c:pt>
              </c:numCache>
            </c:numRef>
          </c:cat>
          <c:val>
            <c:numRef>
              <c:f>Лист1!$C$104:$G$104</c:f>
              <c:numCache>
                <c:formatCode>General</c:formatCode>
                <c:ptCount val="5"/>
                <c:pt idx="0">
                  <c:v>-51.89</c:v>
                </c:pt>
                <c:pt idx="1">
                  <c:v>20.37</c:v>
                </c:pt>
                <c:pt idx="2">
                  <c:v>98.55</c:v>
                </c:pt>
                <c:pt idx="3">
                  <c:v>256.24</c:v>
                </c:pt>
                <c:pt idx="4">
                  <c:v>229.83</c:v>
                </c:pt>
              </c:numCache>
            </c:numRef>
          </c:val>
          <c:extLst xmlns:c16r2="http://schemas.microsoft.com/office/drawing/2015/06/chart">
            <c:ext xmlns:c16="http://schemas.microsoft.com/office/drawing/2014/chart" uri="{C3380CC4-5D6E-409C-BE32-E72D297353CC}">
              <c16:uniqueId val="{00000001-815C-4D48-ABE5-1CC6D9A2267D}"/>
            </c:ext>
          </c:extLst>
        </c:ser>
        <c:dLbls>
          <c:showLegendKey val="0"/>
          <c:showVal val="0"/>
          <c:showCatName val="0"/>
          <c:showSerName val="0"/>
          <c:showPercent val="0"/>
          <c:showBubbleSize val="0"/>
        </c:dLbls>
        <c:axId val="118685056"/>
        <c:axId val="118683520"/>
      </c:areaChart>
      <c:lineChart>
        <c:grouping val="standard"/>
        <c:varyColors val="0"/>
        <c:ser>
          <c:idx val="0"/>
          <c:order val="0"/>
          <c:tx>
            <c:strRef>
              <c:f>Лист1!$B$99</c:f>
              <c:strCache>
                <c:ptCount val="1"/>
                <c:pt idx="0">
                  <c:v>Інші інвестиції Японії (активи)</c:v>
                </c:pt>
              </c:strCache>
            </c:strRef>
          </c:tx>
          <c:spPr>
            <a:ln w="28575" cap="rnd">
              <a:solidFill>
                <a:schemeClr val="accent1"/>
              </a:solidFill>
              <a:round/>
            </a:ln>
            <a:effectLst/>
          </c:spPr>
          <c:marker>
            <c:symbol val="none"/>
          </c:marker>
          <c:cat>
            <c:numRef>
              <c:f>Лист1!$C$98:$G$98</c:f>
              <c:numCache>
                <c:formatCode>General</c:formatCode>
                <c:ptCount val="5"/>
                <c:pt idx="0">
                  <c:v>2017</c:v>
                </c:pt>
                <c:pt idx="1">
                  <c:v>2018</c:v>
                </c:pt>
                <c:pt idx="2">
                  <c:v>2019</c:v>
                </c:pt>
                <c:pt idx="3">
                  <c:v>2020</c:v>
                </c:pt>
                <c:pt idx="4">
                  <c:v>2021</c:v>
                </c:pt>
              </c:numCache>
            </c:numRef>
          </c:cat>
          <c:val>
            <c:numRef>
              <c:f>Лист1!$C$99:$G$99</c:f>
              <c:numCache>
                <c:formatCode>General</c:formatCode>
                <c:ptCount val="5"/>
                <c:pt idx="0">
                  <c:v>6.53</c:v>
                </c:pt>
                <c:pt idx="1">
                  <c:v>147.85</c:v>
                </c:pt>
                <c:pt idx="2">
                  <c:v>-9.4600000000000009</c:v>
                </c:pt>
                <c:pt idx="3">
                  <c:v>155.69</c:v>
                </c:pt>
                <c:pt idx="4">
                  <c:v>76.290000000000006</c:v>
                </c:pt>
              </c:numCache>
            </c:numRef>
          </c:val>
          <c:smooth val="0"/>
          <c:extLst xmlns:c16r2="http://schemas.microsoft.com/office/drawing/2015/06/chart">
            <c:ext xmlns:c16="http://schemas.microsoft.com/office/drawing/2014/chart" uri="{C3380CC4-5D6E-409C-BE32-E72D297353CC}">
              <c16:uniqueId val="{00000002-815C-4D48-ABE5-1CC6D9A2267D}"/>
            </c:ext>
          </c:extLst>
        </c:ser>
        <c:ser>
          <c:idx val="1"/>
          <c:order val="1"/>
          <c:tx>
            <c:strRef>
              <c:f>Лист1!$B$100</c:f>
              <c:strCache>
                <c:ptCount val="1"/>
                <c:pt idx="0">
                  <c:v>Інші інвестиції Японії (пасиви)</c:v>
                </c:pt>
              </c:strCache>
            </c:strRef>
          </c:tx>
          <c:spPr>
            <a:ln w="28575" cap="rnd">
              <a:solidFill>
                <a:schemeClr val="accent2">
                  <a:lumMod val="60000"/>
                  <a:lumOff val="40000"/>
                </a:schemeClr>
              </a:solidFill>
              <a:round/>
            </a:ln>
            <a:effectLst/>
          </c:spPr>
          <c:marker>
            <c:symbol val="none"/>
          </c:marker>
          <c:cat>
            <c:numRef>
              <c:f>Лист1!$C$98:$G$98</c:f>
              <c:numCache>
                <c:formatCode>General</c:formatCode>
                <c:ptCount val="5"/>
                <c:pt idx="0">
                  <c:v>2017</c:v>
                </c:pt>
                <c:pt idx="1">
                  <c:v>2018</c:v>
                </c:pt>
                <c:pt idx="2">
                  <c:v>2019</c:v>
                </c:pt>
                <c:pt idx="3">
                  <c:v>2020</c:v>
                </c:pt>
                <c:pt idx="4">
                  <c:v>2021</c:v>
                </c:pt>
              </c:numCache>
            </c:numRef>
          </c:cat>
          <c:val>
            <c:numRef>
              <c:f>Лист1!$C$100:$G$100</c:f>
              <c:numCache>
                <c:formatCode>General</c:formatCode>
                <c:ptCount val="5"/>
                <c:pt idx="0">
                  <c:v>-1.34</c:v>
                </c:pt>
                <c:pt idx="1">
                  <c:v>217.64</c:v>
                </c:pt>
                <c:pt idx="2">
                  <c:v>96.53</c:v>
                </c:pt>
                <c:pt idx="3">
                  <c:v>170.55</c:v>
                </c:pt>
                <c:pt idx="4">
                  <c:v>-12.43</c:v>
                </c:pt>
              </c:numCache>
            </c:numRef>
          </c:val>
          <c:smooth val="0"/>
          <c:extLst xmlns:c16r2="http://schemas.microsoft.com/office/drawing/2015/06/chart">
            <c:ext xmlns:c16="http://schemas.microsoft.com/office/drawing/2014/chart" uri="{C3380CC4-5D6E-409C-BE32-E72D297353CC}">
              <c16:uniqueId val="{00000003-815C-4D48-ABE5-1CC6D9A2267D}"/>
            </c:ext>
          </c:extLst>
        </c:ser>
        <c:dLbls>
          <c:showLegendKey val="0"/>
          <c:showVal val="0"/>
          <c:showCatName val="0"/>
          <c:showSerName val="0"/>
          <c:showPercent val="0"/>
          <c:showBubbleSize val="0"/>
        </c:dLbls>
        <c:marker val="1"/>
        <c:smooth val="0"/>
        <c:axId val="118675712"/>
        <c:axId val="118681600"/>
      </c:lineChart>
      <c:lineChart>
        <c:grouping val="standard"/>
        <c:varyColors val="0"/>
        <c:ser>
          <c:idx val="3"/>
          <c:order val="3"/>
          <c:tx>
            <c:strRef>
              <c:f>Лист1!$B$102</c:f>
              <c:strCache>
                <c:ptCount val="1"/>
                <c:pt idx="0">
                  <c:v>Інші інвестиції Китаю (активи) права шкала</c:v>
                </c:pt>
              </c:strCache>
            </c:strRef>
          </c:tx>
          <c:spPr>
            <a:ln w="28575" cap="rnd">
              <a:solidFill>
                <a:schemeClr val="accent4"/>
              </a:solidFill>
              <a:prstDash val="sysDash"/>
              <a:round/>
            </a:ln>
            <a:effectLst/>
          </c:spPr>
          <c:marker>
            <c:symbol val="none"/>
          </c:marker>
          <c:cat>
            <c:numRef>
              <c:f>Лист1!$C$98:$G$98</c:f>
              <c:numCache>
                <c:formatCode>General</c:formatCode>
                <c:ptCount val="5"/>
                <c:pt idx="0">
                  <c:v>2017</c:v>
                </c:pt>
                <c:pt idx="1">
                  <c:v>2018</c:v>
                </c:pt>
                <c:pt idx="2">
                  <c:v>2019</c:v>
                </c:pt>
                <c:pt idx="3">
                  <c:v>2020</c:v>
                </c:pt>
                <c:pt idx="4">
                  <c:v>2021</c:v>
                </c:pt>
              </c:numCache>
            </c:numRef>
          </c:cat>
          <c:val>
            <c:numRef>
              <c:f>Лист1!$C$102:$G$102</c:f>
              <c:numCache>
                <c:formatCode>General</c:formatCode>
                <c:ptCount val="5"/>
                <c:pt idx="0">
                  <c:v>100.85</c:v>
                </c:pt>
                <c:pt idx="1">
                  <c:v>141.80000000000001</c:v>
                </c:pt>
                <c:pt idx="2">
                  <c:v>54.89</c:v>
                </c:pt>
                <c:pt idx="3">
                  <c:v>314.17</c:v>
                </c:pt>
                <c:pt idx="4">
                  <c:v>387.33</c:v>
                </c:pt>
              </c:numCache>
            </c:numRef>
          </c:val>
          <c:smooth val="0"/>
          <c:extLst xmlns:c16r2="http://schemas.microsoft.com/office/drawing/2015/06/chart">
            <c:ext xmlns:c16="http://schemas.microsoft.com/office/drawing/2014/chart" uri="{C3380CC4-5D6E-409C-BE32-E72D297353CC}">
              <c16:uniqueId val="{00000004-815C-4D48-ABE5-1CC6D9A2267D}"/>
            </c:ext>
          </c:extLst>
        </c:ser>
        <c:ser>
          <c:idx val="4"/>
          <c:order val="4"/>
          <c:tx>
            <c:strRef>
              <c:f>Лист1!$B$103</c:f>
              <c:strCache>
                <c:ptCount val="1"/>
                <c:pt idx="0">
                  <c:v>Інші інвестиції Китаю (пасиви) права шкала</c:v>
                </c:pt>
              </c:strCache>
            </c:strRef>
          </c:tx>
          <c:spPr>
            <a:ln w="28575" cap="rnd">
              <a:solidFill>
                <a:schemeClr val="tx1">
                  <a:lumMod val="85000"/>
                  <a:lumOff val="15000"/>
                </a:schemeClr>
              </a:solidFill>
              <a:prstDash val="sysDash"/>
              <a:round/>
            </a:ln>
            <a:effectLst/>
          </c:spPr>
          <c:marker>
            <c:symbol val="none"/>
          </c:marker>
          <c:cat>
            <c:numRef>
              <c:f>Лист1!$C$98:$G$98</c:f>
              <c:numCache>
                <c:formatCode>General</c:formatCode>
                <c:ptCount val="5"/>
                <c:pt idx="0">
                  <c:v>2017</c:v>
                </c:pt>
                <c:pt idx="1">
                  <c:v>2018</c:v>
                </c:pt>
                <c:pt idx="2">
                  <c:v>2019</c:v>
                </c:pt>
                <c:pt idx="3">
                  <c:v>2020</c:v>
                </c:pt>
                <c:pt idx="4">
                  <c:v>2021</c:v>
                </c:pt>
              </c:numCache>
            </c:numRef>
          </c:cat>
          <c:val>
            <c:numRef>
              <c:f>Лист1!$C$103:$G$103</c:f>
              <c:numCache>
                <c:formatCode>General</c:formatCode>
                <c:ptCount val="5"/>
                <c:pt idx="0">
                  <c:v>152.74</c:v>
                </c:pt>
                <c:pt idx="1">
                  <c:v>121.43</c:v>
                </c:pt>
                <c:pt idx="2">
                  <c:v>-43.66</c:v>
                </c:pt>
                <c:pt idx="3">
                  <c:v>57.93</c:v>
                </c:pt>
                <c:pt idx="4">
                  <c:v>157.5</c:v>
                </c:pt>
              </c:numCache>
            </c:numRef>
          </c:val>
          <c:smooth val="0"/>
          <c:extLst xmlns:c16r2="http://schemas.microsoft.com/office/drawing/2015/06/chart">
            <c:ext xmlns:c16="http://schemas.microsoft.com/office/drawing/2014/chart" uri="{C3380CC4-5D6E-409C-BE32-E72D297353CC}">
              <c16:uniqueId val="{00000005-815C-4D48-ABE5-1CC6D9A2267D}"/>
            </c:ext>
          </c:extLst>
        </c:ser>
        <c:dLbls>
          <c:showLegendKey val="0"/>
          <c:showVal val="0"/>
          <c:showCatName val="0"/>
          <c:showSerName val="0"/>
          <c:showPercent val="0"/>
          <c:showBubbleSize val="0"/>
        </c:dLbls>
        <c:marker val="1"/>
        <c:smooth val="0"/>
        <c:axId val="118685056"/>
        <c:axId val="118683520"/>
      </c:lineChart>
      <c:catAx>
        <c:axId val="118675712"/>
        <c:scaling>
          <c:orientation val="minMax"/>
        </c:scaling>
        <c:delete val="0"/>
        <c:axPos val="b"/>
        <c:numFmt formatCode="General" sourceLinked="1"/>
        <c:majorTickMark val="none"/>
        <c:minorTickMark val="none"/>
        <c:tickLblPos val="low"/>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18681600"/>
        <c:crosses val="autoZero"/>
        <c:auto val="1"/>
        <c:lblAlgn val="ctr"/>
        <c:lblOffset val="100"/>
        <c:noMultiLvlLbl val="0"/>
      </c:catAx>
      <c:valAx>
        <c:axId val="11868160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млрд дол. США</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18675712"/>
        <c:crosses val="autoZero"/>
        <c:crossBetween val="between"/>
      </c:valAx>
      <c:valAx>
        <c:axId val="118683520"/>
        <c:scaling>
          <c:orientation val="minMax"/>
        </c:scaling>
        <c:delete val="0"/>
        <c:axPos val="r"/>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18685056"/>
        <c:crosses val="max"/>
        <c:crossBetween val="between"/>
      </c:valAx>
      <c:catAx>
        <c:axId val="118685056"/>
        <c:scaling>
          <c:orientation val="minMax"/>
        </c:scaling>
        <c:delete val="1"/>
        <c:axPos val="b"/>
        <c:numFmt formatCode="General" sourceLinked="1"/>
        <c:majorTickMark val="out"/>
        <c:minorTickMark val="none"/>
        <c:tickLblPos val="nextTo"/>
        <c:crossAx val="118683520"/>
        <c:crosses val="autoZero"/>
        <c:auto val="1"/>
        <c:lblAlgn val="ctr"/>
        <c:lblOffset val="100"/>
        <c:noMultiLvlLbl val="0"/>
      </c:catAx>
      <c:spPr>
        <a:noFill/>
        <a:ln>
          <a:noFill/>
        </a:ln>
        <a:effectLst/>
      </c:spPr>
    </c:plotArea>
    <c:legend>
      <c:legendPos val="r"/>
      <c:layout>
        <c:manualLayout>
          <c:xMode val="edge"/>
          <c:yMode val="edge"/>
          <c:x val="0.70281212121212122"/>
          <c:y val="0.14877648941600094"/>
          <c:w val="0.28264242424242425"/>
          <c:h val="0.84754442519787188"/>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userShapes r:id="rId2"/>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r>
              <a:rPr lang="ru-RU" sz="1200"/>
              <a:t>Динаміка резервних активів Японії та Китаю у період 2017-2021 рр.</a:t>
            </a:r>
          </a:p>
        </c:rich>
      </c:tx>
      <c:overlay val="0"/>
      <c:spPr>
        <a:noFill/>
        <a:ln>
          <a:noFill/>
        </a:ln>
        <a:effectLst/>
      </c:spPr>
    </c:title>
    <c:autoTitleDeleted val="0"/>
    <c:plotArea>
      <c:layout/>
      <c:areaChart>
        <c:grouping val="standard"/>
        <c:varyColors val="0"/>
        <c:ser>
          <c:idx val="0"/>
          <c:order val="0"/>
          <c:tx>
            <c:strRef>
              <c:f>Лист1!$B$113</c:f>
              <c:strCache>
                <c:ptCount val="1"/>
                <c:pt idx="0">
                  <c:v>Резервні активи Японії</c:v>
                </c:pt>
              </c:strCache>
            </c:strRef>
          </c:tx>
          <c:spPr>
            <a:solidFill>
              <a:schemeClr val="accent2">
                <a:lumMod val="40000"/>
                <a:lumOff val="60000"/>
              </a:schemeClr>
            </a:solidFill>
            <a:ln>
              <a:noFill/>
            </a:ln>
            <a:effectLst/>
          </c:spPr>
          <c:cat>
            <c:numRef>
              <c:f>Лист1!$C$112:$G$112</c:f>
              <c:numCache>
                <c:formatCode>General</c:formatCode>
                <c:ptCount val="5"/>
                <c:pt idx="0">
                  <c:v>2017</c:v>
                </c:pt>
                <c:pt idx="1">
                  <c:v>2018</c:v>
                </c:pt>
                <c:pt idx="2">
                  <c:v>2019</c:v>
                </c:pt>
                <c:pt idx="3">
                  <c:v>2020</c:v>
                </c:pt>
                <c:pt idx="4">
                  <c:v>2021</c:v>
                </c:pt>
              </c:numCache>
            </c:numRef>
          </c:cat>
          <c:val>
            <c:numRef>
              <c:f>Лист1!$C$113:$G$113</c:f>
              <c:numCache>
                <c:formatCode>General</c:formatCode>
                <c:ptCount val="5"/>
                <c:pt idx="0">
                  <c:v>23.57</c:v>
                </c:pt>
                <c:pt idx="1">
                  <c:v>23.92</c:v>
                </c:pt>
                <c:pt idx="2">
                  <c:v>24.7</c:v>
                </c:pt>
                <c:pt idx="3">
                  <c:v>8.61</c:v>
                </c:pt>
                <c:pt idx="4">
                  <c:v>62.77</c:v>
                </c:pt>
              </c:numCache>
            </c:numRef>
          </c:val>
          <c:extLst xmlns:c16r2="http://schemas.microsoft.com/office/drawing/2015/06/chart">
            <c:ext xmlns:c16="http://schemas.microsoft.com/office/drawing/2014/chart" uri="{C3380CC4-5D6E-409C-BE32-E72D297353CC}">
              <c16:uniqueId val="{00000000-6B7E-4E7E-94CE-C1272B70702F}"/>
            </c:ext>
          </c:extLst>
        </c:ser>
        <c:dLbls>
          <c:showLegendKey val="0"/>
          <c:showVal val="0"/>
          <c:showCatName val="0"/>
          <c:showSerName val="0"/>
          <c:showPercent val="0"/>
          <c:showBubbleSize val="0"/>
        </c:dLbls>
        <c:axId val="118728192"/>
        <c:axId val="118729728"/>
      </c:areaChart>
      <c:areaChart>
        <c:grouping val="standard"/>
        <c:varyColors val="0"/>
        <c:ser>
          <c:idx val="5"/>
          <c:order val="5"/>
          <c:tx>
            <c:strRef>
              <c:f>Лист1!$B$118</c:f>
              <c:strCache>
                <c:ptCount val="1"/>
                <c:pt idx="0">
                  <c:v>Резервні активи Китаю (права шкала)</c:v>
                </c:pt>
              </c:strCache>
            </c:strRef>
          </c:tx>
          <c:spPr>
            <a:solidFill>
              <a:schemeClr val="accent6">
                <a:lumMod val="40000"/>
                <a:lumOff val="60000"/>
              </a:schemeClr>
            </a:solidFill>
            <a:ln w="28575">
              <a:solidFill>
                <a:schemeClr val="accent6">
                  <a:lumMod val="50000"/>
                </a:schemeClr>
              </a:solidFill>
              <a:prstDash val="sysDash"/>
            </a:ln>
            <a:effectLst/>
          </c:spPr>
          <c:cat>
            <c:numRef>
              <c:f>Лист1!$C$112:$G$112</c:f>
              <c:numCache>
                <c:formatCode>General</c:formatCode>
                <c:ptCount val="5"/>
                <c:pt idx="0">
                  <c:v>2017</c:v>
                </c:pt>
                <c:pt idx="1">
                  <c:v>2018</c:v>
                </c:pt>
                <c:pt idx="2">
                  <c:v>2019</c:v>
                </c:pt>
                <c:pt idx="3">
                  <c:v>2020</c:v>
                </c:pt>
                <c:pt idx="4">
                  <c:v>2021</c:v>
                </c:pt>
              </c:numCache>
            </c:numRef>
          </c:cat>
          <c:val>
            <c:numRef>
              <c:f>Лист1!$C$118:$G$118</c:f>
              <c:numCache>
                <c:formatCode>General</c:formatCode>
                <c:ptCount val="5"/>
                <c:pt idx="0">
                  <c:v>91.53</c:v>
                </c:pt>
                <c:pt idx="1">
                  <c:v>18.88</c:v>
                </c:pt>
                <c:pt idx="2">
                  <c:v>-19.29</c:v>
                </c:pt>
                <c:pt idx="3">
                  <c:v>28.01</c:v>
                </c:pt>
                <c:pt idx="4">
                  <c:v>189.51</c:v>
                </c:pt>
              </c:numCache>
            </c:numRef>
          </c:val>
          <c:extLst xmlns:c16r2="http://schemas.microsoft.com/office/drawing/2015/06/chart">
            <c:ext xmlns:c16="http://schemas.microsoft.com/office/drawing/2014/chart" uri="{C3380CC4-5D6E-409C-BE32-E72D297353CC}">
              <c16:uniqueId val="{00000001-6B7E-4E7E-94CE-C1272B70702F}"/>
            </c:ext>
          </c:extLst>
        </c:ser>
        <c:dLbls>
          <c:showLegendKey val="0"/>
          <c:showVal val="0"/>
          <c:showCatName val="0"/>
          <c:showSerName val="0"/>
          <c:showPercent val="0"/>
          <c:showBubbleSize val="0"/>
        </c:dLbls>
        <c:axId val="118733440"/>
        <c:axId val="118731904"/>
      </c:areaChart>
      <c:lineChart>
        <c:grouping val="standard"/>
        <c:varyColors val="0"/>
        <c:ser>
          <c:idx val="1"/>
          <c:order val="1"/>
          <c:tx>
            <c:strRef>
              <c:f>Лист1!$B$114</c:f>
              <c:strCache>
                <c:ptCount val="1"/>
                <c:pt idx="0">
                  <c:v>банківське золото Японії</c:v>
                </c:pt>
              </c:strCache>
            </c:strRef>
          </c:tx>
          <c:spPr>
            <a:ln w="28575" cap="rnd">
              <a:solidFill>
                <a:schemeClr val="accent2"/>
              </a:solidFill>
              <a:round/>
            </a:ln>
            <a:effectLst/>
          </c:spPr>
          <c:marker>
            <c:symbol val="none"/>
          </c:marker>
          <c:cat>
            <c:numRef>
              <c:f>Лист1!$C$112:$G$112</c:f>
              <c:numCache>
                <c:formatCode>General</c:formatCode>
                <c:ptCount val="5"/>
                <c:pt idx="0">
                  <c:v>2017</c:v>
                </c:pt>
                <c:pt idx="1">
                  <c:v>2018</c:v>
                </c:pt>
                <c:pt idx="2">
                  <c:v>2019</c:v>
                </c:pt>
                <c:pt idx="3">
                  <c:v>2020</c:v>
                </c:pt>
                <c:pt idx="4">
                  <c:v>2021</c:v>
                </c:pt>
              </c:numCache>
            </c:numRef>
          </c:cat>
          <c:val>
            <c:numRef>
              <c:f>Лист1!$C$114:$G$114</c:f>
              <c:numCache>
                <c:formatCode>General</c:formatCode>
                <c:ptCount val="5"/>
                <c:pt idx="0">
                  <c:v>0</c:v>
                </c:pt>
                <c:pt idx="1">
                  <c:v>0</c:v>
                </c:pt>
                <c:pt idx="2">
                  <c:v>0</c:v>
                </c:pt>
                <c:pt idx="3">
                  <c:v>0</c:v>
                </c:pt>
                <c:pt idx="4">
                  <c:v>0</c:v>
                </c:pt>
              </c:numCache>
            </c:numRef>
          </c:val>
          <c:smooth val="0"/>
          <c:extLst xmlns:c16r2="http://schemas.microsoft.com/office/drawing/2015/06/chart">
            <c:ext xmlns:c16="http://schemas.microsoft.com/office/drawing/2014/chart" uri="{C3380CC4-5D6E-409C-BE32-E72D297353CC}">
              <c16:uniqueId val="{00000002-6B7E-4E7E-94CE-C1272B70702F}"/>
            </c:ext>
          </c:extLst>
        </c:ser>
        <c:ser>
          <c:idx val="2"/>
          <c:order val="2"/>
          <c:tx>
            <c:strRef>
              <c:f>Лист1!$B$115</c:f>
              <c:strCache>
                <c:ptCount val="1"/>
                <c:pt idx="0">
                  <c:v>СПЗ Японії</c:v>
                </c:pt>
              </c:strCache>
            </c:strRef>
          </c:tx>
          <c:spPr>
            <a:ln w="28575" cap="rnd">
              <a:solidFill>
                <a:schemeClr val="accent2">
                  <a:lumMod val="50000"/>
                </a:schemeClr>
              </a:solidFill>
              <a:round/>
            </a:ln>
            <a:effectLst/>
          </c:spPr>
          <c:marker>
            <c:symbol val="none"/>
          </c:marker>
          <c:cat>
            <c:numRef>
              <c:f>Лист1!$C$112:$G$112</c:f>
              <c:numCache>
                <c:formatCode>General</c:formatCode>
                <c:ptCount val="5"/>
                <c:pt idx="0">
                  <c:v>2017</c:v>
                </c:pt>
                <c:pt idx="1">
                  <c:v>2018</c:v>
                </c:pt>
                <c:pt idx="2">
                  <c:v>2019</c:v>
                </c:pt>
                <c:pt idx="3">
                  <c:v>2020</c:v>
                </c:pt>
                <c:pt idx="4">
                  <c:v>2021</c:v>
                </c:pt>
              </c:numCache>
            </c:numRef>
          </c:cat>
          <c:val>
            <c:numRef>
              <c:f>Лист1!$C$115:$G$115</c:f>
              <c:numCache>
                <c:formatCode>General</c:formatCode>
                <c:ptCount val="5"/>
                <c:pt idx="0">
                  <c:v>3.1E-2</c:v>
                </c:pt>
                <c:pt idx="1">
                  <c:v>-0.26</c:v>
                </c:pt>
                <c:pt idx="2">
                  <c:v>0.8</c:v>
                </c:pt>
                <c:pt idx="3">
                  <c:v>0.23</c:v>
                </c:pt>
                <c:pt idx="4">
                  <c:v>43.36</c:v>
                </c:pt>
              </c:numCache>
            </c:numRef>
          </c:val>
          <c:smooth val="0"/>
          <c:extLst xmlns:c16r2="http://schemas.microsoft.com/office/drawing/2015/06/chart">
            <c:ext xmlns:c16="http://schemas.microsoft.com/office/drawing/2014/chart" uri="{C3380CC4-5D6E-409C-BE32-E72D297353CC}">
              <c16:uniqueId val="{00000003-6B7E-4E7E-94CE-C1272B70702F}"/>
            </c:ext>
          </c:extLst>
        </c:ser>
        <c:ser>
          <c:idx val="3"/>
          <c:order val="3"/>
          <c:tx>
            <c:strRef>
              <c:f>Лист1!$B$116</c:f>
              <c:strCache>
                <c:ptCount val="1"/>
                <c:pt idx="0">
                  <c:v>резервна позиція МВФ Японії</c:v>
                </c:pt>
              </c:strCache>
            </c:strRef>
          </c:tx>
          <c:spPr>
            <a:ln w="28575" cap="rnd">
              <a:solidFill>
                <a:schemeClr val="accent4"/>
              </a:solidFill>
              <a:round/>
            </a:ln>
            <a:effectLst/>
          </c:spPr>
          <c:marker>
            <c:symbol val="none"/>
          </c:marker>
          <c:cat>
            <c:numRef>
              <c:f>Лист1!$C$112:$G$112</c:f>
              <c:numCache>
                <c:formatCode>General</c:formatCode>
                <c:ptCount val="5"/>
                <c:pt idx="0">
                  <c:v>2017</c:v>
                </c:pt>
                <c:pt idx="1">
                  <c:v>2018</c:v>
                </c:pt>
                <c:pt idx="2">
                  <c:v>2019</c:v>
                </c:pt>
                <c:pt idx="3">
                  <c:v>2020</c:v>
                </c:pt>
                <c:pt idx="4">
                  <c:v>2021</c:v>
                </c:pt>
              </c:numCache>
            </c:numRef>
          </c:cat>
          <c:val>
            <c:numRef>
              <c:f>Лист1!$C$116:$G$116</c:f>
              <c:numCache>
                <c:formatCode>General</c:formatCode>
                <c:ptCount val="5"/>
                <c:pt idx="0">
                  <c:v>-2.19</c:v>
                </c:pt>
                <c:pt idx="1">
                  <c:v>0.76</c:v>
                </c:pt>
                <c:pt idx="2">
                  <c:v>-0.99</c:v>
                </c:pt>
                <c:pt idx="3">
                  <c:v>0.95</c:v>
                </c:pt>
                <c:pt idx="4">
                  <c:v>-0.33</c:v>
                </c:pt>
              </c:numCache>
            </c:numRef>
          </c:val>
          <c:smooth val="0"/>
          <c:extLst xmlns:c16r2="http://schemas.microsoft.com/office/drawing/2015/06/chart">
            <c:ext xmlns:c16="http://schemas.microsoft.com/office/drawing/2014/chart" uri="{C3380CC4-5D6E-409C-BE32-E72D297353CC}">
              <c16:uniqueId val="{00000004-6B7E-4E7E-94CE-C1272B70702F}"/>
            </c:ext>
          </c:extLst>
        </c:ser>
        <c:ser>
          <c:idx val="4"/>
          <c:order val="4"/>
          <c:tx>
            <c:strRef>
              <c:f>Лист1!$B$117</c:f>
              <c:strCache>
                <c:ptCount val="1"/>
                <c:pt idx="0">
                  <c:v>інші резервні активи Японії</c:v>
                </c:pt>
              </c:strCache>
            </c:strRef>
          </c:tx>
          <c:spPr>
            <a:ln w="28575" cap="rnd">
              <a:solidFill>
                <a:schemeClr val="tx1">
                  <a:lumMod val="85000"/>
                  <a:lumOff val="15000"/>
                </a:schemeClr>
              </a:solidFill>
              <a:round/>
            </a:ln>
            <a:effectLst/>
          </c:spPr>
          <c:marker>
            <c:symbol val="none"/>
          </c:marker>
          <c:cat>
            <c:numRef>
              <c:f>Лист1!$C$112:$G$112</c:f>
              <c:numCache>
                <c:formatCode>General</c:formatCode>
                <c:ptCount val="5"/>
                <c:pt idx="0">
                  <c:v>2017</c:v>
                </c:pt>
                <c:pt idx="1">
                  <c:v>2018</c:v>
                </c:pt>
                <c:pt idx="2">
                  <c:v>2019</c:v>
                </c:pt>
                <c:pt idx="3">
                  <c:v>2020</c:v>
                </c:pt>
                <c:pt idx="4">
                  <c:v>2021</c:v>
                </c:pt>
              </c:numCache>
            </c:numRef>
          </c:cat>
          <c:val>
            <c:numRef>
              <c:f>Лист1!$C$117:$G$117</c:f>
              <c:numCache>
                <c:formatCode>General</c:formatCode>
                <c:ptCount val="5"/>
                <c:pt idx="0">
                  <c:v>25.73</c:v>
                </c:pt>
                <c:pt idx="1">
                  <c:v>23.42</c:v>
                </c:pt>
                <c:pt idx="2">
                  <c:v>24.89</c:v>
                </c:pt>
                <c:pt idx="3">
                  <c:v>7.43</c:v>
                </c:pt>
                <c:pt idx="4">
                  <c:v>19.739999999999998</c:v>
                </c:pt>
              </c:numCache>
            </c:numRef>
          </c:val>
          <c:smooth val="0"/>
          <c:extLst xmlns:c16r2="http://schemas.microsoft.com/office/drawing/2015/06/chart">
            <c:ext xmlns:c16="http://schemas.microsoft.com/office/drawing/2014/chart" uri="{C3380CC4-5D6E-409C-BE32-E72D297353CC}">
              <c16:uniqueId val="{00000005-6B7E-4E7E-94CE-C1272B70702F}"/>
            </c:ext>
          </c:extLst>
        </c:ser>
        <c:dLbls>
          <c:showLegendKey val="0"/>
          <c:showVal val="0"/>
          <c:showCatName val="0"/>
          <c:showSerName val="0"/>
          <c:showPercent val="0"/>
          <c:showBubbleSize val="0"/>
        </c:dLbls>
        <c:marker val="1"/>
        <c:smooth val="0"/>
        <c:axId val="118728192"/>
        <c:axId val="118729728"/>
      </c:lineChart>
      <c:lineChart>
        <c:grouping val="standard"/>
        <c:varyColors val="0"/>
        <c:ser>
          <c:idx val="6"/>
          <c:order val="6"/>
          <c:tx>
            <c:strRef>
              <c:f>Лист1!$B$119</c:f>
              <c:strCache>
                <c:ptCount val="1"/>
                <c:pt idx="0">
                  <c:v>банківське золото Китаю (права шкала)</c:v>
                </c:pt>
              </c:strCache>
            </c:strRef>
          </c:tx>
          <c:spPr>
            <a:ln w="28575" cap="rnd">
              <a:solidFill>
                <a:schemeClr val="accent1">
                  <a:lumMod val="60000"/>
                </a:schemeClr>
              </a:solidFill>
              <a:round/>
            </a:ln>
            <a:effectLst/>
          </c:spPr>
          <c:marker>
            <c:symbol val="none"/>
          </c:marker>
          <c:cat>
            <c:numRef>
              <c:f>Лист1!$C$112:$G$112</c:f>
              <c:numCache>
                <c:formatCode>General</c:formatCode>
                <c:ptCount val="5"/>
                <c:pt idx="0">
                  <c:v>2017</c:v>
                </c:pt>
                <c:pt idx="1">
                  <c:v>2018</c:v>
                </c:pt>
                <c:pt idx="2">
                  <c:v>2019</c:v>
                </c:pt>
                <c:pt idx="3">
                  <c:v>2020</c:v>
                </c:pt>
                <c:pt idx="4">
                  <c:v>2021</c:v>
                </c:pt>
              </c:numCache>
            </c:numRef>
          </c:cat>
          <c:val>
            <c:numRef>
              <c:f>Лист1!$C$119:$G$119</c:f>
              <c:numCache>
                <c:formatCode>General</c:formatCode>
                <c:ptCount val="5"/>
                <c:pt idx="0">
                  <c:v>0</c:v>
                </c:pt>
                <c:pt idx="1">
                  <c:v>0</c:v>
                </c:pt>
                <c:pt idx="2">
                  <c:v>0</c:v>
                </c:pt>
                <c:pt idx="3">
                  <c:v>0</c:v>
                </c:pt>
                <c:pt idx="4">
                  <c:v>0</c:v>
                </c:pt>
              </c:numCache>
            </c:numRef>
          </c:val>
          <c:smooth val="0"/>
          <c:extLst xmlns:c16r2="http://schemas.microsoft.com/office/drawing/2015/06/chart">
            <c:ext xmlns:c16="http://schemas.microsoft.com/office/drawing/2014/chart" uri="{C3380CC4-5D6E-409C-BE32-E72D297353CC}">
              <c16:uniqueId val="{00000006-6B7E-4E7E-94CE-C1272B70702F}"/>
            </c:ext>
          </c:extLst>
        </c:ser>
        <c:ser>
          <c:idx val="7"/>
          <c:order val="7"/>
          <c:tx>
            <c:strRef>
              <c:f>Лист1!$B$120</c:f>
              <c:strCache>
                <c:ptCount val="1"/>
                <c:pt idx="0">
                  <c:v>СПЗ Китаю (права шкала)</c:v>
                </c:pt>
              </c:strCache>
            </c:strRef>
          </c:tx>
          <c:spPr>
            <a:ln w="28575" cap="rnd">
              <a:solidFill>
                <a:schemeClr val="accent2">
                  <a:lumMod val="60000"/>
                </a:schemeClr>
              </a:solidFill>
              <a:prstDash val="sysDash"/>
              <a:round/>
            </a:ln>
            <a:effectLst/>
          </c:spPr>
          <c:marker>
            <c:symbol val="none"/>
          </c:marker>
          <c:cat>
            <c:numRef>
              <c:f>Лист1!$C$112:$G$112</c:f>
              <c:numCache>
                <c:formatCode>General</c:formatCode>
                <c:ptCount val="5"/>
                <c:pt idx="0">
                  <c:v>2017</c:v>
                </c:pt>
                <c:pt idx="1">
                  <c:v>2018</c:v>
                </c:pt>
                <c:pt idx="2">
                  <c:v>2019</c:v>
                </c:pt>
                <c:pt idx="3">
                  <c:v>2020</c:v>
                </c:pt>
                <c:pt idx="4">
                  <c:v>2021</c:v>
                </c:pt>
              </c:numCache>
            </c:numRef>
          </c:cat>
          <c:val>
            <c:numRef>
              <c:f>Лист1!$C$120:$G$120</c:f>
              <c:numCache>
                <c:formatCode>General</c:formatCode>
                <c:ptCount val="5"/>
                <c:pt idx="0">
                  <c:v>0.74</c:v>
                </c:pt>
                <c:pt idx="1">
                  <c:v>-3.3000000000000002E-2</c:v>
                </c:pt>
                <c:pt idx="2">
                  <c:v>0.49</c:v>
                </c:pt>
                <c:pt idx="3">
                  <c:v>-8.5999999999999993E-2</c:v>
                </c:pt>
                <c:pt idx="4">
                  <c:v>42.56</c:v>
                </c:pt>
              </c:numCache>
            </c:numRef>
          </c:val>
          <c:smooth val="0"/>
          <c:extLst xmlns:c16r2="http://schemas.microsoft.com/office/drawing/2015/06/chart">
            <c:ext xmlns:c16="http://schemas.microsoft.com/office/drawing/2014/chart" uri="{C3380CC4-5D6E-409C-BE32-E72D297353CC}">
              <c16:uniqueId val="{00000007-6B7E-4E7E-94CE-C1272B70702F}"/>
            </c:ext>
          </c:extLst>
        </c:ser>
        <c:ser>
          <c:idx val="8"/>
          <c:order val="8"/>
          <c:tx>
            <c:strRef>
              <c:f>Лист1!$B$121</c:f>
              <c:strCache>
                <c:ptCount val="1"/>
                <c:pt idx="0">
                  <c:v>резервна позиція МВФ Китаю (права шкала)</c:v>
                </c:pt>
              </c:strCache>
            </c:strRef>
          </c:tx>
          <c:spPr>
            <a:ln w="28575" cap="rnd">
              <a:solidFill>
                <a:schemeClr val="accent3">
                  <a:lumMod val="60000"/>
                </a:schemeClr>
              </a:solidFill>
              <a:prstDash val="sysDash"/>
              <a:round/>
            </a:ln>
            <a:effectLst/>
          </c:spPr>
          <c:marker>
            <c:symbol val="none"/>
          </c:marker>
          <c:cat>
            <c:numRef>
              <c:f>Лист1!$C$112:$G$112</c:f>
              <c:numCache>
                <c:formatCode>General</c:formatCode>
                <c:ptCount val="5"/>
                <c:pt idx="0">
                  <c:v>2017</c:v>
                </c:pt>
                <c:pt idx="1">
                  <c:v>2018</c:v>
                </c:pt>
                <c:pt idx="2">
                  <c:v>2019</c:v>
                </c:pt>
                <c:pt idx="3">
                  <c:v>2020</c:v>
                </c:pt>
                <c:pt idx="4">
                  <c:v>2021</c:v>
                </c:pt>
              </c:numCache>
            </c:numRef>
          </c:cat>
          <c:val>
            <c:numRef>
              <c:f>Лист1!$C$121:$G$121</c:f>
              <c:numCache>
                <c:formatCode>General</c:formatCode>
                <c:ptCount val="5"/>
                <c:pt idx="0">
                  <c:v>-2.1800000000000002</c:v>
                </c:pt>
                <c:pt idx="1">
                  <c:v>0.72</c:v>
                </c:pt>
                <c:pt idx="2">
                  <c:v>1.2E-2</c:v>
                </c:pt>
                <c:pt idx="3">
                  <c:v>1.91</c:v>
                </c:pt>
                <c:pt idx="4">
                  <c:v>0.223</c:v>
                </c:pt>
              </c:numCache>
            </c:numRef>
          </c:val>
          <c:smooth val="0"/>
          <c:extLst xmlns:c16r2="http://schemas.microsoft.com/office/drawing/2015/06/chart">
            <c:ext xmlns:c16="http://schemas.microsoft.com/office/drawing/2014/chart" uri="{C3380CC4-5D6E-409C-BE32-E72D297353CC}">
              <c16:uniqueId val="{00000008-6B7E-4E7E-94CE-C1272B70702F}"/>
            </c:ext>
          </c:extLst>
        </c:ser>
        <c:ser>
          <c:idx val="9"/>
          <c:order val="9"/>
          <c:tx>
            <c:strRef>
              <c:f>Лист1!$B$122</c:f>
              <c:strCache>
                <c:ptCount val="1"/>
                <c:pt idx="0">
                  <c:v>інші резервні активи Китаю (права шкала)</c:v>
                </c:pt>
              </c:strCache>
            </c:strRef>
          </c:tx>
          <c:spPr>
            <a:ln w="28575" cap="rnd">
              <a:solidFill>
                <a:schemeClr val="accent4">
                  <a:lumMod val="60000"/>
                </a:schemeClr>
              </a:solidFill>
              <a:prstDash val="sysDash"/>
              <a:round/>
            </a:ln>
            <a:effectLst/>
          </c:spPr>
          <c:marker>
            <c:symbol val="none"/>
          </c:marker>
          <c:cat>
            <c:numRef>
              <c:f>Лист1!$C$112:$G$112</c:f>
              <c:numCache>
                <c:formatCode>General</c:formatCode>
                <c:ptCount val="5"/>
                <c:pt idx="0">
                  <c:v>2017</c:v>
                </c:pt>
                <c:pt idx="1">
                  <c:v>2018</c:v>
                </c:pt>
                <c:pt idx="2">
                  <c:v>2019</c:v>
                </c:pt>
                <c:pt idx="3">
                  <c:v>2020</c:v>
                </c:pt>
                <c:pt idx="4">
                  <c:v>2021</c:v>
                </c:pt>
              </c:numCache>
            </c:numRef>
          </c:cat>
          <c:val>
            <c:numRef>
              <c:f>Лист1!$C$122:$G$122</c:f>
              <c:numCache>
                <c:formatCode>General</c:formatCode>
                <c:ptCount val="5"/>
                <c:pt idx="0">
                  <c:v>92.97</c:v>
                </c:pt>
                <c:pt idx="1">
                  <c:v>18.190000000000001</c:v>
                </c:pt>
                <c:pt idx="2">
                  <c:v>-19.8</c:v>
                </c:pt>
                <c:pt idx="3">
                  <c:v>26.19</c:v>
                </c:pt>
                <c:pt idx="4">
                  <c:v>146.72999999999999</c:v>
                </c:pt>
              </c:numCache>
            </c:numRef>
          </c:val>
          <c:smooth val="0"/>
          <c:extLst xmlns:c16r2="http://schemas.microsoft.com/office/drawing/2015/06/chart">
            <c:ext xmlns:c16="http://schemas.microsoft.com/office/drawing/2014/chart" uri="{C3380CC4-5D6E-409C-BE32-E72D297353CC}">
              <c16:uniqueId val="{00000009-6B7E-4E7E-94CE-C1272B70702F}"/>
            </c:ext>
          </c:extLst>
        </c:ser>
        <c:dLbls>
          <c:showLegendKey val="0"/>
          <c:showVal val="0"/>
          <c:showCatName val="0"/>
          <c:showSerName val="0"/>
          <c:showPercent val="0"/>
          <c:showBubbleSize val="0"/>
        </c:dLbls>
        <c:marker val="1"/>
        <c:smooth val="0"/>
        <c:axId val="118733440"/>
        <c:axId val="118731904"/>
      </c:lineChart>
      <c:catAx>
        <c:axId val="118728192"/>
        <c:scaling>
          <c:orientation val="minMax"/>
        </c:scaling>
        <c:delete val="0"/>
        <c:axPos val="b"/>
        <c:numFmt formatCode="General" sourceLinked="1"/>
        <c:majorTickMark val="none"/>
        <c:minorTickMark val="none"/>
        <c:tickLblPos val="low"/>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18729728"/>
        <c:crosses val="autoZero"/>
        <c:auto val="1"/>
        <c:lblAlgn val="ctr"/>
        <c:lblOffset val="100"/>
        <c:noMultiLvlLbl val="0"/>
      </c:catAx>
      <c:valAx>
        <c:axId val="11872972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млрд дол. США</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18728192"/>
        <c:crosses val="autoZero"/>
        <c:crossBetween val="between"/>
      </c:valAx>
      <c:valAx>
        <c:axId val="118731904"/>
        <c:scaling>
          <c:orientation val="minMax"/>
        </c:scaling>
        <c:delete val="0"/>
        <c:axPos val="r"/>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18733440"/>
        <c:crosses val="max"/>
        <c:crossBetween val="between"/>
      </c:valAx>
      <c:catAx>
        <c:axId val="118733440"/>
        <c:scaling>
          <c:orientation val="minMax"/>
        </c:scaling>
        <c:delete val="1"/>
        <c:axPos val="b"/>
        <c:numFmt formatCode="General" sourceLinked="1"/>
        <c:majorTickMark val="out"/>
        <c:minorTickMark val="none"/>
        <c:tickLblPos val="nextTo"/>
        <c:crossAx val="118731904"/>
        <c:crosses val="autoZero"/>
        <c:auto val="1"/>
        <c:lblAlgn val="ctr"/>
        <c:lblOffset val="100"/>
        <c:noMultiLvlLbl val="0"/>
      </c:catAx>
      <c:spPr>
        <a:noFill/>
        <a:ln>
          <a:noFill/>
        </a:ln>
        <a:effectLst/>
      </c:spPr>
    </c:plotArea>
    <c:legend>
      <c:legendPos val="r"/>
      <c:layout>
        <c:manualLayout>
          <c:xMode val="edge"/>
          <c:yMode val="edge"/>
          <c:x val="0.70265166810439883"/>
          <c:y val="0.10384757790992281"/>
          <c:w val="0.28446591519055286"/>
          <c:h val="0.85915766931057735"/>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userShapes r:id="rId2"/>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r>
              <a:rPr lang="ru-RU" sz="1200"/>
              <a:t>Динаміка торгівлі товарами між Японією/Китаєм</a:t>
            </a:r>
            <a:r>
              <a:rPr lang="ru-RU" sz="1200" baseline="0"/>
              <a:t> та Україною за 2017-2021 рр.</a:t>
            </a:r>
            <a:endParaRPr lang="ru-RU" sz="1200"/>
          </a:p>
        </c:rich>
      </c:tx>
      <c:overlay val="0"/>
      <c:spPr>
        <a:noFill/>
        <a:ln>
          <a:noFill/>
        </a:ln>
        <a:effectLst/>
      </c:spPr>
    </c:title>
    <c:autoTitleDeleted val="0"/>
    <c:plotArea>
      <c:layout/>
      <c:areaChart>
        <c:grouping val="standard"/>
        <c:varyColors val="0"/>
        <c:ser>
          <c:idx val="4"/>
          <c:order val="4"/>
          <c:tx>
            <c:strRef>
              <c:f>Лист1!$B$146</c:f>
              <c:strCache>
                <c:ptCount val="1"/>
                <c:pt idx="0">
                  <c:v>Сальдо торгівлі товарами (Японія)</c:v>
                </c:pt>
              </c:strCache>
            </c:strRef>
          </c:tx>
          <c:spPr>
            <a:solidFill>
              <a:schemeClr val="accent1">
                <a:lumMod val="40000"/>
                <a:lumOff val="60000"/>
              </a:schemeClr>
            </a:solidFill>
            <a:ln w="19050">
              <a:noFill/>
            </a:ln>
            <a:effectLst/>
          </c:spPr>
          <c:cat>
            <c:numRef>
              <c:f>Лист1!$C$141:$G$141</c:f>
              <c:numCache>
                <c:formatCode>General</c:formatCode>
                <c:ptCount val="5"/>
                <c:pt idx="0">
                  <c:v>2017</c:v>
                </c:pt>
                <c:pt idx="1">
                  <c:v>2018</c:v>
                </c:pt>
                <c:pt idx="2">
                  <c:v>2019</c:v>
                </c:pt>
                <c:pt idx="3">
                  <c:v>2020</c:v>
                </c:pt>
                <c:pt idx="4">
                  <c:v>2021</c:v>
                </c:pt>
              </c:numCache>
            </c:numRef>
          </c:cat>
          <c:val>
            <c:numRef>
              <c:f>Лист1!$C$146:$G$146</c:f>
              <c:numCache>
                <c:formatCode>General</c:formatCode>
                <c:ptCount val="5"/>
                <c:pt idx="0">
                  <c:v>-0.50600000000000001</c:v>
                </c:pt>
                <c:pt idx="1">
                  <c:v>-0.505</c:v>
                </c:pt>
                <c:pt idx="2">
                  <c:v>-0.71399999999999997</c:v>
                </c:pt>
                <c:pt idx="3">
                  <c:v>-0.89400000000000002</c:v>
                </c:pt>
                <c:pt idx="4">
                  <c:v>-0.88</c:v>
                </c:pt>
              </c:numCache>
            </c:numRef>
          </c:val>
          <c:extLst xmlns:c16r2="http://schemas.microsoft.com/office/drawing/2015/06/chart">
            <c:ext xmlns:c16="http://schemas.microsoft.com/office/drawing/2014/chart" uri="{C3380CC4-5D6E-409C-BE32-E72D297353CC}">
              <c16:uniqueId val="{00000000-D374-460D-9FB7-CD1824827C54}"/>
            </c:ext>
          </c:extLst>
        </c:ser>
        <c:dLbls>
          <c:showLegendKey val="0"/>
          <c:showVal val="0"/>
          <c:showCatName val="0"/>
          <c:showSerName val="0"/>
          <c:showPercent val="0"/>
          <c:showBubbleSize val="0"/>
        </c:dLbls>
        <c:axId val="120333056"/>
        <c:axId val="120334592"/>
      </c:areaChart>
      <c:areaChart>
        <c:grouping val="standard"/>
        <c:varyColors val="0"/>
        <c:ser>
          <c:idx val="5"/>
          <c:order val="5"/>
          <c:tx>
            <c:strRef>
              <c:f>Лист1!$B$147</c:f>
              <c:strCache>
                <c:ptCount val="1"/>
                <c:pt idx="0">
                  <c:v>Сальдо торгівлі товарами (Китай) права шкала</c:v>
                </c:pt>
              </c:strCache>
            </c:strRef>
          </c:tx>
          <c:spPr>
            <a:noFill/>
            <a:ln w="28575">
              <a:solidFill>
                <a:schemeClr val="accent6">
                  <a:lumMod val="50000"/>
                </a:schemeClr>
              </a:solidFill>
              <a:prstDash val="sysDash"/>
            </a:ln>
            <a:effectLst/>
          </c:spPr>
          <c:cat>
            <c:numRef>
              <c:f>Лист1!$C$141:$G$141</c:f>
              <c:numCache>
                <c:formatCode>General</c:formatCode>
                <c:ptCount val="5"/>
                <c:pt idx="0">
                  <c:v>2017</c:v>
                </c:pt>
                <c:pt idx="1">
                  <c:v>2018</c:v>
                </c:pt>
                <c:pt idx="2">
                  <c:v>2019</c:v>
                </c:pt>
                <c:pt idx="3">
                  <c:v>2020</c:v>
                </c:pt>
                <c:pt idx="4">
                  <c:v>2021</c:v>
                </c:pt>
              </c:numCache>
            </c:numRef>
          </c:cat>
          <c:val>
            <c:numRef>
              <c:f>Лист1!$C$147:$G$147</c:f>
              <c:numCache>
                <c:formatCode>General</c:formatCode>
                <c:ptCount val="5"/>
                <c:pt idx="0">
                  <c:v>-3.61</c:v>
                </c:pt>
                <c:pt idx="1">
                  <c:v>-5.4080000000000004</c:v>
                </c:pt>
                <c:pt idx="2">
                  <c:v>-5.6120000000000001</c:v>
                </c:pt>
                <c:pt idx="3">
                  <c:v>-1.2190000000000001</c:v>
                </c:pt>
                <c:pt idx="4">
                  <c:v>-2.968</c:v>
                </c:pt>
              </c:numCache>
            </c:numRef>
          </c:val>
          <c:extLst xmlns:c16r2="http://schemas.microsoft.com/office/drawing/2015/06/chart">
            <c:ext xmlns:c16="http://schemas.microsoft.com/office/drawing/2014/chart" uri="{C3380CC4-5D6E-409C-BE32-E72D297353CC}">
              <c16:uniqueId val="{00000001-D374-460D-9FB7-CD1824827C54}"/>
            </c:ext>
          </c:extLst>
        </c:ser>
        <c:dLbls>
          <c:showLegendKey val="0"/>
          <c:showVal val="0"/>
          <c:showCatName val="0"/>
          <c:showSerName val="0"/>
          <c:showPercent val="0"/>
          <c:showBubbleSize val="0"/>
        </c:dLbls>
        <c:axId val="120342400"/>
        <c:axId val="120340864"/>
      </c:areaChart>
      <c:lineChart>
        <c:grouping val="standard"/>
        <c:varyColors val="0"/>
        <c:ser>
          <c:idx val="0"/>
          <c:order val="0"/>
          <c:tx>
            <c:strRef>
              <c:f>Лист1!$B$142</c:f>
              <c:strCache>
                <c:ptCount val="1"/>
                <c:pt idx="0">
                  <c:v>Експорт товарів (Японія)</c:v>
                </c:pt>
              </c:strCache>
            </c:strRef>
          </c:tx>
          <c:spPr>
            <a:ln w="28575" cap="rnd">
              <a:solidFill>
                <a:schemeClr val="accent1"/>
              </a:solidFill>
              <a:round/>
            </a:ln>
            <a:effectLst/>
          </c:spPr>
          <c:marker>
            <c:symbol val="none"/>
          </c:marker>
          <c:cat>
            <c:numRef>
              <c:f>Лист1!$C$141:$G$141</c:f>
              <c:numCache>
                <c:formatCode>General</c:formatCode>
                <c:ptCount val="5"/>
                <c:pt idx="0">
                  <c:v>2017</c:v>
                </c:pt>
                <c:pt idx="1">
                  <c:v>2018</c:v>
                </c:pt>
                <c:pt idx="2">
                  <c:v>2019</c:v>
                </c:pt>
                <c:pt idx="3">
                  <c:v>2020</c:v>
                </c:pt>
                <c:pt idx="4">
                  <c:v>2021</c:v>
                </c:pt>
              </c:numCache>
            </c:numRef>
          </c:cat>
          <c:val>
            <c:numRef>
              <c:f>Лист1!$C$142:$G$142</c:f>
              <c:numCache>
                <c:formatCode>General</c:formatCode>
                <c:ptCount val="5"/>
                <c:pt idx="0">
                  <c:v>0.218</c:v>
                </c:pt>
                <c:pt idx="1">
                  <c:v>0.23200000000000001</c:v>
                </c:pt>
                <c:pt idx="2">
                  <c:v>0.249</c:v>
                </c:pt>
                <c:pt idx="3">
                  <c:v>0.182</c:v>
                </c:pt>
                <c:pt idx="4">
                  <c:v>0.34699999999999998</c:v>
                </c:pt>
              </c:numCache>
            </c:numRef>
          </c:val>
          <c:smooth val="0"/>
          <c:extLst xmlns:c16r2="http://schemas.microsoft.com/office/drawing/2015/06/chart">
            <c:ext xmlns:c16="http://schemas.microsoft.com/office/drawing/2014/chart" uri="{C3380CC4-5D6E-409C-BE32-E72D297353CC}">
              <c16:uniqueId val="{00000002-D374-460D-9FB7-CD1824827C54}"/>
            </c:ext>
          </c:extLst>
        </c:ser>
        <c:ser>
          <c:idx val="2"/>
          <c:order val="2"/>
          <c:tx>
            <c:strRef>
              <c:f>Лист1!$B$144</c:f>
              <c:strCache>
                <c:ptCount val="1"/>
                <c:pt idx="0">
                  <c:v>Імпорт товарів (Японія)</c:v>
                </c:pt>
              </c:strCache>
            </c:strRef>
          </c:tx>
          <c:spPr>
            <a:ln w="28575" cap="rnd">
              <a:solidFill>
                <a:schemeClr val="accent2">
                  <a:lumMod val="75000"/>
                </a:schemeClr>
              </a:solidFill>
              <a:round/>
            </a:ln>
            <a:effectLst/>
          </c:spPr>
          <c:marker>
            <c:symbol val="none"/>
          </c:marker>
          <c:cat>
            <c:numRef>
              <c:f>Лист1!$C$141:$G$141</c:f>
              <c:numCache>
                <c:formatCode>General</c:formatCode>
                <c:ptCount val="5"/>
                <c:pt idx="0">
                  <c:v>2017</c:v>
                </c:pt>
                <c:pt idx="1">
                  <c:v>2018</c:v>
                </c:pt>
                <c:pt idx="2">
                  <c:v>2019</c:v>
                </c:pt>
                <c:pt idx="3">
                  <c:v>2020</c:v>
                </c:pt>
                <c:pt idx="4">
                  <c:v>2021</c:v>
                </c:pt>
              </c:numCache>
            </c:numRef>
          </c:cat>
          <c:val>
            <c:numRef>
              <c:f>Лист1!$C$144:$G$144</c:f>
              <c:numCache>
                <c:formatCode>General</c:formatCode>
                <c:ptCount val="5"/>
                <c:pt idx="0">
                  <c:v>0.72399999999999998</c:v>
                </c:pt>
                <c:pt idx="1">
                  <c:v>0.73699999999999999</c:v>
                </c:pt>
                <c:pt idx="2">
                  <c:v>0.96299999999999997</c:v>
                </c:pt>
                <c:pt idx="3">
                  <c:v>1.0760000000000001</c:v>
                </c:pt>
                <c:pt idx="4">
                  <c:v>1.2270000000000001</c:v>
                </c:pt>
              </c:numCache>
            </c:numRef>
          </c:val>
          <c:smooth val="0"/>
          <c:extLst xmlns:c16r2="http://schemas.microsoft.com/office/drawing/2015/06/chart">
            <c:ext xmlns:c16="http://schemas.microsoft.com/office/drawing/2014/chart" uri="{C3380CC4-5D6E-409C-BE32-E72D297353CC}">
              <c16:uniqueId val="{00000003-D374-460D-9FB7-CD1824827C54}"/>
            </c:ext>
          </c:extLst>
        </c:ser>
        <c:dLbls>
          <c:showLegendKey val="0"/>
          <c:showVal val="0"/>
          <c:showCatName val="0"/>
          <c:showSerName val="0"/>
          <c:showPercent val="0"/>
          <c:showBubbleSize val="0"/>
        </c:dLbls>
        <c:marker val="1"/>
        <c:smooth val="0"/>
        <c:axId val="120333056"/>
        <c:axId val="120334592"/>
      </c:lineChart>
      <c:lineChart>
        <c:grouping val="standard"/>
        <c:varyColors val="0"/>
        <c:ser>
          <c:idx val="1"/>
          <c:order val="1"/>
          <c:tx>
            <c:strRef>
              <c:f>Лист1!$B$143</c:f>
              <c:strCache>
                <c:ptCount val="1"/>
                <c:pt idx="0">
                  <c:v>Експорт товарів (Китай) права шкала</c:v>
                </c:pt>
              </c:strCache>
            </c:strRef>
          </c:tx>
          <c:spPr>
            <a:ln w="28575" cap="rnd">
              <a:solidFill>
                <a:schemeClr val="accent2"/>
              </a:solidFill>
              <a:prstDash val="sysDash"/>
              <a:round/>
            </a:ln>
            <a:effectLst/>
          </c:spPr>
          <c:marker>
            <c:symbol val="none"/>
          </c:marker>
          <c:cat>
            <c:numRef>
              <c:f>Лист1!$C$141:$G$141</c:f>
              <c:numCache>
                <c:formatCode>General</c:formatCode>
                <c:ptCount val="5"/>
                <c:pt idx="0">
                  <c:v>2017</c:v>
                </c:pt>
                <c:pt idx="1">
                  <c:v>2018</c:v>
                </c:pt>
                <c:pt idx="2">
                  <c:v>2019</c:v>
                </c:pt>
                <c:pt idx="3">
                  <c:v>2020</c:v>
                </c:pt>
                <c:pt idx="4">
                  <c:v>2021</c:v>
                </c:pt>
              </c:numCache>
            </c:numRef>
          </c:cat>
          <c:val>
            <c:numRef>
              <c:f>Лист1!$C$143:$G$143</c:f>
              <c:numCache>
                <c:formatCode>General</c:formatCode>
                <c:ptCount val="5"/>
                <c:pt idx="0">
                  <c:v>2.0390000000000001</c:v>
                </c:pt>
                <c:pt idx="1">
                  <c:v>2.2000000000000002</c:v>
                </c:pt>
                <c:pt idx="2">
                  <c:v>3.593</c:v>
                </c:pt>
                <c:pt idx="3">
                  <c:v>7.0990000000000002</c:v>
                </c:pt>
                <c:pt idx="4">
                  <c:v>8.0039999999999996</c:v>
                </c:pt>
              </c:numCache>
            </c:numRef>
          </c:val>
          <c:smooth val="0"/>
          <c:extLst xmlns:c16r2="http://schemas.microsoft.com/office/drawing/2015/06/chart">
            <c:ext xmlns:c16="http://schemas.microsoft.com/office/drawing/2014/chart" uri="{C3380CC4-5D6E-409C-BE32-E72D297353CC}">
              <c16:uniqueId val="{00000004-D374-460D-9FB7-CD1824827C54}"/>
            </c:ext>
          </c:extLst>
        </c:ser>
        <c:ser>
          <c:idx val="3"/>
          <c:order val="3"/>
          <c:tx>
            <c:strRef>
              <c:f>Лист1!$B$145</c:f>
              <c:strCache>
                <c:ptCount val="1"/>
                <c:pt idx="0">
                  <c:v>Імпорт товарів (Китай) права шкала</c:v>
                </c:pt>
              </c:strCache>
            </c:strRef>
          </c:tx>
          <c:spPr>
            <a:ln w="28575" cap="rnd">
              <a:solidFill>
                <a:schemeClr val="accent4"/>
              </a:solidFill>
              <a:prstDash val="sysDash"/>
              <a:round/>
            </a:ln>
            <a:effectLst/>
          </c:spPr>
          <c:marker>
            <c:symbol val="none"/>
          </c:marker>
          <c:cat>
            <c:numRef>
              <c:f>Лист1!$C$141:$G$141</c:f>
              <c:numCache>
                <c:formatCode>General</c:formatCode>
                <c:ptCount val="5"/>
                <c:pt idx="0">
                  <c:v>2017</c:v>
                </c:pt>
                <c:pt idx="1">
                  <c:v>2018</c:v>
                </c:pt>
                <c:pt idx="2">
                  <c:v>2019</c:v>
                </c:pt>
                <c:pt idx="3">
                  <c:v>2020</c:v>
                </c:pt>
                <c:pt idx="4">
                  <c:v>2021</c:v>
                </c:pt>
              </c:numCache>
            </c:numRef>
          </c:cat>
          <c:val>
            <c:numRef>
              <c:f>Лист1!$C$145:$G$145</c:f>
              <c:numCache>
                <c:formatCode>General</c:formatCode>
                <c:ptCount val="5"/>
                <c:pt idx="0">
                  <c:v>5.649</c:v>
                </c:pt>
                <c:pt idx="1">
                  <c:v>7.6079999999999997</c:v>
                </c:pt>
                <c:pt idx="2">
                  <c:v>9.2050000000000001</c:v>
                </c:pt>
                <c:pt idx="3">
                  <c:v>8.3179999999999996</c:v>
                </c:pt>
                <c:pt idx="4">
                  <c:v>10.972</c:v>
                </c:pt>
              </c:numCache>
            </c:numRef>
          </c:val>
          <c:smooth val="0"/>
          <c:extLst xmlns:c16r2="http://schemas.microsoft.com/office/drawing/2015/06/chart">
            <c:ext xmlns:c16="http://schemas.microsoft.com/office/drawing/2014/chart" uri="{C3380CC4-5D6E-409C-BE32-E72D297353CC}">
              <c16:uniqueId val="{00000005-D374-460D-9FB7-CD1824827C54}"/>
            </c:ext>
          </c:extLst>
        </c:ser>
        <c:dLbls>
          <c:showLegendKey val="0"/>
          <c:showVal val="0"/>
          <c:showCatName val="0"/>
          <c:showSerName val="0"/>
          <c:showPercent val="0"/>
          <c:showBubbleSize val="0"/>
        </c:dLbls>
        <c:marker val="1"/>
        <c:smooth val="0"/>
        <c:axId val="120342400"/>
        <c:axId val="120340864"/>
      </c:lineChart>
      <c:catAx>
        <c:axId val="120333056"/>
        <c:scaling>
          <c:orientation val="minMax"/>
        </c:scaling>
        <c:delete val="0"/>
        <c:axPos val="b"/>
        <c:numFmt formatCode="General" sourceLinked="1"/>
        <c:majorTickMark val="none"/>
        <c:minorTickMark val="none"/>
        <c:tickLblPos val="low"/>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20334592"/>
        <c:crosses val="autoZero"/>
        <c:auto val="1"/>
        <c:lblAlgn val="ctr"/>
        <c:lblOffset val="100"/>
        <c:noMultiLvlLbl val="0"/>
      </c:catAx>
      <c:valAx>
        <c:axId val="12033459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млрд дол. США</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20333056"/>
        <c:crosses val="autoZero"/>
        <c:crossBetween val="between"/>
      </c:valAx>
      <c:valAx>
        <c:axId val="120340864"/>
        <c:scaling>
          <c:orientation val="minMax"/>
        </c:scaling>
        <c:delete val="0"/>
        <c:axPos val="r"/>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20342400"/>
        <c:crosses val="max"/>
        <c:crossBetween val="between"/>
      </c:valAx>
      <c:catAx>
        <c:axId val="120342400"/>
        <c:scaling>
          <c:orientation val="minMax"/>
        </c:scaling>
        <c:delete val="1"/>
        <c:axPos val="b"/>
        <c:numFmt formatCode="General" sourceLinked="1"/>
        <c:majorTickMark val="out"/>
        <c:minorTickMark val="none"/>
        <c:tickLblPos val="nextTo"/>
        <c:crossAx val="120340864"/>
        <c:crosses val="autoZero"/>
        <c:auto val="1"/>
        <c:lblAlgn val="ctr"/>
        <c:lblOffset val="100"/>
        <c:noMultiLvlLbl val="0"/>
      </c:catAx>
      <c:spPr>
        <a:noFill/>
        <a:ln>
          <a:noFill/>
        </a:ln>
        <a:effectLst/>
      </c:spPr>
    </c:plotArea>
    <c:legend>
      <c:legendPos val="r"/>
      <c:layout>
        <c:manualLayout>
          <c:xMode val="edge"/>
          <c:yMode val="edge"/>
          <c:x val="0.67927454659161979"/>
          <c:y val="0.1719784889618928"/>
          <c:w val="0.30071294559099437"/>
          <c:h val="0.80182344465636568"/>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2">
    <c:autoUpdate val="0"/>
  </c:externalData>
  <c:userShapes r:id="rId3"/>
</c:chartSpace>
</file>

<file path=word/drawings/drawing1.xml><?xml version="1.0" encoding="utf-8"?>
<c:userShapes xmlns:c="http://schemas.openxmlformats.org/drawingml/2006/chart">
  <cdr:relSizeAnchor xmlns:cdr="http://schemas.openxmlformats.org/drawingml/2006/chartDrawing">
    <cdr:from>
      <cdr:x>0.68992</cdr:x>
      <cdr:y>0.30015</cdr:y>
    </cdr:from>
    <cdr:to>
      <cdr:x>0.74185</cdr:x>
      <cdr:y>0.72241</cdr:y>
    </cdr:to>
    <cdr:sp macro="" textlink="">
      <cdr:nvSpPr>
        <cdr:cNvPr id="2" name="TextBox 1">
          <a:extLst xmlns:a="http://schemas.openxmlformats.org/drawingml/2006/main">
            <a:ext uri="{FF2B5EF4-FFF2-40B4-BE49-F238E27FC236}">
              <a16:creationId xmlns="" xmlns:a16="http://schemas.microsoft.com/office/drawing/2014/main" id="{651F8F3C-3FD6-4B82-8F57-1D64460F1B48}"/>
            </a:ext>
          </a:extLst>
        </cdr:cNvPr>
        <cdr:cNvSpPr txBox="1"/>
      </cdr:nvSpPr>
      <cdr:spPr>
        <a:xfrm xmlns:a="http://schemas.openxmlformats.org/drawingml/2006/main">
          <a:off x="4094037" y="807552"/>
          <a:ext cx="308157" cy="1136088"/>
        </a:xfrm>
        <a:prstGeom xmlns:a="http://schemas.openxmlformats.org/drawingml/2006/main" prst="rect">
          <a:avLst/>
        </a:prstGeom>
      </cdr:spPr>
      <cdr:txBody>
        <a:bodyPr xmlns:a="http://schemas.openxmlformats.org/drawingml/2006/main" vertOverflow="clip" vert="vert" wrap="square" rtlCol="0"/>
        <a:lstStyle xmlns:a="http://schemas.openxmlformats.org/drawingml/2006/main"/>
        <a:p xmlns:a="http://schemas.openxmlformats.org/drawingml/2006/main">
          <a:r>
            <a:rPr lang="ru-RU" sz="1000">
              <a:solidFill>
                <a:schemeClr val="bg2">
                  <a:lumMod val="25000"/>
                </a:schemeClr>
              </a:solidFill>
            </a:rPr>
            <a:t>трлн дол. США</a:t>
          </a:r>
        </a:p>
      </cdr:txBody>
    </cdr:sp>
  </cdr:relSizeAnchor>
</c:userShapes>
</file>

<file path=word/drawings/drawing10.xml><?xml version="1.0" encoding="utf-8"?>
<c:userShapes xmlns:c="http://schemas.openxmlformats.org/drawingml/2006/chart">
  <cdr:relSizeAnchor xmlns:cdr="http://schemas.openxmlformats.org/drawingml/2006/chartDrawing">
    <cdr:from>
      <cdr:x>0.65023</cdr:x>
      <cdr:y>0.37862</cdr:y>
    </cdr:from>
    <cdr:to>
      <cdr:x>0.71216</cdr:x>
      <cdr:y>0.7292</cdr:y>
    </cdr:to>
    <cdr:sp macro="" textlink="">
      <cdr:nvSpPr>
        <cdr:cNvPr id="2" name="TextBox 1">
          <a:extLst xmlns:a="http://schemas.openxmlformats.org/drawingml/2006/main">
            <a:ext uri="{FF2B5EF4-FFF2-40B4-BE49-F238E27FC236}">
              <a16:creationId xmlns="" xmlns:a16="http://schemas.microsoft.com/office/drawing/2014/main" id="{A63C3C2C-80B9-4097-A305-31F8FFA7E1E8}"/>
            </a:ext>
          </a:extLst>
        </cdr:cNvPr>
        <cdr:cNvSpPr txBox="1"/>
      </cdr:nvSpPr>
      <cdr:spPr>
        <a:xfrm xmlns:a="http://schemas.openxmlformats.org/drawingml/2006/main">
          <a:off x="3443541" y="1108948"/>
          <a:ext cx="327979" cy="1026840"/>
        </a:xfrm>
        <a:prstGeom xmlns:a="http://schemas.openxmlformats.org/drawingml/2006/main" prst="rect">
          <a:avLst/>
        </a:prstGeom>
      </cdr:spPr>
      <cdr:txBody>
        <a:bodyPr xmlns:a="http://schemas.openxmlformats.org/drawingml/2006/main" vertOverflow="clip" vert="vert" wrap="square" rtlCol="0"/>
        <a:lstStyle xmlns:a="http://schemas.openxmlformats.org/drawingml/2006/main"/>
        <a:p xmlns:a="http://schemas.openxmlformats.org/drawingml/2006/main">
          <a:r>
            <a:rPr lang="ru-RU" sz="1000">
              <a:solidFill>
                <a:schemeClr val="bg2">
                  <a:lumMod val="50000"/>
                </a:schemeClr>
              </a:solidFill>
            </a:rPr>
            <a:t>млрд дол. США</a:t>
          </a:r>
        </a:p>
      </cdr:txBody>
    </cdr:sp>
  </cdr:relSizeAnchor>
</c:userShapes>
</file>

<file path=word/drawings/drawing2.xml><?xml version="1.0" encoding="utf-8"?>
<c:userShapes xmlns:c="http://schemas.openxmlformats.org/drawingml/2006/chart">
  <cdr:relSizeAnchor xmlns:cdr="http://schemas.openxmlformats.org/drawingml/2006/chartDrawing">
    <cdr:from>
      <cdr:x>0.66053</cdr:x>
      <cdr:y>0.33434</cdr:y>
    </cdr:from>
    <cdr:to>
      <cdr:x>0.71946</cdr:x>
      <cdr:y>0.84076</cdr:y>
    </cdr:to>
    <cdr:sp macro="" textlink="">
      <cdr:nvSpPr>
        <cdr:cNvPr id="2" name="TextBox 1">
          <a:extLst xmlns:a="http://schemas.openxmlformats.org/drawingml/2006/main">
            <a:ext uri="{FF2B5EF4-FFF2-40B4-BE49-F238E27FC236}">
              <a16:creationId xmlns="" xmlns:a16="http://schemas.microsoft.com/office/drawing/2014/main" id="{160DEBDC-6B83-49FF-A0F5-DEE2AFEA1BED}"/>
            </a:ext>
          </a:extLst>
        </cdr:cNvPr>
        <cdr:cNvSpPr txBox="1"/>
      </cdr:nvSpPr>
      <cdr:spPr>
        <a:xfrm xmlns:a="http://schemas.openxmlformats.org/drawingml/2006/main">
          <a:off x="3963675" y="874051"/>
          <a:ext cx="353625" cy="1323932"/>
        </a:xfrm>
        <a:prstGeom xmlns:a="http://schemas.openxmlformats.org/drawingml/2006/main" prst="rect">
          <a:avLst/>
        </a:prstGeom>
      </cdr:spPr>
      <cdr:txBody>
        <a:bodyPr xmlns:a="http://schemas.openxmlformats.org/drawingml/2006/main" vertOverflow="clip" vert="vert" wrap="square" rtlCol="0"/>
        <a:lstStyle xmlns:a="http://schemas.openxmlformats.org/drawingml/2006/main"/>
        <a:p xmlns:a="http://schemas.openxmlformats.org/drawingml/2006/main">
          <a:r>
            <a:rPr lang="ru-RU" sz="1000">
              <a:solidFill>
                <a:schemeClr val="tx1">
                  <a:lumMod val="65000"/>
                  <a:lumOff val="35000"/>
                </a:schemeClr>
              </a:solidFill>
            </a:rPr>
            <a:t>трлн. дол. США</a:t>
          </a:r>
        </a:p>
      </cdr:txBody>
    </cdr:sp>
  </cdr:relSizeAnchor>
</c:userShapes>
</file>

<file path=word/drawings/drawing3.xml><?xml version="1.0" encoding="utf-8"?>
<c:userShapes xmlns:c="http://schemas.openxmlformats.org/drawingml/2006/chart">
  <cdr:relSizeAnchor xmlns:cdr="http://schemas.openxmlformats.org/drawingml/2006/chartDrawing">
    <cdr:from>
      <cdr:x>0.66275</cdr:x>
      <cdr:y>0.43757</cdr:y>
    </cdr:from>
    <cdr:to>
      <cdr:x>0.70134</cdr:x>
      <cdr:y>0.68513</cdr:y>
    </cdr:to>
    <cdr:sp macro="" textlink="">
      <cdr:nvSpPr>
        <cdr:cNvPr id="2" name="TextBox 1">
          <a:extLst xmlns:a="http://schemas.openxmlformats.org/drawingml/2006/main">
            <a:ext uri="{FF2B5EF4-FFF2-40B4-BE49-F238E27FC236}">
              <a16:creationId xmlns="" xmlns:a16="http://schemas.microsoft.com/office/drawing/2014/main" id="{005753B2-B89F-48A2-A385-EE22DBE21B01}"/>
            </a:ext>
          </a:extLst>
        </cdr:cNvPr>
        <cdr:cNvSpPr txBox="1"/>
      </cdr:nvSpPr>
      <cdr:spPr>
        <a:xfrm xmlns:a="http://schemas.openxmlformats.org/drawingml/2006/main">
          <a:off x="3762386" y="1919153"/>
          <a:ext cx="219071" cy="1085784"/>
        </a:xfrm>
        <a:prstGeom xmlns:a="http://schemas.openxmlformats.org/drawingml/2006/main" prst="rect">
          <a:avLst/>
        </a:prstGeom>
      </cdr:spPr>
      <cdr:txBody>
        <a:bodyPr xmlns:a="http://schemas.openxmlformats.org/drawingml/2006/main" vertOverflow="clip" vert="vert" wrap="square" rtlCol="0"/>
        <a:lstStyle xmlns:a="http://schemas.openxmlformats.org/drawingml/2006/main"/>
        <a:p xmlns:a="http://schemas.openxmlformats.org/drawingml/2006/main">
          <a:r>
            <a:rPr lang="ru-RU" sz="1000">
              <a:solidFill>
                <a:schemeClr val="tx1">
                  <a:lumMod val="65000"/>
                  <a:lumOff val="35000"/>
                </a:schemeClr>
              </a:solidFill>
            </a:rPr>
            <a:t>трлн дол. США</a:t>
          </a:r>
        </a:p>
      </cdr:txBody>
    </cdr:sp>
  </cdr:relSizeAnchor>
</c:userShapes>
</file>

<file path=word/drawings/drawing4.xml><?xml version="1.0" encoding="utf-8"?>
<c:userShapes xmlns:c="http://schemas.openxmlformats.org/drawingml/2006/chart">
  <cdr:relSizeAnchor xmlns:cdr="http://schemas.openxmlformats.org/drawingml/2006/chartDrawing">
    <cdr:from>
      <cdr:x>0.65009</cdr:x>
      <cdr:y>0.3941</cdr:y>
    </cdr:from>
    <cdr:to>
      <cdr:x>0.69811</cdr:x>
      <cdr:y>0.8941</cdr:y>
    </cdr:to>
    <cdr:sp macro="" textlink="">
      <cdr:nvSpPr>
        <cdr:cNvPr id="2" name="TextBox 1">
          <a:extLst xmlns:a="http://schemas.openxmlformats.org/drawingml/2006/main">
            <a:ext uri="{FF2B5EF4-FFF2-40B4-BE49-F238E27FC236}">
              <a16:creationId xmlns="" xmlns:a16="http://schemas.microsoft.com/office/drawing/2014/main" id="{5F58536F-519B-4600-80C0-E4D9512B1BD0}"/>
            </a:ext>
          </a:extLst>
        </cdr:cNvPr>
        <cdr:cNvSpPr txBox="1"/>
      </cdr:nvSpPr>
      <cdr:spPr>
        <a:xfrm xmlns:a="http://schemas.openxmlformats.org/drawingml/2006/main">
          <a:off x="3609976" y="1081088"/>
          <a:ext cx="266700" cy="1371600"/>
        </a:xfrm>
        <a:prstGeom xmlns:a="http://schemas.openxmlformats.org/drawingml/2006/main" prst="rect">
          <a:avLst/>
        </a:prstGeom>
      </cdr:spPr>
      <cdr:txBody>
        <a:bodyPr xmlns:a="http://schemas.openxmlformats.org/drawingml/2006/main" vertOverflow="clip" vert="vert" wrap="square" rtlCol="0"/>
        <a:lstStyle xmlns:a="http://schemas.openxmlformats.org/drawingml/2006/main"/>
        <a:p xmlns:a="http://schemas.openxmlformats.org/drawingml/2006/main">
          <a:r>
            <a:rPr lang="ru-RU" sz="1000">
              <a:solidFill>
                <a:schemeClr val="tx1">
                  <a:lumMod val="65000"/>
                  <a:lumOff val="35000"/>
                </a:schemeClr>
              </a:solidFill>
            </a:rPr>
            <a:t>трлн дол. США</a:t>
          </a:r>
        </a:p>
      </cdr:txBody>
    </cdr:sp>
  </cdr:relSizeAnchor>
</c:userShapes>
</file>

<file path=word/drawings/drawing5.xml><?xml version="1.0" encoding="utf-8"?>
<c:userShapes xmlns:c="http://schemas.openxmlformats.org/drawingml/2006/chart">
  <cdr:relSizeAnchor xmlns:cdr="http://schemas.openxmlformats.org/drawingml/2006/chartDrawing">
    <cdr:from>
      <cdr:x>0.65704</cdr:x>
      <cdr:y>0.36578</cdr:y>
    </cdr:from>
    <cdr:to>
      <cdr:x>0.70036</cdr:x>
      <cdr:y>0.79278</cdr:y>
    </cdr:to>
    <cdr:sp macro="" textlink="">
      <cdr:nvSpPr>
        <cdr:cNvPr id="2" name="TextBox 1">
          <a:extLst xmlns:a="http://schemas.openxmlformats.org/drawingml/2006/main">
            <a:ext uri="{FF2B5EF4-FFF2-40B4-BE49-F238E27FC236}">
              <a16:creationId xmlns="" xmlns:a16="http://schemas.microsoft.com/office/drawing/2014/main" id="{3C2C617D-8119-40DA-AB05-45EA4167E764}"/>
            </a:ext>
          </a:extLst>
        </cdr:cNvPr>
        <cdr:cNvSpPr txBox="1"/>
      </cdr:nvSpPr>
      <cdr:spPr>
        <a:xfrm xmlns:a="http://schemas.openxmlformats.org/drawingml/2006/main">
          <a:off x="3467100" y="1109664"/>
          <a:ext cx="228600" cy="1295400"/>
        </a:xfrm>
        <a:prstGeom xmlns:a="http://schemas.openxmlformats.org/drawingml/2006/main" prst="rect">
          <a:avLst/>
        </a:prstGeom>
      </cdr:spPr>
      <cdr:txBody>
        <a:bodyPr xmlns:a="http://schemas.openxmlformats.org/drawingml/2006/main" vertOverflow="clip" vert="vert" wrap="square" rtlCol="0"/>
        <a:lstStyle xmlns:a="http://schemas.openxmlformats.org/drawingml/2006/main"/>
        <a:p xmlns:a="http://schemas.openxmlformats.org/drawingml/2006/main">
          <a:r>
            <a:rPr lang="ru-RU" sz="1000">
              <a:solidFill>
                <a:schemeClr val="tx1">
                  <a:lumMod val="65000"/>
                  <a:lumOff val="35000"/>
                </a:schemeClr>
              </a:solidFill>
            </a:rPr>
            <a:t>млрд дол. США</a:t>
          </a:r>
        </a:p>
      </cdr:txBody>
    </cdr:sp>
  </cdr:relSizeAnchor>
</c:userShapes>
</file>

<file path=word/drawings/drawing6.xml><?xml version="1.0" encoding="utf-8"?>
<c:userShapes xmlns:c="http://schemas.openxmlformats.org/drawingml/2006/chart">
  <cdr:relSizeAnchor xmlns:cdr="http://schemas.openxmlformats.org/drawingml/2006/chartDrawing">
    <cdr:from>
      <cdr:x>0.62088</cdr:x>
      <cdr:y>0.36574</cdr:y>
    </cdr:from>
    <cdr:to>
      <cdr:x>0.69168</cdr:x>
      <cdr:y>0.69854</cdr:y>
    </cdr:to>
    <cdr:sp macro="" textlink="">
      <cdr:nvSpPr>
        <cdr:cNvPr id="2" name="TextBox 1">
          <a:extLst xmlns:a="http://schemas.openxmlformats.org/drawingml/2006/main">
            <a:ext uri="{FF2B5EF4-FFF2-40B4-BE49-F238E27FC236}">
              <a16:creationId xmlns="" xmlns:a16="http://schemas.microsoft.com/office/drawing/2014/main" id="{630DA741-088E-4596-A416-B371EC886A7F}"/>
            </a:ext>
          </a:extLst>
        </cdr:cNvPr>
        <cdr:cNvSpPr txBox="1"/>
      </cdr:nvSpPr>
      <cdr:spPr>
        <a:xfrm xmlns:a="http://schemas.openxmlformats.org/drawingml/2006/main">
          <a:off x="3483267" y="1064264"/>
          <a:ext cx="397185" cy="968411"/>
        </a:xfrm>
        <a:prstGeom xmlns:a="http://schemas.openxmlformats.org/drawingml/2006/main" prst="rect">
          <a:avLst/>
        </a:prstGeom>
      </cdr:spPr>
      <cdr:txBody>
        <a:bodyPr xmlns:a="http://schemas.openxmlformats.org/drawingml/2006/main" vertOverflow="clip" vert="vert" wrap="square" rtlCol="0"/>
        <a:lstStyle xmlns:a="http://schemas.openxmlformats.org/drawingml/2006/main"/>
        <a:p xmlns:a="http://schemas.openxmlformats.org/drawingml/2006/main">
          <a:r>
            <a:rPr lang="ru-RU" sz="1000">
              <a:solidFill>
                <a:schemeClr val="tx1">
                  <a:lumMod val="65000"/>
                  <a:lumOff val="35000"/>
                </a:schemeClr>
              </a:solidFill>
            </a:rPr>
            <a:t>млрд дол. США</a:t>
          </a:r>
        </a:p>
      </cdr:txBody>
    </cdr:sp>
  </cdr:relSizeAnchor>
</c:userShapes>
</file>

<file path=word/drawings/drawing7.xml><?xml version="1.0" encoding="utf-8"?>
<c:userShapes xmlns:c="http://schemas.openxmlformats.org/drawingml/2006/chart">
  <cdr:relSizeAnchor xmlns:cdr="http://schemas.openxmlformats.org/drawingml/2006/chartDrawing">
    <cdr:from>
      <cdr:x>0.64827</cdr:x>
      <cdr:y>0.35907</cdr:y>
    </cdr:from>
    <cdr:to>
      <cdr:x>0.72282</cdr:x>
      <cdr:y>0.74085</cdr:y>
    </cdr:to>
    <cdr:sp macro="" textlink="">
      <cdr:nvSpPr>
        <cdr:cNvPr id="2" name="TextBox 1">
          <a:extLst xmlns:a="http://schemas.openxmlformats.org/drawingml/2006/main">
            <a:ext uri="{FF2B5EF4-FFF2-40B4-BE49-F238E27FC236}">
              <a16:creationId xmlns="" xmlns:a16="http://schemas.microsoft.com/office/drawing/2014/main" id="{E4A0069A-C44E-4186-85F9-6104327DAF68}"/>
            </a:ext>
          </a:extLst>
        </cdr:cNvPr>
        <cdr:cNvSpPr txBox="1"/>
      </cdr:nvSpPr>
      <cdr:spPr>
        <a:xfrm xmlns:a="http://schemas.openxmlformats.org/drawingml/2006/main">
          <a:off x="3575201" y="979866"/>
          <a:ext cx="411116" cy="1041862"/>
        </a:xfrm>
        <a:prstGeom xmlns:a="http://schemas.openxmlformats.org/drawingml/2006/main" prst="rect">
          <a:avLst/>
        </a:prstGeom>
      </cdr:spPr>
      <cdr:txBody>
        <a:bodyPr xmlns:a="http://schemas.openxmlformats.org/drawingml/2006/main" vertOverflow="clip" vert="vert" wrap="square" rtlCol="0"/>
        <a:lstStyle xmlns:a="http://schemas.openxmlformats.org/drawingml/2006/main"/>
        <a:p xmlns:a="http://schemas.openxmlformats.org/drawingml/2006/main">
          <a:r>
            <a:rPr lang="ru-RU" sz="1000">
              <a:solidFill>
                <a:schemeClr val="tx1">
                  <a:lumMod val="65000"/>
                  <a:lumOff val="35000"/>
                </a:schemeClr>
              </a:solidFill>
            </a:rPr>
            <a:t>млрд дол. США</a:t>
          </a:r>
        </a:p>
      </cdr:txBody>
    </cdr:sp>
  </cdr:relSizeAnchor>
</c:userShapes>
</file>

<file path=word/drawings/drawing8.xml><?xml version="1.0" encoding="utf-8"?>
<c:userShapes xmlns:c="http://schemas.openxmlformats.org/drawingml/2006/chart">
  <cdr:relSizeAnchor xmlns:cdr="http://schemas.openxmlformats.org/drawingml/2006/chartDrawing">
    <cdr:from>
      <cdr:x>0.63768</cdr:x>
      <cdr:y>0.3862</cdr:y>
    </cdr:from>
    <cdr:to>
      <cdr:x>0.7037</cdr:x>
      <cdr:y>0.72687</cdr:y>
    </cdr:to>
    <cdr:sp macro="" textlink="">
      <cdr:nvSpPr>
        <cdr:cNvPr id="2" name="TextBox 1">
          <a:extLst xmlns:a="http://schemas.openxmlformats.org/drawingml/2006/main">
            <a:ext uri="{FF2B5EF4-FFF2-40B4-BE49-F238E27FC236}">
              <a16:creationId xmlns="" xmlns:a16="http://schemas.microsoft.com/office/drawing/2014/main" id="{A1824E5D-6E8F-45DE-8995-9BB52A9FDCC1}"/>
            </a:ext>
          </a:extLst>
        </cdr:cNvPr>
        <cdr:cNvSpPr txBox="1"/>
      </cdr:nvSpPr>
      <cdr:spPr>
        <a:xfrm xmlns:a="http://schemas.openxmlformats.org/drawingml/2006/main">
          <a:off x="3771900" y="1252539"/>
          <a:ext cx="390525" cy="1104900"/>
        </a:xfrm>
        <a:prstGeom xmlns:a="http://schemas.openxmlformats.org/drawingml/2006/main" prst="rect">
          <a:avLst/>
        </a:prstGeom>
      </cdr:spPr>
      <cdr:txBody>
        <a:bodyPr xmlns:a="http://schemas.openxmlformats.org/drawingml/2006/main" vertOverflow="clip" vert="vert" wrap="square" rtlCol="0"/>
        <a:lstStyle xmlns:a="http://schemas.openxmlformats.org/drawingml/2006/main"/>
        <a:p xmlns:a="http://schemas.openxmlformats.org/drawingml/2006/main">
          <a:r>
            <a:rPr lang="ru-RU" sz="1000">
              <a:solidFill>
                <a:schemeClr val="tx1">
                  <a:lumMod val="65000"/>
                  <a:lumOff val="35000"/>
                </a:schemeClr>
              </a:solidFill>
            </a:rPr>
            <a:t>млрд дол. США</a:t>
          </a:r>
        </a:p>
      </cdr:txBody>
    </cdr:sp>
  </cdr:relSizeAnchor>
</c:userShapes>
</file>

<file path=word/drawings/drawing9.xml><?xml version="1.0" encoding="utf-8"?>
<c:userShapes xmlns:c="http://schemas.openxmlformats.org/drawingml/2006/chart">
  <cdr:relSizeAnchor xmlns:cdr="http://schemas.openxmlformats.org/drawingml/2006/chartDrawing">
    <cdr:from>
      <cdr:x>0.61914</cdr:x>
      <cdr:y>0.38331</cdr:y>
    </cdr:from>
    <cdr:to>
      <cdr:x>0.69043</cdr:x>
      <cdr:y>0.72743</cdr:y>
    </cdr:to>
    <cdr:sp macro="" textlink="">
      <cdr:nvSpPr>
        <cdr:cNvPr id="2" name="TextBox 1">
          <a:extLst xmlns:a="http://schemas.openxmlformats.org/drawingml/2006/main">
            <a:ext uri="{FF2B5EF4-FFF2-40B4-BE49-F238E27FC236}">
              <a16:creationId xmlns="" xmlns:a16="http://schemas.microsoft.com/office/drawing/2014/main" id="{DF993181-FFBF-4961-A7A4-CCDFE65C46C9}"/>
            </a:ext>
          </a:extLst>
        </cdr:cNvPr>
        <cdr:cNvSpPr txBox="1"/>
      </cdr:nvSpPr>
      <cdr:spPr>
        <a:xfrm xmlns:a="http://schemas.openxmlformats.org/drawingml/2006/main">
          <a:off x="3143251" y="1071563"/>
          <a:ext cx="361950" cy="962025"/>
        </a:xfrm>
        <a:prstGeom xmlns:a="http://schemas.openxmlformats.org/drawingml/2006/main" prst="rect">
          <a:avLst/>
        </a:prstGeom>
      </cdr:spPr>
      <cdr:txBody>
        <a:bodyPr xmlns:a="http://schemas.openxmlformats.org/drawingml/2006/main" vertOverflow="clip" vert="vert" wrap="square" rtlCol="0"/>
        <a:lstStyle xmlns:a="http://schemas.openxmlformats.org/drawingml/2006/main"/>
        <a:p xmlns:a="http://schemas.openxmlformats.org/drawingml/2006/main">
          <a:r>
            <a:rPr lang="ru-RU" sz="1000">
              <a:solidFill>
                <a:schemeClr val="bg2">
                  <a:lumMod val="50000"/>
                </a:schemeClr>
              </a:solidFill>
            </a:rPr>
            <a:t>млрд дол. США</a:t>
          </a:r>
        </a:p>
      </cdr:txBody>
    </cdr: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0.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8.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9.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D8E1ADB-4994-434E-A54D-95BE9DE3FE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9</Pages>
  <Words>10306</Words>
  <Characters>67548</Characters>
  <Application>Microsoft Office Word</Application>
  <DocSecurity>0</DocSecurity>
  <Lines>1479</Lines>
  <Paragraphs>381</Paragraphs>
  <ScaleCrop>false</ScaleCrop>
  <HeadingPairs>
    <vt:vector size="2" baseType="variant">
      <vt:variant>
        <vt:lpstr>Название</vt:lpstr>
      </vt:variant>
      <vt:variant>
        <vt:i4>1</vt:i4>
      </vt:variant>
    </vt:vector>
  </HeadingPairs>
  <TitlesOfParts>
    <vt:vector size="1" baseType="lpstr">
      <vt:lpstr/>
    </vt:vector>
  </TitlesOfParts>
  <Company>Hewlett-Packard</Company>
  <LinksUpToDate>false</LinksUpToDate>
  <CharactersWithSpaces>77954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Таран </dc:creator>
  <cp:lastModifiedBy>ONU</cp:lastModifiedBy>
  <cp:revision>6</cp:revision>
  <dcterms:created xsi:type="dcterms:W3CDTF">2022-06-16T16:38:00Z</dcterms:created>
  <dcterms:modified xsi:type="dcterms:W3CDTF">2022-06-17T01:47:00Z</dcterms:modified>
</cp:coreProperties>
</file>