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C83" w:rsidRDefault="00094C83" w:rsidP="00094C83">
      <w:pPr>
        <w:pBdr>
          <w:bottom w:val="single" w:sz="4" w:space="1" w:color="000000"/>
        </w:pBdr>
        <w:tabs>
          <w:tab w:val="left" w:pos="567"/>
        </w:tabs>
        <w:spacing w:after="0" w:line="240" w:lineRule="auto"/>
        <w:ind w:right="-1"/>
        <w:jc w:val="center"/>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Одеський національний університет імені І.І. Мечникова</w:t>
      </w:r>
    </w:p>
    <w:p w:rsidR="00094C83" w:rsidRDefault="00094C83" w:rsidP="00094C83">
      <w:pPr>
        <w:tabs>
          <w:tab w:val="left" w:pos="567"/>
        </w:tabs>
        <w:spacing w:after="0" w:line="240" w:lineRule="auto"/>
        <w:ind w:right="-1"/>
        <w:jc w:val="center"/>
        <w:rPr>
          <w:rFonts w:ascii="Times New Roman" w:eastAsia="Calibri" w:hAnsi="Times New Roman" w:cs="Times New Roman"/>
          <w:sz w:val="20"/>
          <w:szCs w:val="20"/>
          <w:lang w:val="uk-UA"/>
        </w:rPr>
      </w:pPr>
    </w:p>
    <w:p w:rsidR="00094C83" w:rsidRDefault="00094C83" w:rsidP="00094C83">
      <w:pPr>
        <w:pBdr>
          <w:bottom w:val="single" w:sz="4" w:space="1" w:color="000000"/>
        </w:pBdr>
        <w:tabs>
          <w:tab w:val="left" w:pos="567"/>
        </w:tabs>
        <w:spacing w:after="0" w:line="240" w:lineRule="auto"/>
        <w:ind w:right="-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Факультет міжнародних відносин, політології та соціології</w:t>
      </w:r>
    </w:p>
    <w:p w:rsidR="00094C83" w:rsidRDefault="00094C83" w:rsidP="00094C83">
      <w:pPr>
        <w:tabs>
          <w:tab w:val="left" w:pos="567"/>
        </w:tabs>
        <w:spacing w:after="0" w:line="240" w:lineRule="auto"/>
        <w:ind w:right="-1"/>
        <w:jc w:val="center"/>
        <w:rPr>
          <w:rFonts w:ascii="Times New Roman" w:eastAsia="Calibri" w:hAnsi="Times New Roman" w:cs="Times New Roman"/>
          <w:sz w:val="18"/>
          <w:szCs w:val="18"/>
          <w:lang w:val="uk-UA"/>
        </w:rPr>
      </w:pPr>
    </w:p>
    <w:p w:rsidR="00094C83" w:rsidRDefault="00094C83" w:rsidP="00094C83">
      <w:pPr>
        <w:pBdr>
          <w:bottom w:val="single" w:sz="4" w:space="1" w:color="000000"/>
        </w:pBdr>
        <w:tabs>
          <w:tab w:val="left" w:pos="567"/>
        </w:tabs>
        <w:spacing w:after="0" w:line="240" w:lineRule="auto"/>
        <w:ind w:right="-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Кафедра політології</w:t>
      </w:r>
    </w:p>
    <w:p w:rsidR="00094C83" w:rsidRDefault="00094C83" w:rsidP="00094C83">
      <w:pPr>
        <w:tabs>
          <w:tab w:val="left" w:pos="567"/>
        </w:tabs>
        <w:spacing w:after="0" w:line="240" w:lineRule="auto"/>
        <w:ind w:right="-1"/>
        <w:jc w:val="center"/>
        <w:rPr>
          <w:rFonts w:ascii="Times New Roman" w:eastAsia="Calibri" w:hAnsi="Times New Roman" w:cs="Times New Roman"/>
          <w:sz w:val="18"/>
          <w:szCs w:val="18"/>
          <w:lang w:val="uk-UA"/>
        </w:rPr>
      </w:pPr>
    </w:p>
    <w:p w:rsidR="00094C83" w:rsidRDefault="00094C83" w:rsidP="00094C83">
      <w:pPr>
        <w:tabs>
          <w:tab w:val="left" w:pos="567"/>
        </w:tabs>
        <w:spacing w:after="0" w:line="240" w:lineRule="auto"/>
        <w:ind w:right="-1"/>
        <w:rPr>
          <w:rFonts w:ascii="Times New Roman" w:eastAsia="Calibri" w:hAnsi="Times New Roman" w:cs="Times New Roman"/>
          <w:b/>
          <w:spacing w:val="60"/>
          <w:sz w:val="40"/>
          <w:szCs w:val="40"/>
          <w:lang w:val="uk-UA"/>
        </w:rPr>
      </w:pPr>
    </w:p>
    <w:p w:rsidR="00094C83" w:rsidRDefault="00094C83" w:rsidP="00094C83">
      <w:pPr>
        <w:tabs>
          <w:tab w:val="left" w:pos="567"/>
          <w:tab w:val="left" w:pos="2175"/>
        </w:tabs>
        <w:spacing w:after="0" w:line="240" w:lineRule="auto"/>
        <w:ind w:right="-1"/>
        <w:jc w:val="center"/>
        <w:rPr>
          <w:rFonts w:ascii="Times New Roman" w:eastAsia="Calibri" w:hAnsi="Times New Roman" w:cs="Times New Roman"/>
          <w:sz w:val="24"/>
          <w:szCs w:val="24"/>
          <w:lang w:val="uk-UA"/>
        </w:rPr>
      </w:pPr>
      <w:r>
        <w:rPr>
          <w:rFonts w:ascii="Times New Roman" w:eastAsia="Calibri" w:hAnsi="Times New Roman" w:cs="Times New Roman"/>
          <w:b/>
          <w:spacing w:val="60"/>
          <w:sz w:val="32"/>
          <w:szCs w:val="32"/>
          <w:lang w:val="uk-UA"/>
        </w:rPr>
        <w:t xml:space="preserve">Кваліфікаційна робота </w:t>
      </w:r>
    </w:p>
    <w:p w:rsidR="00094C83" w:rsidRDefault="00094C83" w:rsidP="00094C83">
      <w:pPr>
        <w:pBdr>
          <w:bottom w:val="single" w:sz="4" w:space="1" w:color="000000"/>
        </w:pBdr>
        <w:tabs>
          <w:tab w:val="left" w:pos="567"/>
          <w:tab w:val="center" w:pos="4819"/>
          <w:tab w:val="right" w:pos="8505"/>
        </w:tabs>
        <w:spacing w:after="0" w:line="276" w:lineRule="auto"/>
        <w:ind w:right="-1"/>
        <w:jc w:val="center"/>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 xml:space="preserve">на здобуття ступеня вищої освіти </w:t>
      </w:r>
      <w:r>
        <w:rPr>
          <w:rFonts w:ascii="Times New Roman" w:eastAsia="Calibri" w:hAnsi="Times New Roman" w:cs="Times New Roman"/>
          <w:color w:val="000000"/>
          <w:sz w:val="28"/>
          <w:szCs w:val="28"/>
          <w:lang w:val="uk-UA"/>
        </w:rPr>
        <w:t xml:space="preserve"> «магістр»</w:t>
      </w:r>
    </w:p>
    <w:p w:rsidR="00094C83" w:rsidRDefault="00094C83" w:rsidP="00094C83">
      <w:pPr>
        <w:tabs>
          <w:tab w:val="left" w:pos="567"/>
        </w:tabs>
        <w:ind w:right="-1"/>
        <w:rPr>
          <w:rFonts w:ascii="Times New Roman" w:hAnsi="Times New Roman" w:cs="Times New Roman"/>
          <w:b/>
          <w:sz w:val="28"/>
          <w:szCs w:val="28"/>
          <w:lang w:val="uk-UA"/>
        </w:rPr>
      </w:pPr>
      <w:r>
        <w:rPr>
          <w:rFonts w:ascii="Times New Roman" w:eastAsia="Calibri" w:hAnsi="Times New Roman" w:cs="Times New Roman"/>
          <w:b/>
          <w:sz w:val="28"/>
          <w:szCs w:val="28"/>
          <w:lang w:val="uk-UA"/>
        </w:rPr>
        <w:t>«</w:t>
      </w:r>
      <w:r>
        <w:rPr>
          <w:rFonts w:ascii="Times New Roman" w:hAnsi="Times New Roman" w:cs="Times New Roman"/>
          <w:b/>
          <w:sz w:val="28"/>
          <w:szCs w:val="28"/>
          <w:lang w:val="uk-UA"/>
        </w:rPr>
        <w:t>Сучасний євроскептицизм: між консерватизмом та націонал – популізмом</w:t>
      </w:r>
      <w:r>
        <w:rPr>
          <w:rFonts w:ascii="Times New Roman" w:eastAsia="Calibri" w:hAnsi="Times New Roman" w:cs="Times New Roman"/>
          <w:b/>
          <w:sz w:val="28"/>
          <w:szCs w:val="28"/>
          <w:lang w:val="uk-UA"/>
        </w:rPr>
        <w:t>»</w:t>
      </w:r>
    </w:p>
    <w:p w:rsidR="00094C83" w:rsidRDefault="00094C83" w:rsidP="00094C83">
      <w:pPr>
        <w:tabs>
          <w:tab w:val="left" w:pos="567"/>
          <w:tab w:val="right" w:pos="9355"/>
        </w:tabs>
        <w:spacing w:after="0" w:line="276" w:lineRule="auto"/>
        <w:ind w:right="-1"/>
        <w:jc w:val="center"/>
        <w:rPr>
          <w:rFonts w:ascii="Times New Roman" w:eastAsia="Calibri" w:hAnsi="Times New Roman" w:cs="Times New Roman"/>
          <w:sz w:val="24"/>
          <w:szCs w:val="24"/>
          <w:lang w:val="uk-UA"/>
        </w:rPr>
      </w:pPr>
      <w:r>
        <w:rPr>
          <w:rFonts w:ascii="Times New Roman" w:eastAsia="Calibri" w:hAnsi="Times New Roman" w:cs="Times New Roman"/>
          <w:sz w:val="24"/>
          <w:szCs w:val="28"/>
          <w:lang w:val="uk-UA"/>
        </w:rPr>
        <w:t xml:space="preserve">«Modern Euroscepticism: between conservatism and national populism» </w:t>
      </w:r>
    </w:p>
    <w:p w:rsidR="00094C83" w:rsidRDefault="00094C83" w:rsidP="00094C83">
      <w:pPr>
        <w:tabs>
          <w:tab w:val="left" w:pos="567"/>
          <w:tab w:val="right" w:pos="9355"/>
        </w:tabs>
        <w:spacing w:after="0" w:line="240" w:lineRule="auto"/>
        <w:ind w:right="-1"/>
        <w:rPr>
          <w:rFonts w:ascii="Times New Roman" w:eastAsia="Calibri" w:hAnsi="Times New Roman" w:cs="Times New Roman"/>
          <w:sz w:val="24"/>
          <w:szCs w:val="24"/>
          <w:u w:val="single"/>
          <w:lang w:val="uk-UA"/>
        </w:rPr>
      </w:pPr>
    </w:p>
    <w:p w:rsidR="00094C83" w:rsidRDefault="00094C83" w:rsidP="00094C83">
      <w:pPr>
        <w:tabs>
          <w:tab w:val="left" w:pos="567"/>
          <w:tab w:val="right" w:pos="9355"/>
        </w:tabs>
        <w:spacing w:after="0" w:line="240" w:lineRule="auto"/>
        <w:ind w:right="-1"/>
        <w:rPr>
          <w:rFonts w:ascii="Times New Roman" w:eastAsia="Calibri" w:hAnsi="Times New Roman" w:cs="Times New Roman"/>
          <w:sz w:val="28"/>
          <w:szCs w:val="28"/>
          <w:u w:val="single"/>
          <w:lang w:val="uk-UA"/>
        </w:rPr>
      </w:pPr>
    </w:p>
    <w:p w:rsidR="00094C83" w:rsidRDefault="00094C83" w:rsidP="00094C83">
      <w:pPr>
        <w:tabs>
          <w:tab w:val="left" w:pos="567"/>
          <w:tab w:val="right" w:pos="9355"/>
        </w:tabs>
        <w:spacing w:after="0" w:line="240" w:lineRule="auto"/>
        <w:ind w:right="-1"/>
        <w:rPr>
          <w:rFonts w:ascii="Times New Roman" w:eastAsia="Calibri" w:hAnsi="Times New Roman" w:cs="Times New Roman"/>
          <w:sz w:val="28"/>
          <w:szCs w:val="28"/>
          <w:u w:val="single"/>
          <w:lang w:val="uk-UA"/>
        </w:rPr>
      </w:pPr>
    </w:p>
    <w:p w:rsidR="00094C83" w:rsidRDefault="00094C83" w:rsidP="00094C83">
      <w:pPr>
        <w:tabs>
          <w:tab w:val="left" w:pos="567"/>
        </w:tabs>
        <w:spacing w:after="0" w:line="240" w:lineRule="auto"/>
        <w:ind w:right="-1"/>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 xml:space="preserve">                               Виконав: студент заочної форми навчання</w:t>
      </w:r>
    </w:p>
    <w:p w:rsidR="00094C83" w:rsidRDefault="00094C83" w:rsidP="00094C83">
      <w:pPr>
        <w:tabs>
          <w:tab w:val="left" w:pos="567"/>
        </w:tabs>
        <w:spacing w:after="0" w:line="240" w:lineRule="auto"/>
        <w:ind w:right="-1"/>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 xml:space="preserve">           спеціальність 052  – «Політологія»</w:t>
      </w:r>
    </w:p>
    <w:p w:rsidR="00094C83" w:rsidRDefault="00094C83" w:rsidP="00094C83">
      <w:pPr>
        <w:tabs>
          <w:tab w:val="left" w:pos="567"/>
        </w:tabs>
        <w:spacing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Головко Олександр Васильович </w:t>
      </w:r>
    </w:p>
    <w:p w:rsidR="00094C83" w:rsidRDefault="00094C83" w:rsidP="00094C83">
      <w:pPr>
        <w:tabs>
          <w:tab w:val="left" w:pos="567"/>
          <w:tab w:val="left" w:pos="5245"/>
          <w:tab w:val="right" w:pos="9355"/>
        </w:tabs>
        <w:spacing w:before="120" w:after="0" w:line="240" w:lineRule="auto"/>
        <w:ind w:right="-1"/>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 xml:space="preserve">                                                  Керівник     </w:t>
      </w:r>
      <w:r>
        <w:rPr>
          <w:rFonts w:ascii="Times New Roman" w:eastAsia="Calibri" w:hAnsi="Times New Roman" w:cs="Times New Roman"/>
          <w:color w:val="000000"/>
          <w:sz w:val="28"/>
          <w:szCs w:val="28"/>
          <w:lang w:val="uk-UA"/>
        </w:rPr>
        <w:t>д. політ. н., проф. Мілова М.І.  _______</w:t>
      </w:r>
    </w:p>
    <w:p w:rsidR="00094C83" w:rsidRPr="00887448" w:rsidRDefault="00094C83" w:rsidP="00094C83">
      <w:pPr>
        <w:tabs>
          <w:tab w:val="left" w:pos="567"/>
          <w:tab w:val="left" w:pos="5245"/>
          <w:tab w:val="right" w:pos="9355"/>
        </w:tabs>
        <w:spacing w:before="120" w:after="0" w:line="240" w:lineRule="auto"/>
        <w:ind w:right="-1"/>
        <w:rPr>
          <w:rFonts w:ascii="Times New Roman" w:eastAsia="Calibri" w:hAnsi="Times New Roman" w:cs="Times New Roman"/>
          <w:sz w:val="24"/>
          <w:szCs w:val="24"/>
          <w:lang w:val="uk-UA"/>
        </w:rPr>
      </w:pPr>
      <w:r>
        <w:rPr>
          <w:rFonts w:ascii="Times New Roman" w:eastAsia="Calibri" w:hAnsi="Times New Roman" w:cs="Times New Roman"/>
          <w:color w:val="000000"/>
          <w:sz w:val="28"/>
          <w:szCs w:val="28"/>
          <w:lang w:val="uk-UA"/>
        </w:rPr>
        <w:t xml:space="preserve">                          Рецензент  викладач кафедри політології Трушевич Г.Б.  </w:t>
      </w:r>
      <w:r>
        <w:rPr>
          <w:rFonts w:ascii="Times New Roman" w:eastAsia="Calibri" w:hAnsi="Times New Roman" w:cs="Times New Roman"/>
          <w:sz w:val="28"/>
          <w:szCs w:val="28"/>
          <w:lang w:val="uk-UA"/>
        </w:rPr>
        <w:t>_</w:t>
      </w:r>
      <w:r w:rsidRPr="00887448">
        <w:rPr>
          <w:rFonts w:ascii="Times New Roman" w:eastAsia="Calibri" w:hAnsi="Times New Roman" w:cs="Times New Roman"/>
          <w:sz w:val="28"/>
          <w:szCs w:val="28"/>
          <w:lang w:val="uk-UA"/>
        </w:rPr>
        <w:t>______</w:t>
      </w:r>
    </w:p>
    <w:p w:rsidR="00094C83" w:rsidRDefault="00094C83" w:rsidP="00094C83">
      <w:pPr>
        <w:tabs>
          <w:tab w:val="left" w:pos="567"/>
        </w:tabs>
        <w:spacing w:after="0" w:line="240" w:lineRule="auto"/>
        <w:ind w:right="-1"/>
        <w:rPr>
          <w:rFonts w:ascii="Times New Roman" w:eastAsia="Calibri" w:hAnsi="Times New Roman" w:cs="Times New Roman"/>
          <w:sz w:val="28"/>
          <w:szCs w:val="28"/>
          <w:lang w:val="uk-UA"/>
        </w:rPr>
      </w:pPr>
    </w:p>
    <w:p w:rsidR="00094C83" w:rsidRDefault="00094C83" w:rsidP="00094C83">
      <w:pPr>
        <w:tabs>
          <w:tab w:val="left" w:pos="567"/>
        </w:tabs>
        <w:spacing w:after="0" w:line="240" w:lineRule="auto"/>
        <w:ind w:left="3969" w:right="-1"/>
        <w:rPr>
          <w:rFonts w:ascii="Times New Roman" w:eastAsia="Calibri" w:hAnsi="Times New Roman" w:cs="Times New Roman"/>
          <w:sz w:val="28"/>
          <w:szCs w:val="28"/>
          <w:lang w:val="uk-UA"/>
        </w:rPr>
      </w:pPr>
    </w:p>
    <w:p w:rsidR="00094C83" w:rsidRDefault="00094C83" w:rsidP="00094C83">
      <w:pPr>
        <w:tabs>
          <w:tab w:val="left" w:pos="567"/>
        </w:tabs>
        <w:spacing w:after="0" w:line="240" w:lineRule="auto"/>
        <w:ind w:left="3969" w:right="-1"/>
        <w:rPr>
          <w:rFonts w:ascii="Times New Roman" w:eastAsia="Calibri" w:hAnsi="Times New Roman" w:cs="Times New Roman"/>
          <w:sz w:val="28"/>
          <w:szCs w:val="28"/>
          <w:lang w:val="uk-UA"/>
        </w:rPr>
      </w:pPr>
    </w:p>
    <w:tbl>
      <w:tblPr>
        <w:tblW w:w="5000" w:type="pct"/>
        <w:jc w:val="center"/>
        <w:tblLook w:val="00A0" w:firstRow="1" w:lastRow="0" w:firstColumn="1" w:lastColumn="0" w:noHBand="0" w:noVBand="0"/>
      </w:tblPr>
      <w:tblGrid>
        <w:gridCol w:w="5037"/>
        <w:gridCol w:w="4744"/>
      </w:tblGrid>
      <w:tr w:rsidR="00094C83" w:rsidTr="00F53037">
        <w:trPr>
          <w:jc w:val="center"/>
        </w:trPr>
        <w:tc>
          <w:tcPr>
            <w:tcW w:w="4817" w:type="dxa"/>
            <w:hideMark/>
          </w:tcPr>
          <w:p w:rsidR="00094C83" w:rsidRDefault="00094C83" w:rsidP="00F53037">
            <w:pPr>
              <w:tabs>
                <w:tab w:val="left" w:pos="567"/>
              </w:tabs>
              <w:spacing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Рекомендовано до захисту:</w:t>
            </w:r>
          </w:p>
          <w:p w:rsidR="00094C83" w:rsidRDefault="00094C83" w:rsidP="00F53037">
            <w:pPr>
              <w:tabs>
                <w:tab w:val="left" w:pos="567"/>
              </w:tabs>
              <w:spacing w:before="12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Протокол засідання кафедри</w:t>
            </w:r>
          </w:p>
          <w:p w:rsidR="00094C83" w:rsidRDefault="00094C83" w:rsidP="00F53037">
            <w:pPr>
              <w:tabs>
                <w:tab w:val="left" w:pos="567"/>
              </w:tabs>
              <w:spacing w:before="12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 від ________ 2022 р. </w:t>
            </w:r>
          </w:p>
          <w:p w:rsidR="00094C83" w:rsidRDefault="00094C83" w:rsidP="00F53037">
            <w:pPr>
              <w:tabs>
                <w:tab w:val="left" w:pos="567"/>
              </w:tabs>
              <w:spacing w:before="60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Завідувач кафедри</w:t>
            </w:r>
          </w:p>
          <w:p w:rsidR="00094C83" w:rsidRDefault="00094C83" w:rsidP="00F53037">
            <w:pPr>
              <w:tabs>
                <w:tab w:val="left" w:pos="567"/>
                <w:tab w:val="left" w:pos="1168"/>
                <w:tab w:val="left" w:pos="3861"/>
              </w:tabs>
              <w:spacing w:before="360" w:after="0" w:line="240" w:lineRule="auto"/>
              <w:ind w:right="-1"/>
              <w:rPr>
                <w:rFonts w:ascii="Times New Roman" w:eastAsia="Calibri" w:hAnsi="Times New Roman" w:cs="Times New Roman"/>
                <w:sz w:val="28"/>
                <w:szCs w:val="28"/>
                <w:u w:val="single"/>
                <w:lang w:val="uk-UA"/>
              </w:rPr>
            </w:pPr>
            <w:r>
              <w:rPr>
                <w:rFonts w:ascii="Times New Roman" w:eastAsia="Calibri" w:hAnsi="Times New Roman" w:cs="Times New Roman"/>
                <w:sz w:val="28"/>
                <w:szCs w:val="28"/>
                <w:u w:val="single"/>
                <w:lang w:val="uk-UA"/>
              </w:rPr>
              <w:tab/>
            </w:r>
            <w:r>
              <w:rPr>
                <w:rFonts w:ascii="Times New Roman" w:eastAsia="Calibri" w:hAnsi="Times New Roman" w:cs="Times New Roman"/>
                <w:sz w:val="28"/>
                <w:szCs w:val="28"/>
                <w:lang w:val="uk-UA"/>
              </w:rPr>
              <w:t xml:space="preserve">            Попков В.В.</w:t>
            </w:r>
          </w:p>
          <w:p w:rsidR="00094C83" w:rsidRDefault="00094C83" w:rsidP="00F53037">
            <w:pPr>
              <w:tabs>
                <w:tab w:val="left" w:pos="284"/>
                <w:tab w:val="left" w:pos="567"/>
                <w:tab w:val="left" w:pos="1767"/>
              </w:tabs>
              <w:spacing w:after="0" w:line="240" w:lineRule="auto"/>
              <w:ind w:right="-1"/>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ab/>
              <w:t>(підпис)</w:t>
            </w:r>
            <w:r>
              <w:rPr>
                <w:rFonts w:ascii="Times New Roman" w:eastAsia="Calibri" w:hAnsi="Times New Roman" w:cs="Times New Roman"/>
                <w:sz w:val="20"/>
                <w:szCs w:val="20"/>
                <w:lang w:val="uk-UA"/>
              </w:rPr>
              <w:tab/>
            </w:r>
          </w:p>
        </w:tc>
        <w:tc>
          <w:tcPr>
            <w:tcW w:w="4537" w:type="dxa"/>
            <w:hideMark/>
          </w:tcPr>
          <w:p w:rsidR="00094C83" w:rsidRDefault="00094C83" w:rsidP="00F53037">
            <w:pPr>
              <w:tabs>
                <w:tab w:val="left" w:pos="567"/>
                <w:tab w:val="right" w:pos="4462"/>
              </w:tabs>
              <w:spacing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Захищено на засіданні ЕК № 2</w:t>
            </w:r>
          </w:p>
          <w:p w:rsidR="00094C83" w:rsidRDefault="00094C83" w:rsidP="00F53037">
            <w:pPr>
              <w:tabs>
                <w:tab w:val="left" w:pos="567"/>
                <w:tab w:val="right" w:pos="4462"/>
              </w:tabs>
              <w:spacing w:before="12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протокол №__  від_________ 2022  р.</w:t>
            </w:r>
            <w:r>
              <w:rPr>
                <w:rFonts w:ascii="Times New Roman" w:eastAsia="Calibri" w:hAnsi="Times New Roman" w:cs="Times New Roman"/>
                <w:sz w:val="28"/>
                <w:szCs w:val="28"/>
                <w:lang w:val="uk-UA"/>
              </w:rPr>
              <w:tab/>
            </w:r>
          </w:p>
          <w:p w:rsidR="00094C83" w:rsidRDefault="00094C83" w:rsidP="00F53037">
            <w:pPr>
              <w:tabs>
                <w:tab w:val="left" w:pos="567"/>
                <w:tab w:val="right" w:pos="4462"/>
              </w:tabs>
              <w:spacing w:before="12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Оцінка______________/___</w:t>
            </w:r>
            <w:r>
              <w:rPr>
                <w:rFonts w:ascii="Times New Roman" w:eastAsia="Calibri" w:hAnsi="Times New Roman" w:cs="Times New Roman"/>
                <w:sz w:val="20"/>
                <w:szCs w:val="20"/>
                <w:lang w:val="uk-UA"/>
              </w:rPr>
              <w:tab/>
            </w:r>
            <w:r>
              <w:rPr>
                <w:rFonts w:ascii="Times New Roman" w:eastAsia="Calibri" w:hAnsi="Times New Roman" w:cs="Times New Roman"/>
                <w:sz w:val="28"/>
                <w:szCs w:val="28"/>
                <w:lang w:val="uk-UA"/>
              </w:rPr>
              <w:t>___/_____</w:t>
            </w:r>
          </w:p>
          <w:p w:rsidR="00094C83" w:rsidRDefault="00094C83" w:rsidP="00F53037">
            <w:pPr>
              <w:tabs>
                <w:tab w:val="left" w:pos="567"/>
              </w:tabs>
              <w:spacing w:after="0" w:line="240" w:lineRule="auto"/>
              <w:ind w:right="-1"/>
              <w:jc w:val="center"/>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t>(за національною шкалою/шкалою ЕСТS/ бали)</w:t>
            </w:r>
          </w:p>
          <w:p w:rsidR="00094C83" w:rsidRDefault="00094C83" w:rsidP="00F53037">
            <w:pPr>
              <w:tabs>
                <w:tab w:val="left" w:pos="567"/>
              </w:tabs>
              <w:spacing w:before="360"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Голова ЕК</w:t>
            </w:r>
          </w:p>
          <w:p w:rsidR="00094C83" w:rsidRDefault="00094C83" w:rsidP="00F53037">
            <w:pPr>
              <w:tabs>
                <w:tab w:val="left" w:pos="567"/>
                <w:tab w:val="left" w:pos="1446"/>
                <w:tab w:val="right" w:pos="4462"/>
              </w:tabs>
              <w:spacing w:before="360" w:after="0" w:line="240" w:lineRule="auto"/>
              <w:ind w:right="-1"/>
              <w:rPr>
                <w:rFonts w:ascii="Times New Roman" w:eastAsia="Calibri" w:hAnsi="Times New Roman" w:cs="Times New Roman"/>
                <w:sz w:val="28"/>
                <w:szCs w:val="28"/>
                <w:u w:val="single"/>
                <w:lang w:val="uk-UA"/>
              </w:rPr>
            </w:pPr>
            <w:r>
              <w:rPr>
                <w:rFonts w:ascii="Times New Roman" w:eastAsia="Calibri" w:hAnsi="Times New Roman" w:cs="Times New Roman"/>
                <w:sz w:val="28"/>
                <w:szCs w:val="28"/>
                <w:u w:val="single"/>
                <w:lang w:val="uk-UA"/>
              </w:rPr>
              <w:tab/>
            </w:r>
            <w:r>
              <w:rPr>
                <w:rFonts w:ascii="Times New Roman" w:eastAsia="Calibri" w:hAnsi="Times New Roman" w:cs="Times New Roman"/>
                <w:sz w:val="28"/>
                <w:szCs w:val="28"/>
                <w:lang w:val="uk-UA"/>
              </w:rPr>
              <w:t xml:space="preserve">               Мілова М.І.</w:t>
            </w:r>
          </w:p>
          <w:p w:rsidR="00094C83" w:rsidRDefault="00094C83" w:rsidP="00F53037">
            <w:pPr>
              <w:tabs>
                <w:tab w:val="left" w:pos="454"/>
                <w:tab w:val="left" w:pos="567"/>
                <w:tab w:val="left" w:pos="2155"/>
              </w:tabs>
              <w:spacing w:after="0" w:line="240" w:lineRule="auto"/>
              <w:ind w:right="-1"/>
              <w:rPr>
                <w:rFonts w:ascii="Times New Roman" w:eastAsia="Calibri" w:hAnsi="Times New Roman" w:cs="Times New Roman"/>
                <w:sz w:val="28"/>
                <w:szCs w:val="28"/>
                <w:lang w:val="uk-UA"/>
              </w:rPr>
            </w:pPr>
            <w:r>
              <w:rPr>
                <w:rFonts w:ascii="Times New Roman" w:eastAsia="Calibri" w:hAnsi="Times New Roman" w:cs="Times New Roman"/>
                <w:sz w:val="20"/>
                <w:szCs w:val="20"/>
                <w:lang w:val="uk-UA"/>
              </w:rPr>
              <w:tab/>
              <w:t>(підпис)</w:t>
            </w:r>
            <w:r>
              <w:rPr>
                <w:rFonts w:ascii="Times New Roman" w:eastAsia="Calibri" w:hAnsi="Times New Roman" w:cs="Times New Roman"/>
                <w:sz w:val="20"/>
                <w:szCs w:val="20"/>
                <w:lang w:val="uk-UA"/>
              </w:rPr>
              <w:tab/>
            </w:r>
          </w:p>
        </w:tc>
      </w:tr>
      <w:tr w:rsidR="00094C83" w:rsidTr="00F53037">
        <w:trPr>
          <w:jc w:val="center"/>
        </w:trPr>
        <w:tc>
          <w:tcPr>
            <w:tcW w:w="4817" w:type="dxa"/>
          </w:tcPr>
          <w:p w:rsidR="00094C83" w:rsidRDefault="00094C83" w:rsidP="00F53037">
            <w:pPr>
              <w:tabs>
                <w:tab w:val="left" w:pos="567"/>
              </w:tabs>
              <w:spacing w:after="0" w:line="240" w:lineRule="auto"/>
              <w:ind w:right="-1"/>
              <w:rPr>
                <w:rFonts w:ascii="Times New Roman" w:eastAsia="Calibri" w:hAnsi="Times New Roman" w:cs="Times New Roman"/>
                <w:sz w:val="28"/>
                <w:szCs w:val="28"/>
                <w:lang w:val="uk-UA"/>
              </w:rPr>
            </w:pPr>
          </w:p>
        </w:tc>
        <w:tc>
          <w:tcPr>
            <w:tcW w:w="4537" w:type="dxa"/>
          </w:tcPr>
          <w:p w:rsidR="00094C83" w:rsidRDefault="00094C83" w:rsidP="00F53037">
            <w:pPr>
              <w:tabs>
                <w:tab w:val="left" w:pos="567"/>
              </w:tabs>
              <w:spacing w:after="0" w:line="240" w:lineRule="auto"/>
              <w:ind w:right="-1"/>
              <w:rPr>
                <w:rFonts w:ascii="Times New Roman" w:eastAsia="Calibri" w:hAnsi="Times New Roman" w:cs="Times New Roman"/>
                <w:sz w:val="28"/>
                <w:szCs w:val="28"/>
                <w:lang w:val="uk-UA"/>
              </w:rPr>
            </w:pPr>
          </w:p>
        </w:tc>
      </w:tr>
    </w:tbl>
    <w:p w:rsidR="00094C83" w:rsidRDefault="00094C83" w:rsidP="00094C83">
      <w:pPr>
        <w:tabs>
          <w:tab w:val="left" w:pos="567"/>
        </w:tabs>
        <w:ind w:left="3542" w:right="-1" w:firstLine="706"/>
        <w:rPr>
          <w:rFonts w:ascii="Times New Roman" w:eastAsia="Calibri" w:hAnsi="Times New Roman" w:cs="Times New Roman"/>
          <w:b/>
          <w:sz w:val="28"/>
          <w:szCs w:val="28"/>
          <w:lang w:val="uk-UA"/>
        </w:rPr>
      </w:pPr>
    </w:p>
    <w:p w:rsidR="00094C83" w:rsidRDefault="00094C83" w:rsidP="00094C83">
      <w:pPr>
        <w:tabs>
          <w:tab w:val="left" w:pos="567"/>
        </w:tabs>
        <w:ind w:left="3542" w:right="-1" w:firstLine="706"/>
        <w:rPr>
          <w:rFonts w:ascii="Times New Roman" w:eastAsia="Calibri" w:hAnsi="Times New Roman" w:cs="Times New Roman"/>
          <w:b/>
          <w:sz w:val="28"/>
          <w:szCs w:val="28"/>
          <w:lang w:val="uk-UA"/>
        </w:rPr>
      </w:pPr>
    </w:p>
    <w:p w:rsidR="00094C83" w:rsidRDefault="00094C83" w:rsidP="00094C83">
      <w:pPr>
        <w:tabs>
          <w:tab w:val="left" w:pos="567"/>
        </w:tabs>
        <w:ind w:left="3542" w:right="-1" w:firstLine="706"/>
        <w:rPr>
          <w:rFonts w:ascii="Times New Roman" w:eastAsia="Calibri" w:hAnsi="Times New Roman" w:cs="Times New Roman"/>
          <w:b/>
          <w:sz w:val="28"/>
          <w:szCs w:val="28"/>
          <w:lang w:val="uk-UA"/>
        </w:rPr>
        <w:sectPr w:rsidR="00094C83">
          <w:pgSz w:w="11906" w:h="16838"/>
          <w:pgMar w:top="1134" w:right="707" w:bottom="1134" w:left="1418" w:header="709" w:footer="709" w:gutter="0"/>
          <w:cols w:space="720"/>
        </w:sectPr>
      </w:pPr>
      <w:r>
        <w:rPr>
          <w:rFonts w:ascii="Times New Roman" w:eastAsia="Calibri" w:hAnsi="Times New Roman" w:cs="Times New Roman"/>
          <w:b/>
          <w:sz w:val="28"/>
          <w:szCs w:val="28"/>
          <w:lang w:val="uk-UA"/>
        </w:rPr>
        <w:t>Одеса – 2022</w:t>
      </w:r>
    </w:p>
    <w:p w:rsidR="00094C83" w:rsidRDefault="00094C83" w:rsidP="00094C83">
      <w:pPr>
        <w:tabs>
          <w:tab w:val="left" w:pos="567"/>
          <w:tab w:val="left" w:pos="9639"/>
        </w:tabs>
        <w:spacing w:after="0" w:line="360" w:lineRule="auto"/>
        <w:ind w:left="-567" w:right="-1" w:firstLine="567"/>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ЗМІСТ</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ВСТУП</w:t>
      </w:r>
      <w:r>
        <w:rPr>
          <w:rFonts w:ascii="Times New Roman" w:eastAsia="Times New Roman" w:hAnsi="Times New Roman" w:cs="Times New Roman"/>
          <w:sz w:val="28"/>
          <w:szCs w:val="28"/>
          <w:lang w:val="uk-UA" w:eastAsia="ru-RU"/>
        </w:rPr>
        <w:tab/>
        <w:t>……….. 4</w:t>
      </w:r>
    </w:p>
    <w:p w:rsidR="00094C83" w:rsidRDefault="00094C83" w:rsidP="00094C83">
      <w:pPr>
        <w:widowControl w:val="0"/>
        <w:tabs>
          <w:tab w:val="left" w:pos="567"/>
          <w:tab w:val="right" w:leader="dot" w:pos="9072"/>
          <w:tab w:val="left" w:pos="9639"/>
        </w:tabs>
        <w:spacing w:after="200" w:line="360" w:lineRule="auto"/>
        <w:ind w:right="-1"/>
        <w:rPr>
          <w:rFonts w:ascii="Times New Roman" w:hAnsi="Times New Roman" w:cs="Times New Roman"/>
          <w:b/>
          <w:sz w:val="28"/>
          <w:szCs w:val="28"/>
          <w:lang w:val="uk-UA"/>
        </w:rPr>
      </w:pPr>
      <w:r>
        <w:rPr>
          <w:rFonts w:ascii="Times New Roman" w:eastAsia="Calibri" w:hAnsi="Times New Roman" w:cs="Times New Roman"/>
          <w:b/>
          <w:sz w:val="28"/>
          <w:szCs w:val="28"/>
          <w:lang w:val="uk-UA"/>
        </w:rPr>
        <w:t xml:space="preserve">РОЗДІЛ 1. </w:t>
      </w:r>
      <w:r>
        <w:rPr>
          <w:rFonts w:ascii="Times New Roman" w:hAnsi="Times New Roman" w:cs="Times New Roman"/>
          <w:b/>
          <w:sz w:val="28"/>
          <w:szCs w:val="28"/>
          <w:lang w:val="uk-UA"/>
        </w:rPr>
        <w:t>ТЕОРЕТИЧНІ ПРОБЛЕМИ АНАЛІЗУ ЗМІСТУ ТА</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b/>
          <w:sz w:val="28"/>
          <w:szCs w:val="28"/>
          <w:lang w:val="uk-UA"/>
        </w:rPr>
      </w:pPr>
      <w:r>
        <w:rPr>
          <w:rFonts w:ascii="Times New Roman" w:hAnsi="Times New Roman" w:cs="Times New Roman"/>
          <w:b/>
          <w:sz w:val="28"/>
          <w:szCs w:val="28"/>
          <w:lang w:val="uk-UA"/>
        </w:rPr>
        <w:t xml:space="preserve"> ПРАКТИКИ СУЧАСНОГО ЄВРОСКЕПТИЦИЗМУ…………………..</w:t>
      </w:r>
      <w:r>
        <w:rPr>
          <w:rFonts w:ascii="Times New Roman" w:eastAsia="Calibri" w:hAnsi="Times New Roman" w:cs="Times New Roman"/>
          <w:sz w:val="28"/>
          <w:szCs w:val="28"/>
          <w:lang w:val="uk-UA"/>
        </w:rPr>
        <w:t xml:space="preserve">  7</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1.1. </w:t>
      </w:r>
      <w:r>
        <w:rPr>
          <w:rFonts w:ascii="Times New Roman" w:hAnsi="Times New Roman" w:cs="Times New Roman"/>
          <w:sz w:val="28"/>
          <w:szCs w:val="28"/>
          <w:lang w:val="uk-UA"/>
        </w:rPr>
        <w:t>Євроскептицизм: поняття, зміст та різновиди. Співвідношення з консерватизмом та націонал-популізмом: науковий дискурс</w:t>
      </w:r>
      <w:r>
        <w:rPr>
          <w:rFonts w:ascii="Times New Roman" w:eastAsia="Calibri" w:hAnsi="Times New Roman" w:cs="Times New Roman"/>
          <w:sz w:val="28"/>
          <w:szCs w:val="28"/>
          <w:lang w:val="uk-UA"/>
        </w:rPr>
        <w:tab/>
        <w:t>7</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1.2. </w:t>
      </w:r>
      <w:r>
        <w:rPr>
          <w:rFonts w:ascii="Times New Roman" w:hAnsi="Times New Roman" w:cs="Times New Roman"/>
          <w:sz w:val="28"/>
          <w:szCs w:val="28"/>
          <w:lang w:val="uk-UA"/>
        </w:rPr>
        <w:t>Причини та чинники зростання євроскептицизму  в останні роки</w:t>
      </w:r>
      <w:r>
        <w:rPr>
          <w:rFonts w:ascii="Times New Roman" w:eastAsia="Calibri" w:hAnsi="Times New Roman" w:cs="Times New Roman"/>
          <w:sz w:val="28"/>
          <w:szCs w:val="28"/>
          <w:lang w:val="uk-UA"/>
        </w:rPr>
        <w:tab/>
        <w:t>19</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hAnsi="Times New Roman" w:cs="Times New Roman"/>
          <w:sz w:val="28"/>
          <w:szCs w:val="28"/>
          <w:lang w:val="uk-UA"/>
        </w:rPr>
        <w:t>1.3 Вибори в Європейський парламент як свідчення зростання євроскептицизму…..</w:t>
      </w:r>
      <w:r>
        <w:rPr>
          <w:rFonts w:ascii="Times New Roman" w:eastAsia="Calibri" w:hAnsi="Times New Roman" w:cs="Times New Roman"/>
          <w:sz w:val="28"/>
          <w:szCs w:val="28"/>
          <w:lang w:val="uk-UA"/>
        </w:rPr>
        <w:tab/>
        <w:t>23</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 до розділу 1</w:t>
      </w:r>
      <w:r>
        <w:rPr>
          <w:rFonts w:ascii="Times New Roman" w:eastAsia="Times New Roman" w:hAnsi="Times New Roman" w:cs="Times New Roman"/>
          <w:sz w:val="28"/>
          <w:szCs w:val="28"/>
          <w:lang w:val="uk-UA" w:eastAsia="ru-RU"/>
        </w:rPr>
        <w:tab/>
        <w:t>30</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Розділ 2. </w:t>
      </w:r>
      <w:r>
        <w:rPr>
          <w:rFonts w:ascii="Times New Roman" w:hAnsi="Times New Roman" w:cs="Times New Roman"/>
          <w:b/>
          <w:sz w:val="28"/>
          <w:szCs w:val="28"/>
          <w:lang w:val="uk-UA"/>
        </w:rPr>
        <w:t xml:space="preserve"> ЄВРОПЕЙСЬКА ПРАКТИКА ЄВРОСКЕПТИЦИЗМУ: СУЧАСНИЙ СТАН</w:t>
      </w:r>
      <w:r>
        <w:rPr>
          <w:rFonts w:ascii="Times New Roman" w:eastAsia="Times New Roman" w:hAnsi="Times New Roman" w:cs="Times New Roman"/>
          <w:sz w:val="28"/>
          <w:szCs w:val="28"/>
          <w:lang w:val="uk-UA" w:eastAsia="ru-RU"/>
        </w:rPr>
        <w:tab/>
        <w:t>32</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2.1. Велика Британія.</w:t>
      </w:r>
      <w:r>
        <w:rPr>
          <w:rFonts w:ascii="Times New Roman" w:eastAsia="Times New Roman" w:hAnsi="Times New Roman" w:cs="Times New Roman"/>
          <w:sz w:val="28"/>
          <w:szCs w:val="28"/>
          <w:lang w:val="uk-UA" w:eastAsia="ru-RU"/>
        </w:rPr>
        <w:tab/>
        <w:t>32</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 Італія.</w:t>
      </w:r>
      <w:r>
        <w:rPr>
          <w:rFonts w:ascii="Times New Roman" w:eastAsia="Times New Roman" w:hAnsi="Times New Roman" w:cs="Times New Roman"/>
          <w:sz w:val="28"/>
          <w:szCs w:val="28"/>
          <w:lang w:val="uk-UA" w:eastAsia="ru-RU"/>
        </w:rPr>
        <w:tab/>
        <w:t>34</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 Франція.</w:t>
      </w:r>
      <w:r>
        <w:rPr>
          <w:rFonts w:ascii="Times New Roman" w:eastAsia="Times New Roman" w:hAnsi="Times New Roman" w:cs="Times New Roman"/>
          <w:sz w:val="28"/>
          <w:szCs w:val="28"/>
          <w:lang w:val="uk-UA" w:eastAsia="ru-RU"/>
        </w:rPr>
        <w:tab/>
        <w:t>36</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2.4. Греція.</w:t>
      </w:r>
      <w:r>
        <w:rPr>
          <w:rFonts w:ascii="Times New Roman" w:eastAsia="Times New Roman" w:hAnsi="Times New Roman" w:cs="Times New Roman"/>
          <w:sz w:val="28"/>
          <w:szCs w:val="28"/>
          <w:lang w:val="uk-UA" w:eastAsia="ru-RU"/>
        </w:rPr>
        <w:tab/>
        <w:t>40</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 Німеччина.</w:t>
      </w:r>
      <w:r>
        <w:rPr>
          <w:rFonts w:ascii="Times New Roman" w:eastAsia="Times New Roman" w:hAnsi="Times New Roman" w:cs="Times New Roman"/>
          <w:sz w:val="28"/>
          <w:szCs w:val="28"/>
          <w:lang w:val="uk-UA" w:eastAsia="ru-RU"/>
        </w:rPr>
        <w:tab/>
        <w:t>45</w:t>
      </w:r>
    </w:p>
    <w:p w:rsidR="00094C83" w:rsidRDefault="00094C83" w:rsidP="00094C83">
      <w:pPr>
        <w:widowControl w:val="0"/>
        <w:tabs>
          <w:tab w:val="left" w:pos="567"/>
          <w:tab w:val="right" w:leader="dot" w:pos="9072"/>
          <w:tab w:val="left" w:pos="9639"/>
        </w:tabs>
        <w:spacing w:after="0" w:line="360" w:lineRule="auto"/>
        <w:ind w:right="-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2.6. Іспанія.</w:t>
      </w:r>
      <w:r>
        <w:rPr>
          <w:rFonts w:ascii="Times New Roman" w:eastAsia="Times New Roman" w:hAnsi="Times New Roman" w:cs="Times New Roman"/>
          <w:sz w:val="28"/>
          <w:szCs w:val="28"/>
          <w:lang w:val="uk-UA" w:eastAsia="ru-RU"/>
        </w:rPr>
        <w:tab/>
        <w:t>48</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розділу 2</w:t>
      </w:r>
      <w:r>
        <w:rPr>
          <w:rFonts w:ascii="Times New Roman" w:eastAsia="Calibri" w:hAnsi="Times New Roman" w:cs="Times New Roman"/>
          <w:sz w:val="28"/>
          <w:szCs w:val="28"/>
          <w:lang w:val="uk-UA"/>
        </w:rPr>
        <w:tab/>
        <w:t>52</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РОЗДІЛ 3.</w:t>
      </w:r>
      <w:r>
        <w:rPr>
          <w:rFonts w:ascii="Times New Roman" w:hAnsi="Times New Roman" w:cs="Times New Roman"/>
          <w:b/>
          <w:sz w:val="28"/>
          <w:szCs w:val="28"/>
          <w:lang w:val="uk-UA"/>
        </w:rPr>
        <w:t>ВПЛИВ  ЄВРОСКЕПТИЦИЗМУ НА ПРОЦЕСИ ЄВРОПЕЙСЬКОЇ ІНТЕГРАЦІЇ ТА ПЕРСПЕКТИВИ  УКРАЇНИ</w:t>
      </w:r>
      <w:r>
        <w:rPr>
          <w:rFonts w:ascii="Times New Roman" w:eastAsia="Calibri" w:hAnsi="Times New Roman" w:cs="Times New Roman"/>
          <w:sz w:val="28"/>
          <w:szCs w:val="28"/>
          <w:lang w:val="uk-UA"/>
        </w:rPr>
        <w:tab/>
        <w:t>…..54</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3.1. </w:t>
      </w:r>
      <w:r>
        <w:rPr>
          <w:rFonts w:ascii="Times New Roman" w:hAnsi="Times New Roman" w:cs="Times New Roman"/>
          <w:sz w:val="28"/>
          <w:szCs w:val="28"/>
          <w:lang w:val="uk-UA"/>
        </w:rPr>
        <w:t>Євроскептицизм як виклик в євроінтеграційних прагненнях України….</w:t>
      </w:r>
      <w:r>
        <w:rPr>
          <w:rFonts w:ascii="Times New Roman" w:eastAsia="Calibri" w:hAnsi="Times New Roman" w:cs="Times New Roman"/>
          <w:sz w:val="28"/>
          <w:szCs w:val="28"/>
          <w:lang w:val="uk-UA"/>
        </w:rPr>
        <w:tab/>
        <w:t>54</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r>
        <w:rPr>
          <w:rFonts w:ascii="Times New Roman" w:eastAsia="Calibri" w:hAnsi="Times New Roman" w:cs="Times New Roman"/>
          <w:b/>
          <w:sz w:val="28"/>
          <w:szCs w:val="28"/>
          <w:lang w:val="uk-UA"/>
        </w:rPr>
        <w:t> </w:t>
      </w:r>
      <w:r>
        <w:rPr>
          <w:rFonts w:ascii="Times New Roman" w:hAnsi="Times New Roman" w:cs="Times New Roman"/>
          <w:sz w:val="28"/>
          <w:szCs w:val="28"/>
          <w:lang w:val="uk-UA"/>
        </w:rPr>
        <w:t>Особливості прояву євроскептицизму в Україні</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ab/>
        <w:t>61</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розділу 3</w:t>
      </w:r>
      <w:r>
        <w:rPr>
          <w:rFonts w:ascii="Times New Roman" w:eastAsia="Calibri" w:hAnsi="Times New Roman" w:cs="Times New Roman"/>
          <w:sz w:val="28"/>
          <w:szCs w:val="28"/>
          <w:lang w:val="uk-UA"/>
        </w:rPr>
        <w:tab/>
        <w:t>64</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ВИСНОВКИ </w:t>
      </w:r>
      <w:r>
        <w:rPr>
          <w:rFonts w:ascii="Times New Roman" w:eastAsia="Calibri" w:hAnsi="Times New Roman" w:cs="Times New Roman"/>
          <w:sz w:val="28"/>
          <w:szCs w:val="28"/>
          <w:lang w:val="uk-UA"/>
        </w:rPr>
        <w:tab/>
        <w:t>65</w:t>
      </w:r>
    </w:p>
    <w:p w:rsidR="00094C83" w:rsidRDefault="00094C83" w:rsidP="00094C83">
      <w:pPr>
        <w:widowControl w:val="0"/>
        <w:tabs>
          <w:tab w:val="left" w:pos="567"/>
          <w:tab w:val="right" w:leader="dot" w:pos="9072"/>
          <w:tab w:val="left" w:pos="9639"/>
        </w:tabs>
        <w:spacing w:after="200" w:line="360" w:lineRule="auto"/>
        <w:ind w:right="-1"/>
        <w:rPr>
          <w:rFonts w:ascii="Times New Roman" w:eastAsia="Calibri" w:hAnsi="Times New Roman" w:cs="Times New Roman"/>
          <w:sz w:val="28"/>
          <w:szCs w:val="28"/>
          <w:lang w:val="uk-UA"/>
        </w:rPr>
        <w:sectPr w:rsidR="00094C83">
          <w:pgSz w:w="11906" w:h="16838"/>
          <w:pgMar w:top="1134" w:right="707" w:bottom="1134" w:left="1418" w:header="709" w:footer="709" w:gutter="0"/>
          <w:cols w:space="720"/>
        </w:sectPr>
      </w:pPr>
      <w:r>
        <w:rPr>
          <w:rFonts w:ascii="Times New Roman" w:eastAsia="Calibri" w:hAnsi="Times New Roman" w:cs="Times New Roman"/>
          <w:b/>
          <w:sz w:val="28"/>
          <w:szCs w:val="28"/>
          <w:lang w:val="uk-UA"/>
        </w:rPr>
        <w:lastRenderedPageBreak/>
        <w:t xml:space="preserve">СПИСОК ВИКОРИСТАНИХ ДЖЕРЕЛ </w:t>
      </w:r>
      <w:r>
        <w:rPr>
          <w:rFonts w:ascii="Times New Roman" w:eastAsia="Calibri" w:hAnsi="Times New Roman" w:cs="Times New Roman"/>
          <w:sz w:val="28"/>
          <w:szCs w:val="28"/>
          <w:lang w:val="uk-UA"/>
        </w:rPr>
        <w:tab/>
        <w:t>69</w:t>
      </w:r>
    </w:p>
    <w:p w:rsidR="00094C83" w:rsidRDefault="00094C83" w:rsidP="00094C83">
      <w:pPr>
        <w:widowControl w:val="0"/>
        <w:tabs>
          <w:tab w:val="left" w:pos="567"/>
          <w:tab w:val="right" w:leader="dot" w:pos="9072"/>
        </w:tabs>
        <w:spacing w:after="200"/>
        <w:ind w:right="-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094C83" w:rsidRDefault="00094C83" w:rsidP="00094C83">
      <w:pPr>
        <w:widowControl w:val="0"/>
        <w:tabs>
          <w:tab w:val="right" w:leader="dot" w:pos="9072"/>
        </w:tabs>
        <w:spacing w:after="200" w:line="360" w:lineRule="auto"/>
        <w:ind w:right="-1"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Євроскептицизм як поняття, як явище сучасної практики, як ідеологічний концепт деяких європейських партій, не є новим, однак в останні роки він зайняв значне місце у політичному та науковому дискурсах, особливо після світової економічної кризи,  яка   зворушила соціально-економічну модель розвитку Євросоюзу.        </w:t>
      </w:r>
    </w:p>
    <w:p w:rsidR="00094C83" w:rsidRDefault="00094C83" w:rsidP="00094C83">
      <w:pPr>
        <w:widowControl w:val="0"/>
        <w:tabs>
          <w:tab w:val="right" w:leader="dot" w:pos="9072"/>
        </w:tabs>
        <w:spacing w:after="20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Проблеми євроскептицизму пов’язана ще із тим, що це одна зі сучасних форм опозиції діяльності Європейського Союзу, відповідно до якої її прихильники фокусуються на ідеях, думках, діях, що спрямовані на сумнів, критику, неприйняття, зневіру стосовно або всього Європейського Союзу, або певної його політики чи діяльності конкретного інституту тощо. </w:t>
      </w:r>
    </w:p>
    <w:p w:rsidR="00094C83" w:rsidRDefault="00094C83" w:rsidP="00094C83">
      <w:pPr>
        <w:widowControl w:val="0"/>
        <w:tabs>
          <w:tab w:val="left" w:pos="567"/>
          <w:tab w:val="right" w:leader="dot" w:pos="9072"/>
        </w:tabs>
        <w:spacing w:after="20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Популярність євроскептицизму прямо пов’язана з трьома тенденціями – популізмом, відходом від ліберальних цінностей та зростанням рейтингів лівих сил. </w:t>
      </w:r>
      <w:r>
        <w:rPr>
          <w:rFonts w:ascii="Times New Roman" w:hAnsi="Times New Roman" w:cs="Times New Roman"/>
          <w:sz w:val="28"/>
          <w:szCs w:val="28"/>
        </w:rPr>
        <w:t xml:space="preserve">Важливою тенденцією останніх років стала криза європейської ідентичності, ґрунтованої на ліберальних цінностях. Ця криза втілилась у посиленні політичних рухівєвроскептиків, що критикують засади об’єднаної Європи, протистоять будь-яким силам, що ставлять під сумнів національну самобутність країн-членів. </w:t>
      </w:r>
    </w:p>
    <w:p w:rsidR="00094C83" w:rsidRDefault="00094C83" w:rsidP="00094C83">
      <w:pPr>
        <w:widowControl w:val="0"/>
        <w:tabs>
          <w:tab w:val="left" w:pos="567"/>
          <w:tab w:val="right" w:leader="dot" w:pos="9072"/>
        </w:tabs>
        <w:spacing w:after="200" w:line="360" w:lineRule="auto"/>
        <w:ind w:right="-1" w:firstLine="709"/>
        <w:jc w:val="both"/>
        <w:rPr>
          <w:rFonts w:ascii="Times New Roman" w:hAnsi="Times New Roman" w:cs="Times New Roman"/>
          <w:color w:val="FF0000"/>
          <w:sz w:val="28"/>
          <w:szCs w:val="28"/>
          <w:lang w:val="uk-UA"/>
        </w:rPr>
      </w:pPr>
      <w:r>
        <w:rPr>
          <w:rFonts w:ascii="Times New Roman" w:hAnsi="Times New Roman" w:cs="Times New Roman"/>
          <w:sz w:val="28"/>
          <w:szCs w:val="28"/>
        </w:rPr>
        <w:t xml:space="preserve">Сучасні дослідники констатують, що перед європейськими державами на початку 1950–х рр. постав виклик створення нового типу міжнародної організації, яка передбачала </w:t>
      </w:r>
      <w:r>
        <w:rPr>
          <w:rFonts w:ascii="Times New Roman" w:hAnsi="Times New Roman" w:cs="Times New Roman"/>
          <w:sz w:val="28"/>
          <w:szCs w:val="28"/>
          <w:lang w:val="uk-UA"/>
        </w:rPr>
        <w:t>такі</w:t>
      </w:r>
      <w:r>
        <w:rPr>
          <w:rFonts w:ascii="Times New Roman" w:hAnsi="Times New Roman" w:cs="Times New Roman"/>
          <w:sz w:val="28"/>
          <w:szCs w:val="28"/>
        </w:rPr>
        <w:t xml:space="preserve"> тісні стосунки між її членами. При цьому суспільства різних країн побоювалося інколи протилежних наслідків інтеграційних процесів. З одного боку, перед ними з’явилася проблема збереження національного суверенітету, з іншого − існувала боязнь моноцентричного керівництва ключових держав–засновниць нового</w:t>
      </w:r>
      <w:r>
        <w:rPr>
          <w:rFonts w:ascii="Times New Roman" w:hAnsi="Times New Roman" w:cs="Times New Roman"/>
          <w:sz w:val="28"/>
          <w:szCs w:val="28"/>
          <w:lang w:val="uk-UA"/>
        </w:rPr>
        <w:t xml:space="preserve"> обʼєднання</w:t>
      </w:r>
      <w:r>
        <w:rPr>
          <w:rFonts w:ascii="Times New Roman" w:hAnsi="Times New Roman" w:cs="Times New Roman"/>
          <w:color w:val="FF0000"/>
          <w:sz w:val="28"/>
          <w:szCs w:val="28"/>
          <w:lang w:val="uk-UA"/>
        </w:rPr>
        <w:t>.</w:t>
      </w:r>
    </w:p>
    <w:p w:rsidR="00094C83" w:rsidRPr="0041547E" w:rsidRDefault="00094C83" w:rsidP="00094C83">
      <w:pPr>
        <w:widowControl w:val="0"/>
        <w:tabs>
          <w:tab w:val="left" w:pos="567"/>
          <w:tab w:val="right" w:leader="dot" w:pos="9072"/>
        </w:tabs>
        <w:spacing w:after="20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Зазначена </w:t>
      </w:r>
      <w:r w:rsidRPr="0041547E">
        <w:rPr>
          <w:rFonts w:ascii="Times New Roman" w:hAnsi="Times New Roman" w:cs="Times New Roman"/>
          <w:sz w:val="28"/>
          <w:szCs w:val="28"/>
          <w:lang w:val="uk-UA"/>
        </w:rPr>
        <w:t>пробл</w:t>
      </w:r>
      <w:r>
        <w:rPr>
          <w:rFonts w:ascii="Times New Roman" w:hAnsi="Times New Roman" w:cs="Times New Roman"/>
          <w:sz w:val="28"/>
          <w:szCs w:val="28"/>
          <w:lang w:val="uk-UA"/>
        </w:rPr>
        <w:t xml:space="preserve">ема зростання євроскептицизму стає вкрай актуальною для України, враховуючи її зовнішньополітичну стратегію, визначену в </w:t>
      </w:r>
      <w:r>
        <w:rPr>
          <w:rFonts w:ascii="Times New Roman" w:hAnsi="Times New Roman" w:cs="Times New Roman"/>
          <w:sz w:val="28"/>
          <w:szCs w:val="28"/>
          <w:lang w:val="uk-UA"/>
        </w:rPr>
        <w:lastRenderedPageBreak/>
        <w:t>Конституції та сучасний стан російсько-української війни, спричинившої масову вимушену міграцію українських громадян в Європу, наслідки якої поки що важко осягнути.</w:t>
      </w:r>
    </w:p>
    <w:p w:rsidR="00094C83" w:rsidRDefault="00094C83" w:rsidP="00094C83">
      <w:pPr>
        <w:tabs>
          <w:tab w:val="left" w:pos="567"/>
        </w:tabs>
        <w:spacing w:line="360" w:lineRule="auto"/>
        <w:ind w:right="-1" w:firstLine="709"/>
        <w:jc w:val="both"/>
        <w:rPr>
          <w:rFonts w:ascii="Times New Roman" w:hAnsi="Times New Roman" w:cs="Times New Roman"/>
          <w:color w:val="FF0000"/>
          <w:sz w:val="28"/>
          <w:szCs w:val="28"/>
          <w:lang w:val="uk-UA"/>
        </w:rPr>
      </w:pPr>
      <w:r>
        <w:rPr>
          <w:rFonts w:ascii="Times New Roman" w:hAnsi="Times New Roman" w:cs="Times New Roman"/>
          <w:b/>
          <w:sz w:val="28"/>
          <w:szCs w:val="28"/>
          <w:lang w:val="uk-UA"/>
        </w:rPr>
        <w:t>Метою</w:t>
      </w:r>
      <w:r>
        <w:rPr>
          <w:rFonts w:ascii="Times New Roman" w:hAnsi="Times New Roman" w:cs="Times New Roman"/>
          <w:sz w:val="28"/>
          <w:szCs w:val="28"/>
          <w:lang w:val="uk-UA"/>
        </w:rPr>
        <w:t>кваліфікаційної роботиє описати та проаналізувати сутність явища та   рух євроскептиків у країнах ЄС, їх ідеологічні підстави та практичні дії як відповідь на процес європейської інтеграції, що поглиблюється.</w:t>
      </w:r>
    </w:p>
    <w:p w:rsidR="00094C83" w:rsidRDefault="00094C83" w:rsidP="00094C83">
      <w:pPr>
        <w:tabs>
          <w:tab w:val="left" w:pos="567"/>
        </w:tabs>
        <w:spacing w:line="360" w:lineRule="auto"/>
        <w:ind w:right="-1" w:firstLine="709"/>
        <w:jc w:val="both"/>
        <w:rPr>
          <w:rFonts w:ascii="Times New Roman" w:hAnsi="Times New Roman" w:cs="Times New Roman"/>
          <w:sz w:val="28"/>
          <w:szCs w:val="28"/>
        </w:rPr>
      </w:pPr>
      <w:r>
        <w:rPr>
          <w:rFonts w:ascii="Times New Roman" w:hAnsi="Times New Roman" w:cs="Times New Roman"/>
          <w:sz w:val="28"/>
          <w:szCs w:val="28"/>
          <w:lang w:val="uk-UA"/>
        </w:rPr>
        <w:t>Д</w:t>
      </w:r>
      <w:r>
        <w:rPr>
          <w:rFonts w:ascii="Times New Roman" w:hAnsi="Times New Roman" w:cs="Times New Roman"/>
          <w:sz w:val="28"/>
          <w:szCs w:val="28"/>
        </w:rPr>
        <w:t xml:space="preserve">осягнення </w:t>
      </w:r>
      <w:r>
        <w:rPr>
          <w:rFonts w:ascii="Times New Roman" w:hAnsi="Times New Roman" w:cs="Times New Roman"/>
          <w:sz w:val="28"/>
          <w:szCs w:val="28"/>
          <w:lang w:val="uk-UA"/>
        </w:rPr>
        <w:t xml:space="preserve">мети обумовило виришення </w:t>
      </w:r>
      <w:r>
        <w:rPr>
          <w:rFonts w:ascii="Times New Roman" w:hAnsi="Times New Roman" w:cs="Times New Roman"/>
          <w:b/>
          <w:sz w:val="28"/>
          <w:szCs w:val="28"/>
          <w:lang w:val="uk-UA"/>
        </w:rPr>
        <w:t>наступних завдань</w:t>
      </w:r>
      <w:r>
        <w:rPr>
          <w:rFonts w:ascii="Times New Roman" w:hAnsi="Times New Roman" w:cs="Times New Roman"/>
          <w:sz w:val="28"/>
          <w:szCs w:val="28"/>
        </w:rPr>
        <w:t>:</w:t>
      </w:r>
    </w:p>
    <w:p w:rsidR="00094C83" w:rsidRDefault="00094C83" w:rsidP="00094C83">
      <w:pPr>
        <w:pStyle w:val="a3"/>
        <w:numPr>
          <w:ilvl w:val="0"/>
          <w:numId w:val="1"/>
        </w:numPr>
        <w:tabs>
          <w:tab w:val="left" w:pos="567"/>
        </w:tabs>
        <w:spacing w:before="0"/>
        <w:ind w:right="-1" w:firstLine="709"/>
        <w:rPr>
          <w:rFonts w:ascii="Times New Roman" w:hAnsi="Times New Roman" w:cs="Times New Roman"/>
          <w:sz w:val="28"/>
          <w:szCs w:val="28"/>
        </w:rPr>
      </w:pPr>
      <w:r>
        <w:rPr>
          <w:rFonts w:ascii="Times New Roman" w:hAnsi="Times New Roman" w:cs="Times New Roman"/>
          <w:sz w:val="28"/>
          <w:szCs w:val="28"/>
          <w:lang w:val="uk-UA"/>
        </w:rPr>
        <w:t xml:space="preserve">на основі вивчення здобутків науковців та політиків проаналізувати зміст поняття «євроскептицизм» та його різновидів;  </w:t>
      </w:r>
    </w:p>
    <w:p w:rsidR="00094C83" w:rsidRDefault="00094C83" w:rsidP="00094C83">
      <w:pPr>
        <w:pStyle w:val="a3"/>
        <w:numPr>
          <w:ilvl w:val="0"/>
          <w:numId w:val="1"/>
        </w:numPr>
        <w:tabs>
          <w:tab w:val="left" w:pos="567"/>
        </w:tabs>
        <w:spacing w:before="0"/>
        <w:ind w:left="0" w:right="-1" w:firstLine="709"/>
        <w:rPr>
          <w:rFonts w:ascii="Times New Roman" w:hAnsi="Times New Roman" w:cs="Times New Roman"/>
          <w:sz w:val="28"/>
          <w:szCs w:val="28"/>
        </w:rPr>
      </w:pPr>
      <w:r>
        <w:rPr>
          <w:rFonts w:ascii="Times New Roman" w:hAnsi="Times New Roman" w:cs="Times New Roman"/>
          <w:sz w:val="28"/>
          <w:szCs w:val="28"/>
          <w:lang w:val="uk-UA"/>
        </w:rPr>
        <w:t xml:space="preserve">зʼясувати співвідношення  з консерватизмом та націонал-популізмом; </w:t>
      </w:r>
    </w:p>
    <w:p w:rsidR="00094C83" w:rsidRDefault="00094C83" w:rsidP="00094C83">
      <w:pPr>
        <w:pStyle w:val="a3"/>
        <w:numPr>
          <w:ilvl w:val="0"/>
          <w:numId w:val="1"/>
        </w:numPr>
        <w:tabs>
          <w:tab w:val="left" w:pos="567"/>
        </w:tabs>
        <w:spacing w:before="0"/>
        <w:ind w:right="-1" w:firstLine="709"/>
        <w:rPr>
          <w:rFonts w:ascii="Times New Roman" w:hAnsi="Times New Roman" w:cs="Times New Roman"/>
          <w:sz w:val="28"/>
          <w:szCs w:val="28"/>
        </w:rPr>
      </w:pPr>
      <w:r>
        <w:rPr>
          <w:rFonts w:ascii="Times New Roman" w:hAnsi="Times New Roman" w:cs="Times New Roman"/>
          <w:sz w:val="28"/>
          <w:szCs w:val="28"/>
        </w:rPr>
        <w:t xml:space="preserve">описати його витоки та </w:t>
      </w:r>
      <w:r>
        <w:rPr>
          <w:rFonts w:ascii="Times New Roman" w:hAnsi="Times New Roman" w:cs="Times New Roman"/>
          <w:sz w:val="28"/>
          <w:szCs w:val="28"/>
          <w:lang w:val="uk-UA"/>
        </w:rPr>
        <w:t>розвиток у європейській практиці сьогодення</w:t>
      </w:r>
      <w:r>
        <w:rPr>
          <w:rFonts w:ascii="Times New Roman" w:hAnsi="Times New Roman" w:cs="Times New Roman"/>
          <w:sz w:val="28"/>
          <w:szCs w:val="28"/>
        </w:rPr>
        <w:t>;</w:t>
      </w:r>
    </w:p>
    <w:p w:rsidR="00094C83" w:rsidRDefault="00094C83" w:rsidP="00094C83">
      <w:pPr>
        <w:pStyle w:val="a3"/>
        <w:numPr>
          <w:ilvl w:val="0"/>
          <w:numId w:val="1"/>
        </w:numPr>
        <w:tabs>
          <w:tab w:val="left" w:pos="567"/>
        </w:tabs>
        <w:spacing w:before="0"/>
        <w:ind w:right="-1" w:firstLine="709"/>
        <w:rPr>
          <w:rFonts w:ascii="Times New Roman" w:hAnsi="Times New Roman" w:cs="Times New Roman"/>
          <w:sz w:val="28"/>
          <w:szCs w:val="28"/>
        </w:rPr>
      </w:pPr>
      <w:r>
        <w:rPr>
          <w:rFonts w:ascii="Times New Roman" w:hAnsi="Times New Roman" w:cs="Times New Roman"/>
          <w:sz w:val="28"/>
          <w:szCs w:val="28"/>
          <w:lang w:val="uk-UA"/>
        </w:rPr>
        <w:t xml:space="preserve">надати </w:t>
      </w:r>
      <w:r>
        <w:rPr>
          <w:rFonts w:ascii="Times New Roman" w:hAnsi="Times New Roman" w:cs="Times New Roman"/>
          <w:sz w:val="28"/>
          <w:szCs w:val="28"/>
        </w:rPr>
        <w:t>класифікацію євроскептицизму залежно від ступеня його прояву та середовища поширення</w:t>
      </w:r>
      <w:r>
        <w:rPr>
          <w:rFonts w:ascii="Times New Roman" w:hAnsi="Times New Roman" w:cs="Times New Roman"/>
          <w:sz w:val="28"/>
          <w:szCs w:val="28"/>
          <w:lang w:val="uk-UA"/>
        </w:rPr>
        <w:t>;</w:t>
      </w:r>
    </w:p>
    <w:p w:rsidR="00094C83" w:rsidRDefault="00094C83" w:rsidP="00094C83">
      <w:pPr>
        <w:pStyle w:val="a3"/>
        <w:numPr>
          <w:ilvl w:val="0"/>
          <w:numId w:val="1"/>
        </w:numPr>
        <w:tabs>
          <w:tab w:val="left" w:pos="567"/>
        </w:tabs>
        <w:spacing w:before="0"/>
        <w:ind w:right="-1" w:firstLine="709"/>
        <w:rPr>
          <w:rFonts w:ascii="Times New Roman" w:hAnsi="Times New Roman" w:cs="Times New Roman"/>
          <w:sz w:val="28"/>
          <w:szCs w:val="28"/>
        </w:rPr>
      </w:pPr>
      <w:r>
        <w:rPr>
          <w:rFonts w:ascii="Times New Roman" w:hAnsi="Times New Roman" w:cs="Times New Roman"/>
          <w:sz w:val="28"/>
          <w:szCs w:val="28"/>
        </w:rPr>
        <w:t xml:space="preserve">визначити </w:t>
      </w:r>
      <w:r>
        <w:rPr>
          <w:rFonts w:ascii="Times New Roman" w:hAnsi="Times New Roman" w:cs="Times New Roman"/>
          <w:sz w:val="28"/>
          <w:szCs w:val="28"/>
          <w:lang w:val="uk-UA"/>
        </w:rPr>
        <w:t>причини та чинники зростання євроскептицизму  в останні роки;</w:t>
      </w:r>
    </w:p>
    <w:p w:rsidR="00094C83" w:rsidRDefault="00094C83" w:rsidP="00094C83">
      <w:pPr>
        <w:pStyle w:val="a3"/>
        <w:numPr>
          <w:ilvl w:val="0"/>
          <w:numId w:val="1"/>
        </w:numPr>
        <w:tabs>
          <w:tab w:val="left" w:pos="567"/>
        </w:tabs>
        <w:ind w:right="-1" w:firstLine="709"/>
        <w:rPr>
          <w:rFonts w:ascii="Times New Roman" w:hAnsi="Times New Roman" w:cs="Times New Roman"/>
          <w:sz w:val="28"/>
          <w:szCs w:val="28"/>
        </w:rPr>
      </w:pPr>
      <w:r>
        <w:rPr>
          <w:rFonts w:ascii="Times New Roman" w:hAnsi="Times New Roman" w:cs="Times New Roman"/>
          <w:sz w:val="28"/>
          <w:szCs w:val="28"/>
          <w:lang w:val="uk-UA"/>
        </w:rPr>
        <w:t>проаналізувати вибори в Європейський парламент 2019 р. та підтримку європопулістских партій в окремих державах;</w:t>
      </w:r>
    </w:p>
    <w:p w:rsidR="00094C83" w:rsidRDefault="00094C83" w:rsidP="00094C83">
      <w:pPr>
        <w:pStyle w:val="a3"/>
        <w:numPr>
          <w:ilvl w:val="0"/>
          <w:numId w:val="1"/>
        </w:numPr>
        <w:tabs>
          <w:tab w:val="left" w:pos="567"/>
        </w:tabs>
        <w:ind w:right="-1" w:firstLine="709"/>
        <w:rPr>
          <w:rFonts w:ascii="Times New Roman" w:hAnsi="Times New Roman" w:cs="Times New Roman"/>
          <w:sz w:val="28"/>
          <w:szCs w:val="28"/>
        </w:rPr>
      </w:pPr>
      <w:r>
        <w:rPr>
          <w:rFonts w:ascii="Times New Roman" w:hAnsi="Times New Roman" w:cs="Times New Roman"/>
          <w:sz w:val="28"/>
          <w:szCs w:val="28"/>
          <w:lang w:val="uk-UA"/>
        </w:rPr>
        <w:t>сформулювати власне бачення перспектив євроскептицизму та його впливу на евроінтеграційні прагнення України.</w:t>
      </w:r>
    </w:p>
    <w:p w:rsidR="00094C83" w:rsidRDefault="00094C83" w:rsidP="00094C83">
      <w:pPr>
        <w:pStyle w:val="10"/>
        <w:ind w:right="140" w:firstLine="708"/>
        <w:rPr>
          <w:rFonts w:cstheme="minorBidi"/>
          <w:lang w:val="uk-UA"/>
        </w:rPr>
      </w:pPr>
      <w:r>
        <w:rPr>
          <w:b/>
        </w:rPr>
        <w:t xml:space="preserve">Хронологічні рамки </w:t>
      </w:r>
      <w:r>
        <w:t>досл</w:t>
      </w:r>
      <w:r>
        <w:rPr>
          <w:lang w:val="uk-UA"/>
        </w:rPr>
        <w:t xml:space="preserve">ідження охоплює період з віборів до Європейського парламенту 2009 року до 2022 року, коли Росія почала повномасштабну війну з Україною, та як це вплинуло на інтеграційні процеси країни. </w:t>
      </w:r>
      <w:r>
        <w:t>Найбільша увага зосереджена</w:t>
      </w:r>
      <w:r>
        <w:rPr>
          <w:lang w:val="uk-UA"/>
        </w:rPr>
        <w:t xml:space="preserve"> на аналізі практики відомих євроскептичних партій країн ЄС.</w:t>
      </w:r>
    </w:p>
    <w:p w:rsidR="00094C83" w:rsidRDefault="00094C83" w:rsidP="00094C83">
      <w:pPr>
        <w:widowControl w:val="0"/>
        <w:tabs>
          <w:tab w:val="left" w:pos="567"/>
          <w:tab w:val="right" w:leader="dot" w:pos="9072"/>
        </w:tabs>
        <w:spacing w:after="200" w:line="360" w:lineRule="auto"/>
        <w:ind w:right="-1" w:firstLine="709"/>
        <w:jc w:val="both"/>
        <w:rPr>
          <w:rFonts w:ascii="Times New Roman" w:hAnsi="Times New Roman" w:cs="Times New Roman"/>
          <w:sz w:val="28"/>
          <w:szCs w:val="28"/>
          <w:lang w:val="uk-UA"/>
        </w:rPr>
      </w:pPr>
      <w:r w:rsidRPr="00972DE6">
        <w:rPr>
          <w:rFonts w:ascii="Times New Roman" w:hAnsi="Times New Roman" w:cs="Times New Roman"/>
          <w:i/>
          <w:sz w:val="28"/>
          <w:szCs w:val="28"/>
          <w:lang w:val="uk-UA"/>
        </w:rPr>
        <w:t>Обʼєктом роботи</w:t>
      </w:r>
      <w:r>
        <w:rPr>
          <w:rFonts w:ascii="Times New Roman" w:hAnsi="Times New Roman" w:cs="Times New Roman"/>
          <w:sz w:val="28"/>
          <w:szCs w:val="28"/>
          <w:lang w:val="uk-UA"/>
        </w:rPr>
        <w:t xml:space="preserve"> є сучасний євроскептицизм, який набув широкого розповсюдження в країнах Європейського союзу за останні роки.</w:t>
      </w:r>
    </w:p>
    <w:p w:rsidR="00094C83" w:rsidRDefault="00094C83" w:rsidP="00094C83">
      <w:pPr>
        <w:widowControl w:val="0"/>
        <w:tabs>
          <w:tab w:val="left" w:pos="567"/>
          <w:tab w:val="right" w:leader="dot" w:pos="9072"/>
        </w:tabs>
        <w:spacing w:after="200" w:line="360" w:lineRule="auto"/>
        <w:ind w:right="-1" w:firstLine="709"/>
        <w:jc w:val="both"/>
        <w:rPr>
          <w:rFonts w:ascii="Times New Roman" w:hAnsi="Times New Roman" w:cs="Times New Roman"/>
          <w:sz w:val="28"/>
          <w:szCs w:val="28"/>
          <w:lang w:val="uk-UA"/>
        </w:rPr>
      </w:pPr>
      <w:r w:rsidRPr="00972DE6">
        <w:rPr>
          <w:rFonts w:ascii="Times New Roman" w:hAnsi="Times New Roman" w:cs="Times New Roman"/>
          <w:i/>
          <w:sz w:val="28"/>
          <w:szCs w:val="28"/>
          <w:lang w:val="uk-UA"/>
        </w:rPr>
        <w:lastRenderedPageBreak/>
        <w:t>Предметом є</w:t>
      </w:r>
      <w:r>
        <w:rPr>
          <w:rFonts w:ascii="Times New Roman" w:hAnsi="Times New Roman" w:cs="Times New Roman"/>
          <w:sz w:val="28"/>
          <w:szCs w:val="28"/>
          <w:lang w:val="uk-UA"/>
        </w:rPr>
        <w:t>практика  прояву євроскептицизму у співвідношенні із консерватизмом та націонал – популізмом вдержавах ЄС.</w:t>
      </w:r>
    </w:p>
    <w:p w:rsidR="00094C83" w:rsidRDefault="00094C83" w:rsidP="00094C83">
      <w:pPr>
        <w:widowControl w:val="0"/>
        <w:tabs>
          <w:tab w:val="left" w:pos="567"/>
          <w:tab w:val="right" w:leader="dot" w:pos="9072"/>
        </w:tabs>
        <w:spacing w:after="200" w:line="360" w:lineRule="auto"/>
        <w:ind w:right="-1" w:firstLine="851"/>
        <w:jc w:val="both"/>
        <w:rPr>
          <w:rFonts w:ascii="Times New Roman" w:hAnsi="Times New Roman" w:cs="Times New Roman"/>
          <w:sz w:val="28"/>
          <w:szCs w:val="28"/>
          <w:lang w:val="uk-UA"/>
        </w:rPr>
      </w:pPr>
      <w:r w:rsidRPr="00AE45CB">
        <w:rPr>
          <w:rFonts w:ascii="Times New Roman" w:hAnsi="Times New Roman" w:cs="Times New Roman"/>
          <w:b/>
          <w:sz w:val="28"/>
          <w:szCs w:val="28"/>
          <w:lang w:val="uk-UA"/>
        </w:rPr>
        <w:t>Методологічною основою</w:t>
      </w:r>
      <w:r>
        <w:rPr>
          <w:rFonts w:ascii="Times New Roman" w:hAnsi="Times New Roman" w:cs="Times New Roman"/>
          <w:sz w:val="28"/>
          <w:szCs w:val="28"/>
          <w:lang w:val="uk-UA"/>
        </w:rPr>
        <w:t xml:space="preserve"> кваліфікаційної роботи є</w:t>
      </w:r>
      <w:r w:rsidRPr="00AE45CB">
        <w:rPr>
          <w:rFonts w:ascii="Times New Roman" w:hAnsi="Times New Roman" w:cs="Times New Roman"/>
          <w:sz w:val="28"/>
          <w:szCs w:val="28"/>
          <w:lang w:val="uk-UA"/>
        </w:rPr>
        <w:t xml:space="preserve"> загальнонаукові принципи об’єктивності,  комплексності, системності, критичності, що зумовлює неупереджене ставлення автора до проаналізованих фактів і чинників, дає можливість  об’єктивного співставлення різних думок, поглядів та підходів вчених, формулювання висновків тощо.</w:t>
      </w:r>
      <w:r>
        <w:rPr>
          <w:rFonts w:ascii="Times New Roman" w:hAnsi="Times New Roman" w:cs="Times New Roman"/>
          <w:sz w:val="28"/>
          <w:szCs w:val="28"/>
          <w:lang w:val="uk-UA"/>
        </w:rPr>
        <w:t xml:space="preserve"> Значною мірою застосовувався історичний та порівняльний метод, який дозволив проаналізувати конкретну практику діяльності політичних партій різних країн Європи та  порівняти рівень популізму та стан євроскептицизму. </w:t>
      </w:r>
      <w:r w:rsidRPr="00AE45CB">
        <w:rPr>
          <w:rFonts w:ascii="Times New Roman" w:hAnsi="Times New Roman" w:cs="Times New Roman"/>
          <w:sz w:val="28"/>
          <w:szCs w:val="28"/>
          <w:lang w:val="uk-UA"/>
        </w:rPr>
        <w:t xml:space="preserve">Всі </w:t>
      </w:r>
      <w:r>
        <w:rPr>
          <w:rFonts w:ascii="Times New Roman" w:hAnsi="Times New Roman" w:cs="Times New Roman"/>
          <w:sz w:val="28"/>
          <w:szCs w:val="28"/>
          <w:lang w:val="uk-UA"/>
        </w:rPr>
        <w:t xml:space="preserve">ці принципи та методідопомогли автору системно та об’єктивно </w:t>
      </w:r>
      <w:r w:rsidRPr="00AE45CB">
        <w:rPr>
          <w:rFonts w:ascii="Times New Roman" w:hAnsi="Times New Roman" w:cs="Times New Roman"/>
          <w:sz w:val="28"/>
          <w:szCs w:val="28"/>
          <w:lang w:val="uk-UA"/>
        </w:rPr>
        <w:t xml:space="preserve"> проаналізувати  </w:t>
      </w:r>
      <w:r>
        <w:rPr>
          <w:rFonts w:ascii="Times New Roman" w:hAnsi="Times New Roman" w:cs="Times New Roman"/>
          <w:sz w:val="28"/>
          <w:szCs w:val="28"/>
          <w:lang w:val="uk-UA"/>
        </w:rPr>
        <w:t>євроскептицизм як ідеологію та практику сучасної Європи.</w:t>
      </w:r>
    </w:p>
    <w:p w:rsidR="00C74989" w:rsidRDefault="00094C83" w:rsidP="00094C83">
      <w:pPr>
        <w:rPr>
          <w:rFonts w:ascii="Times New Roman" w:hAnsi="Times New Roman" w:cs="Times New Roman"/>
          <w:color w:val="FF0000"/>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складається зі вступу, трьох основних розділів, висновків та списку використанних джерел. Загальна кількість тексту  налічує </w:t>
      </w:r>
      <w:r w:rsidRPr="009C1DF4">
        <w:rPr>
          <w:rFonts w:ascii="Times New Roman" w:hAnsi="Times New Roman" w:cs="Times New Roman"/>
          <w:sz w:val="28"/>
          <w:szCs w:val="28"/>
          <w:lang w:val="uk-UA"/>
        </w:rPr>
        <w:t>72 сторінки</w:t>
      </w:r>
      <w:r>
        <w:rPr>
          <w:rFonts w:ascii="Times New Roman" w:hAnsi="Times New Roman" w:cs="Times New Roman"/>
          <w:color w:val="FF0000"/>
          <w:sz w:val="28"/>
          <w:szCs w:val="28"/>
          <w:lang w:val="uk-UA"/>
        </w:rPr>
        <w:t>.</w:t>
      </w: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94C83">
      <w:pPr>
        <w:rPr>
          <w:rFonts w:ascii="Times New Roman" w:hAnsi="Times New Roman" w:cs="Times New Roman"/>
          <w:color w:val="FF0000"/>
          <w:sz w:val="28"/>
          <w:szCs w:val="28"/>
          <w:lang w:val="uk-UA"/>
        </w:rPr>
      </w:pPr>
    </w:p>
    <w:p w:rsidR="000B14E6" w:rsidRDefault="000B14E6" w:rsidP="000B14E6">
      <w:pPr>
        <w:tabs>
          <w:tab w:val="left" w:pos="567"/>
        </w:tabs>
        <w:spacing w:line="360" w:lineRule="auto"/>
        <w:ind w:right="-1"/>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ВИСНОВКИ</w:t>
      </w:r>
    </w:p>
    <w:p w:rsidR="000B14E6" w:rsidRDefault="000B14E6" w:rsidP="000B14E6">
      <w:pPr>
        <w:spacing w:line="360" w:lineRule="auto"/>
        <w:ind w:right="-1" w:firstLine="709"/>
        <w:jc w:val="both"/>
        <w:rPr>
          <w:rFonts w:ascii="Times New Roman" w:eastAsia="Calibri" w:hAnsi="Times New Roman" w:cs="Times New Roman"/>
          <w:sz w:val="28"/>
          <w:szCs w:val="28"/>
          <w:lang w:val="uk-UA"/>
        </w:rPr>
      </w:pPr>
      <w:r w:rsidRPr="00075A55">
        <w:rPr>
          <w:rFonts w:ascii="Times New Roman" w:eastAsia="Calibri" w:hAnsi="Times New Roman" w:cs="Times New Roman"/>
          <w:sz w:val="28"/>
          <w:szCs w:val="28"/>
          <w:lang w:val="uk-UA"/>
        </w:rPr>
        <w:t>На завершеннікваліфікаційного дослідження</w:t>
      </w:r>
      <w:r>
        <w:rPr>
          <w:rFonts w:ascii="Times New Roman" w:eastAsia="Calibri" w:hAnsi="Times New Roman" w:cs="Times New Roman"/>
          <w:sz w:val="28"/>
          <w:szCs w:val="28"/>
          <w:lang w:val="uk-UA"/>
        </w:rPr>
        <w:t>, узагальнюючи основні результати, можна зробитти наступні висновки.</w:t>
      </w:r>
    </w:p>
    <w:p w:rsidR="000B14E6" w:rsidRDefault="000B14E6" w:rsidP="000B14E6">
      <w:pPr>
        <w:pStyle w:val="10"/>
        <w:ind w:firstLine="708"/>
        <w:rPr>
          <w:rStyle w:val="1"/>
          <w:rFonts w:cstheme="minorBidi"/>
          <w:lang w:val="uk-UA"/>
        </w:rPr>
      </w:pPr>
      <w:r>
        <w:rPr>
          <w:szCs w:val="28"/>
          <w:lang w:val="uk-UA"/>
        </w:rPr>
        <w:t xml:space="preserve">Євроскептицизм – це багатошаровий і багатогранний феномен; це стосується як причин його виникнення, так і його проявів, </w:t>
      </w:r>
      <w:r>
        <w:rPr>
          <w:rStyle w:val="1"/>
          <w:rFonts w:cstheme="minorBidi"/>
          <w:lang w:val="uk-UA"/>
        </w:rPr>
        <w:t xml:space="preserve">його </w:t>
      </w:r>
      <w:r w:rsidRPr="003A6EC7">
        <w:rPr>
          <w:rStyle w:val="1"/>
          <w:rFonts w:cstheme="minorBidi"/>
          <w:lang w:val="uk-UA"/>
        </w:rPr>
        <w:t xml:space="preserve">ніяк </w:t>
      </w:r>
      <w:r>
        <w:rPr>
          <w:rStyle w:val="1"/>
          <w:rFonts w:cstheme="minorBidi"/>
          <w:lang w:val="uk-UA"/>
        </w:rPr>
        <w:t xml:space="preserve">не можна віднестидо </w:t>
      </w:r>
      <w:r w:rsidRPr="003A6EC7">
        <w:rPr>
          <w:rStyle w:val="1"/>
          <w:rFonts w:cstheme="minorBidi"/>
          <w:lang w:val="uk-UA"/>
        </w:rPr>
        <w:t>однорідної, упорядкованої ідеологі</w:t>
      </w:r>
      <w:r>
        <w:rPr>
          <w:rStyle w:val="1"/>
          <w:rFonts w:cstheme="minorBidi"/>
          <w:lang w:val="uk-UA"/>
        </w:rPr>
        <w:t>ї</w:t>
      </w:r>
      <w:r w:rsidRPr="003A6EC7">
        <w:rPr>
          <w:rStyle w:val="1"/>
          <w:rFonts w:cstheme="minorBidi"/>
          <w:lang w:val="uk-UA"/>
        </w:rPr>
        <w:t>, оскільки в різних країнах його ідеї та риторика різні, що обумовлено насамперед прагненням до збереження національної винятковості</w:t>
      </w:r>
      <w:r>
        <w:rPr>
          <w:rStyle w:val="1"/>
          <w:rFonts w:cstheme="minorBidi"/>
          <w:lang w:val="uk-UA"/>
        </w:rPr>
        <w:t>. Він представлений  декількома типами, про що йдеться у першому розділі.</w:t>
      </w:r>
    </w:p>
    <w:p w:rsidR="000B14E6" w:rsidRDefault="000B14E6" w:rsidP="000B14E6">
      <w:pPr>
        <w:pStyle w:val="10"/>
        <w:ind w:firstLine="708"/>
        <w:rPr>
          <w:rStyle w:val="1"/>
          <w:rFonts w:cstheme="minorBidi"/>
          <w:lang w:val="uk-UA"/>
        </w:rPr>
      </w:pPr>
      <w:r w:rsidRPr="000D7DCD">
        <w:rPr>
          <w:rStyle w:val="1"/>
          <w:rFonts w:cstheme="minorBidi"/>
          <w:lang w:val="uk-UA"/>
        </w:rPr>
        <w:t>Євроскептицизм не набув оформленої завершеності як певна ідеологія. Він ближчий до вільних течій європейських держав або різновидів європейського регіоналізму, прихильниками якого можуть бути представники різних, часом і протилежних політико</w:t>
      </w:r>
      <w:r>
        <w:rPr>
          <w:rStyle w:val="1"/>
          <w:rFonts w:cstheme="minorBidi"/>
          <w:lang w:val="uk-UA"/>
        </w:rPr>
        <w:t>-</w:t>
      </w:r>
      <w:r w:rsidRPr="000D7DCD">
        <w:rPr>
          <w:rStyle w:val="1"/>
          <w:rFonts w:cstheme="minorBidi"/>
          <w:lang w:val="uk-UA"/>
        </w:rPr>
        <w:t>ідеологічних течій. Найчастіше, не торкаючись загалом або частково інтеграції в ЄС, євроскептики виступають за обмежену участь в європейських інтеграційних процесах: проти введення єдиної валюти, євроконституції, наддержавних утворень, федералізації союзу. Прихильники євроскептицизму побоюються втрати національного суверенітету їх держав.</w:t>
      </w:r>
    </w:p>
    <w:p w:rsidR="000B14E6" w:rsidRPr="00975675" w:rsidRDefault="000B14E6" w:rsidP="000B14E6">
      <w:pPr>
        <w:pStyle w:val="10"/>
        <w:ind w:firstLine="708"/>
        <w:rPr>
          <w:rStyle w:val="1"/>
          <w:rFonts w:cstheme="minorBidi"/>
          <w:lang w:val="uk-UA"/>
        </w:rPr>
      </w:pPr>
      <w:r w:rsidRPr="00975675">
        <w:rPr>
          <w:rStyle w:val="1"/>
          <w:rFonts w:cstheme="minorBidi"/>
          <w:lang w:val="uk-UA"/>
        </w:rPr>
        <w:t>Основні претензії євроскептиків до “євробюрократів”, на думку деяких дослідників, можна звести до наступного : прийняття недостатньо продуманих рішень, несвоєчасна та неякісна підготовка законодавчих актів, інших документів, відсутність відчутності меж у регуляторних рішеннях та їх бюрократичний характер, непрозорість, кулуарність роботи органів Євросоюзу, відсутність належних зв’язків із громадянським суспільством,</w:t>
      </w:r>
    </w:p>
    <w:p w:rsidR="000B14E6" w:rsidRDefault="000B14E6" w:rsidP="000B14E6">
      <w:pPr>
        <w:pStyle w:val="10"/>
        <w:ind w:firstLine="708"/>
        <w:rPr>
          <w:rStyle w:val="1"/>
          <w:lang w:val="uk-UA"/>
        </w:rPr>
      </w:pPr>
      <w:r w:rsidRPr="003D2390">
        <w:rPr>
          <w:rStyle w:val="1"/>
          <w:lang w:val="uk-UA"/>
        </w:rPr>
        <w:t xml:space="preserve">Підтримка євроскептицизму в ЄС стимулюється широким спектром різноманітних соціальних, економічних, політичних і культурних </w:t>
      </w:r>
      <w:r w:rsidRPr="003D2390">
        <w:rPr>
          <w:rStyle w:val="1"/>
          <w:lang w:val="uk-UA"/>
        </w:rPr>
        <w:lastRenderedPageBreak/>
        <w:t>факторів. Однак вони часто по-різному формують євроскептичні настрої в кожній державі-члені ЄС. Сьогодні російська агресія проти України зробила безпеку ключовою темою європейської громадської дискусії. Це вирішально впливає, хоча іноді й навпаки, на ставлення до ЄС. У деяких країнах, наприклад, у Польщі, яка межує з Росією, Білоруссю та Україною, неоімперську політику Кремля сприймають як життєво важливу загрозу своїй безпеці. Тому нерішуча позиція Франції та особливо Німеччини щодо військової підтримки Києва значно підриває довіру до обох країн у польському суспільстві.</w:t>
      </w:r>
    </w:p>
    <w:p w:rsidR="000B14E6" w:rsidRDefault="000B14E6" w:rsidP="000B14E6">
      <w:pPr>
        <w:pStyle w:val="10"/>
        <w:rPr>
          <w:lang w:val="uk-UA"/>
        </w:rPr>
      </w:pPr>
      <w:r w:rsidRPr="0073633D">
        <w:rPr>
          <w:lang w:val="uk-UA"/>
        </w:rPr>
        <w:tab/>
      </w:r>
      <w:r>
        <w:rPr>
          <w:lang w:val="uk-UA"/>
        </w:rPr>
        <w:t>Причини євроскептицизму, як транслюють націонал-популісти</w:t>
      </w:r>
      <w:r>
        <w:rPr>
          <w:szCs w:val="28"/>
          <w:lang w:val="uk-UA"/>
        </w:rPr>
        <w:t>, повязані із розумінням співвідношення національна ідентичність та європейська ідентичність, які на їх думку, це абсолютно різні речі. Але варто зрозуміти, що європейська ідентичність набагато складніше поняття, яке включає у собі різні аспекти національної самоідентифікації представника з кожної країни, що ускладнює процес зближення. Відповідно до даних Євробарометру Європейської комісії все менше громадян ідентифікують себе відповідно до власної національної приналежності.</w:t>
      </w:r>
      <w:r w:rsidRPr="00887448">
        <w:rPr>
          <w:szCs w:val="28"/>
          <w:lang w:val="uk-UA"/>
        </w:rPr>
        <w:t xml:space="preserve">З 1999 по 2014 роки можна помітити зростання самоідентифікації населення як європейців, але після 2014 року ці показники знизилися. </w:t>
      </w:r>
      <w:r>
        <w:rPr>
          <w:szCs w:val="28"/>
        </w:rPr>
        <w:t>Стабільно зростають показники, відповідно до яких громадяни підтримують свою національну приналежність і в той же момент вважають себе європейцями</w:t>
      </w:r>
      <w:r>
        <w:rPr>
          <w:szCs w:val="28"/>
          <w:lang w:val="uk-UA"/>
        </w:rPr>
        <w:t xml:space="preserve">. </w:t>
      </w:r>
    </w:p>
    <w:p w:rsidR="000B14E6" w:rsidRDefault="000B14E6" w:rsidP="000B14E6">
      <w:pPr>
        <w:pStyle w:val="10"/>
        <w:ind w:firstLine="709"/>
      </w:pPr>
      <w:r w:rsidRPr="00725FA2">
        <w:rPr>
          <w:lang w:val="uk-UA"/>
        </w:rPr>
        <w:t xml:space="preserve">Зростання правого популізму було характерною рисою європейської політики протягом останніх п’ятнадцяти років. </w:t>
      </w:r>
      <w:r w:rsidRPr="00725FA2">
        <w:t>Цей правопопулістський імпульс, який охопив Європ</w:t>
      </w:r>
      <w:r>
        <w:t xml:space="preserve">у, має три ключові особливості: </w:t>
      </w:r>
    </w:p>
    <w:p w:rsidR="000B14E6" w:rsidRDefault="000B14E6" w:rsidP="000B14E6">
      <w:pPr>
        <w:pStyle w:val="10"/>
        <w:numPr>
          <w:ilvl w:val="0"/>
          <w:numId w:val="2"/>
        </w:numPr>
        <w:ind w:left="0" w:firstLine="709"/>
      </w:pPr>
      <w:r>
        <w:rPr>
          <w:lang w:val="uk-UA"/>
        </w:rPr>
        <w:t>п</w:t>
      </w:r>
      <w:r w:rsidRPr="00BA00F9">
        <w:rPr>
          <w:lang w:val="uk-UA"/>
        </w:rPr>
        <w:t>о-перше, відбулися успішні результати на виборах партій, які пообіцяли відновити національний суверенітет і реалізувати політику, яка постійно віддає перевагу корінним жителям над іммігрантами.</w:t>
      </w:r>
      <w:r w:rsidRPr="00725FA2">
        <w:t xml:space="preserve"> Багато </w:t>
      </w:r>
      <w:r w:rsidRPr="00725FA2">
        <w:lastRenderedPageBreak/>
        <w:t xml:space="preserve">правих популістських партій з часом покращили свої результати на виборах, хоча залишаються важливі міжнаціональні відмінності. </w:t>
      </w:r>
    </w:p>
    <w:p w:rsidR="000B14E6" w:rsidRDefault="000B14E6" w:rsidP="000B14E6">
      <w:pPr>
        <w:pStyle w:val="10"/>
        <w:numPr>
          <w:ilvl w:val="0"/>
          <w:numId w:val="2"/>
        </w:numPr>
        <w:ind w:left="0" w:firstLine="709"/>
      </w:pPr>
      <w:r>
        <w:rPr>
          <w:lang w:val="uk-UA"/>
        </w:rPr>
        <w:t>п</w:t>
      </w:r>
      <w:r>
        <w:t>о- друге </w:t>
      </w:r>
      <w:r>
        <w:rPr>
          <w:rStyle w:val="a5"/>
          <w:rFonts w:ascii="Arial" w:hAnsi="Arial" w:cs="Arial"/>
          <w:color w:val="4A4A4A"/>
        </w:rPr>
        <w:t>,</w:t>
      </w:r>
      <w:r>
        <w:t xml:space="preserve"> відбувається дедалі більше закріплення цих партій у відповідних політичних системах через доступ до посад. Значна кількість правих популістських партій або </w:t>
      </w:r>
      <w:r>
        <w:rPr>
          <w:lang w:val="uk-UA"/>
        </w:rPr>
        <w:t>були при владі</w:t>
      </w:r>
      <w:r>
        <w:t xml:space="preserve"> останнім часом, або були офіційними партнерами по співпраці в правих урядах меншості. Приклади включають Lega в Італії, FPÖ в Австрії, Право і справедливість (PiS) в Польщі, Fidesz в Угорщині, Датську народну партію (DF) і Національний альянс (NA) в Латвії. Так званий </w:t>
      </w:r>
      <w:r>
        <w:rPr>
          <w:rStyle w:val="a5"/>
          <w:rFonts w:ascii="Arial" w:hAnsi="Arial" w:cs="Arial"/>
          <w:color w:val="4A4A4A"/>
        </w:rPr>
        <w:t>cordon sanitaire</w:t>
      </w:r>
      <w:r>
        <w:t> – політика маргіналізації крайніх партій – зазнала краху навіть у країнах, де вона була традиційно ефективною, наприклад в Естонії та Швеції.</w:t>
      </w:r>
    </w:p>
    <w:p w:rsidR="000B14E6" w:rsidRDefault="000B14E6" w:rsidP="000B14E6">
      <w:pPr>
        <w:pStyle w:val="10"/>
        <w:numPr>
          <w:ilvl w:val="0"/>
          <w:numId w:val="2"/>
        </w:numPr>
        <w:ind w:left="0" w:firstLine="709"/>
      </w:pPr>
      <w:r>
        <w:rPr>
          <w:lang w:val="uk-UA"/>
        </w:rPr>
        <w:t>п</w:t>
      </w:r>
      <w:r>
        <w:t>о-третє, праві популістські партії все більше набувають можливості впливати на політичний порядок денний інших партій. Такі партії, як Національне об’єднання, Шведські демократи та UKIP, успішно конкурували у своїх національних системах, проникаючи в основне середовище та впливаючи на програми інших партій. У результаті основні праві та, в деяких випадках, ліві партії часто приймають стратегію пристосування – головним чином щодо імміграції.</w:t>
      </w:r>
    </w:p>
    <w:p w:rsidR="000B14E6" w:rsidRDefault="000B14E6" w:rsidP="000B14E6">
      <w:pPr>
        <w:pStyle w:val="10"/>
        <w:ind w:firstLine="709"/>
      </w:pPr>
      <w:r>
        <w:t>Відчуття керованого економічного занепаду за останнє десятиліття, яке очолювали консервативні партії, також пояснює зростання популістських і націоналістичних правих і лівих партій по всій Європі. На відміну від поміркованих правих і лівих партій, вони пропонують швидкі рішення, прості відповіді щодо міграції та оподаткування і, що важливо, нові політичні обличчя.За винятком Іспанії та Німеччини, політичні карти в основних країнах Європи були радикально перекроєні.</w:t>
      </w:r>
      <w:r w:rsidRPr="00C75F3C">
        <w:rPr>
          <w:lang w:val="uk-UA"/>
        </w:rPr>
        <w:t>Є кілька винятків: партія Віктора Орбана «Фідес» в Угорщині та Консервативна партія Великобританії, яка залишається при владі після 12 років і п’яти загальних виборів.</w:t>
      </w:r>
      <w:r>
        <w:t xml:space="preserve"> Однак у процесі після Brexit вона перетворилася на все </w:t>
      </w:r>
      <w:r>
        <w:lastRenderedPageBreak/>
        <w:t>більш націоналістичну та популістську партію, сьогодні оприлюднивши ще одну програму зниження податків і субсидування цін на енергоносії вартістю 100 мільярдів фунтів стерлінгів, що підштовхне державний борг до нових максимумів.</w:t>
      </w:r>
    </w:p>
    <w:p w:rsidR="000B14E6" w:rsidRDefault="000B14E6" w:rsidP="000B14E6">
      <w:pPr>
        <w:shd w:val="clear" w:color="auto" w:fill="FFFFFF"/>
        <w:spacing w:before="15" w:after="0"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Щодо розуміння особливостей євроскептицизму в Україні слід</w:t>
      </w:r>
      <w:r w:rsidRPr="0021079B">
        <w:rPr>
          <w:rFonts w:ascii="Times New Roman" w:eastAsia="Calibri" w:hAnsi="Times New Roman" w:cs="Times New Roman"/>
          <w:sz w:val="28"/>
          <w:szCs w:val="28"/>
          <w:lang w:val="uk-UA"/>
        </w:rPr>
        <w:t xml:space="preserve">  зауважити на наступному. По-перше, попри значного доробка українськими авторами у дослідженні євроскептицизму та його проявів в політичних процесах Європи та України, не зовсім зрозумілим залишається зміст поняття євроскептицизму, оскільки у деяких роботах українських дослідників йдеться про свій внутрішній  євроскептицизм, який пов’язується головним чином із відношенням до вступу в ЄС та інтеграції як такої, підтримки його суспільством як напрямку стратегічного розвитку, виходячи з аналізу програм політичних партій України на різних етапах їхньої діяльності. В той же час, євроскептицизм у Європі пов’язано із критикою та несприйняттям конкретної діяльності ЄС.   </w:t>
      </w:r>
    </w:p>
    <w:p w:rsidR="000B14E6" w:rsidRPr="0021079B" w:rsidRDefault="000B14E6" w:rsidP="000B14E6">
      <w:pPr>
        <w:shd w:val="clear" w:color="auto" w:fill="FFFFFF"/>
        <w:spacing w:before="15"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Вважаємо</w:t>
      </w:r>
      <w:r w:rsidRPr="0021079B">
        <w:rPr>
          <w:rFonts w:ascii="Times New Roman" w:eastAsia="Calibri" w:hAnsi="Times New Roman" w:cs="Times New Roman"/>
          <w:sz w:val="28"/>
          <w:szCs w:val="28"/>
          <w:lang w:val="uk-UA"/>
        </w:rPr>
        <w:t xml:space="preserve">, що без чіткого розуміння змісту та кореляції українського євроскептицизму (ліві – праві партії) с європейським (ліві- праві),  виникає небезпека нових ризиків у розумінні перспектив евроінтеграційних прагнень нашої держави. </w:t>
      </w:r>
      <w:r>
        <w:rPr>
          <w:rFonts w:ascii="Times New Roman" w:eastAsia="Calibri" w:hAnsi="Times New Roman" w:cs="Times New Roman"/>
          <w:sz w:val="28"/>
          <w:szCs w:val="28"/>
          <w:lang w:val="uk-UA"/>
        </w:rPr>
        <w:t>Враховуючи ті зміни регіонального та глобального характеру, які внесла агресія Росії проти України, ці процеси потребують</w:t>
      </w:r>
      <w:r w:rsidRPr="0021079B">
        <w:rPr>
          <w:rFonts w:ascii="Times New Roman" w:eastAsia="Calibri" w:hAnsi="Times New Roman" w:cs="Times New Roman"/>
          <w:sz w:val="28"/>
          <w:szCs w:val="28"/>
          <w:lang w:val="uk-UA"/>
        </w:rPr>
        <w:t xml:space="preserve"> науковог</w:t>
      </w:r>
      <w:r>
        <w:rPr>
          <w:rFonts w:ascii="Times New Roman" w:eastAsia="Calibri" w:hAnsi="Times New Roman" w:cs="Times New Roman"/>
          <w:sz w:val="28"/>
          <w:szCs w:val="28"/>
          <w:lang w:val="uk-UA"/>
        </w:rPr>
        <w:t>о аналізу та залишаю</w:t>
      </w:r>
      <w:r w:rsidRPr="0021079B">
        <w:rPr>
          <w:rFonts w:ascii="Times New Roman" w:eastAsia="Calibri" w:hAnsi="Times New Roman" w:cs="Times New Roman"/>
          <w:sz w:val="28"/>
          <w:szCs w:val="28"/>
          <w:lang w:val="uk-UA"/>
        </w:rPr>
        <w:t>ться</w:t>
      </w:r>
      <w:r>
        <w:rPr>
          <w:rFonts w:ascii="Times New Roman" w:eastAsia="Calibri" w:hAnsi="Times New Roman" w:cs="Times New Roman"/>
          <w:sz w:val="28"/>
          <w:szCs w:val="28"/>
          <w:lang w:val="uk-UA"/>
        </w:rPr>
        <w:t xml:space="preserve"> проблемою подальших  наукових досліджень.</w:t>
      </w:r>
    </w:p>
    <w:p w:rsidR="000B14E6" w:rsidRPr="000C0C5C" w:rsidRDefault="000B14E6" w:rsidP="000B14E6">
      <w:pPr>
        <w:shd w:val="clear" w:color="auto" w:fill="FFFFFF"/>
        <w:spacing w:before="15" w:after="0" w:line="360" w:lineRule="auto"/>
        <w:jc w:val="center"/>
        <w:rPr>
          <w:rFonts w:ascii="Times New Roman" w:eastAsia="Calibri" w:hAnsi="Times New Roman" w:cs="Times New Roman"/>
          <w:color w:val="FF0000"/>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Times New Roman" w:eastAsia="Calibri" w:hAnsi="Times New Roman" w:cs="Times New Roman"/>
          <w:b/>
          <w:sz w:val="28"/>
          <w:szCs w:val="28"/>
          <w:lang w:val="uk-UA"/>
        </w:rPr>
      </w:pPr>
    </w:p>
    <w:p w:rsidR="000B14E6" w:rsidRDefault="000B14E6" w:rsidP="000B14E6">
      <w:pPr>
        <w:shd w:val="clear" w:color="auto" w:fill="FFFFFF"/>
        <w:spacing w:before="15" w:after="0" w:line="360" w:lineRule="auto"/>
        <w:jc w:val="center"/>
        <w:rPr>
          <w:rFonts w:ascii="Arial" w:eastAsia="Times New Roman" w:hAnsi="Arial" w:cs="Arial"/>
          <w:color w:val="000000"/>
          <w:sz w:val="25"/>
          <w:szCs w:val="25"/>
          <w:lang w:eastAsia="ru-RU"/>
        </w:rPr>
      </w:pPr>
      <w:r>
        <w:rPr>
          <w:rFonts w:ascii="Times New Roman" w:eastAsia="Calibri" w:hAnsi="Times New Roman" w:cs="Times New Roman"/>
          <w:b/>
          <w:sz w:val="28"/>
          <w:szCs w:val="28"/>
          <w:lang w:val="uk-UA"/>
        </w:rPr>
        <w:t>СПИСОК ВИКОРИСТАНИХ ДЖЕРЕЛ</w:t>
      </w:r>
    </w:p>
    <w:p w:rsidR="000B14E6" w:rsidRDefault="000B14E6" w:rsidP="000B14E6">
      <w:pPr>
        <w:shd w:val="clear" w:color="auto" w:fill="FFFFFF"/>
        <w:spacing w:before="15" w:after="0" w:line="360" w:lineRule="auto"/>
        <w:rPr>
          <w:rFonts w:ascii="Arial" w:eastAsia="Times New Roman" w:hAnsi="Arial" w:cs="Arial"/>
          <w:color w:val="000000"/>
          <w:sz w:val="25"/>
          <w:szCs w:val="25"/>
          <w:lang w:eastAsia="ru-RU"/>
        </w:rPr>
      </w:pP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Taggart P (1998) A Touchstone of dissent: Euroscepticism in contemporary Western European party systems. European Journal of Political Research pp: 363-388</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Szczerbiak A, Taggart P (2000) Opposing Europe: Party systems and opposition to the Union, the Euro and Europeanisation. Opposing Europe</w:t>
      </w:r>
      <w:r>
        <w:rPr>
          <w:rFonts w:ascii="Times New Roman" w:hAnsi="Times New Roman" w:cs="Times New Roman"/>
          <w:sz w:val="28"/>
          <w:szCs w:val="28"/>
        </w:rPr>
        <w:t xml:space="preserve">, </w:t>
      </w:r>
      <w:r>
        <w:rPr>
          <w:rFonts w:ascii="Times New Roman" w:hAnsi="Times New Roman" w:cs="Times New Roman"/>
          <w:sz w:val="28"/>
          <w:szCs w:val="28"/>
          <w:lang w:val="en-US"/>
        </w:rPr>
        <w:t>Sussex European Institute</w:t>
      </w:r>
      <w:r>
        <w:rPr>
          <w:rFonts w:ascii="Times New Roman" w:hAnsi="Times New Roman" w:cs="Times New Roman"/>
          <w:sz w:val="28"/>
          <w:szCs w:val="28"/>
        </w:rPr>
        <w:t>.</w:t>
      </w:r>
      <w:r>
        <w:rPr>
          <w:rFonts w:ascii="Times New Roman" w:hAnsi="Times New Roman" w:cs="Times New Roman"/>
          <w:sz w:val="28"/>
          <w:szCs w:val="28"/>
          <w:lang w:val="en-US"/>
        </w:rPr>
        <w:t> </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Kopecky P, Mudde C (2002) The Two Sides of Euroscepticism. Longon, Sage Publications. </w:t>
      </w:r>
      <w:r>
        <w:rPr>
          <w:rFonts w:ascii="Times New Roman" w:hAnsi="Times New Roman" w:cs="Times New Roman"/>
          <w:sz w:val="28"/>
          <w:szCs w:val="28"/>
          <w:lang w:val="uk-UA"/>
        </w:rPr>
        <w:t>(а стр.?)</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Taggart P, Szczerbiak A (2004) Contemporary Euroscepticism in the party systems of the European Union candidate states. European Journal of Political Research. </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uk-UA"/>
        </w:rPr>
        <w:t>Тарнавський О. Генезис євроскептицизму // Українська асоціація викладачів та дослідників європейської інтеграції. 2017</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 xml:space="preserve">Hooghe L., Marks G. Sources of Euroscepticism // Acta Politica. </w:t>
      </w:r>
      <w:r>
        <w:rPr>
          <w:rFonts w:ascii="Times New Roman" w:hAnsi="Times New Roman" w:cs="Times New Roman"/>
          <w:sz w:val="28"/>
          <w:szCs w:val="28"/>
        </w:rPr>
        <w:t>2007. vol. 42. no. 2. P. 119-127.</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t xml:space="preserve">Пулейките К. Евроскептицизм в Западной Европе: Великобритания // Geopolitika. 20.02.2007. URL: </w:t>
      </w:r>
      <w:hyperlink r:id="rId5" w:history="1">
        <w:r>
          <w:rPr>
            <w:rStyle w:val="a4"/>
            <w:rFonts w:ascii="Times New Roman" w:hAnsi="Times New Roman" w:cs="Times New Roman"/>
            <w:sz w:val="28"/>
            <w:szCs w:val="28"/>
          </w:rPr>
          <w:t>http://www.geopolitika.lt/?artc=151</w:t>
        </w:r>
      </w:hyperlink>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Harmsen R., Spiering M. Introduction: Euroscepticism and the Evolution of European Political Debate, Euroscepticism: party politics, national identity and European integration. Amsterdam – New York: European Studies, 2004. 290 p.</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lastRenderedPageBreak/>
        <w:t xml:space="preserve">Чому євроскептики досягли успіху на виборах до парламенту ЄС? // Радіо Свобода. 28 травня 2014. </w:t>
      </w:r>
      <w:hyperlink r:id="rId6" w:history="1">
        <w:r>
          <w:rPr>
            <w:rStyle w:val="a4"/>
            <w:rFonts w:ascii="Times New Roman" w:hAnsi="Times New Roman" w:cs="Times New Roman"/>
            <w:sz w:val="28"/>
            <w:szCs w:val="28"/>
          </w:rPr>
          <w:t>https://www.radiosvoboda.org/a/25401905.html</w:t>
        </w:r>
      </w:hyperlink>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Flood,C. The Challenge of Euroscepticism // The European Union Handbook, 2nd ed. Gower J., ed. London, Fitzroy Dearborn Publishers, 2002. P</w:t>
      </w:r>
      <w:r>
        <w:rPr>
          <w:rFonts w:ascii="Times New Roman" w:hAnsi="Times New Roman" w:cs="Times New Roman"/>
          <w:sz w:val="28"/>
          <w:szCs w:val="28"/>
        </w:rPr>
        <w:t>. 73-84.]</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Hooghe L., Marks G. Sources of Euroscepticism // Acta Politica. 2007. vol. 42. no. 2. P. 119-127.</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t>Тарнавський О. Р. Прояви євроскептицизму в публічному просторі України в період з 1991 по 2018 рік // Молодий вчений. 2018. № 6 (58). С. 38-44.</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 xml:space="preserve">Newman M. Democracy, Sovereignty and the European Union / 1st Edition Palgrave Macmillan, 1996. </w:t>
      </w:r>
      <w:r>
        <w:rPr>
          <w:rFonts w:ascii="Times New Roman" w:hAnsi="Times New Roman" w:cs="Times New Roman"/>
          <w:sz w:val="28"/>
          <w:szCs w:val="28"/>
        </w:rPr>
        <w:t>236 р.</w:t>
      </w:r>
    </w:p>
    <w:p w:rsidR="000B14E6" w:rsidRDefault="000B14E6" w:rsidP="000B14E6">
      <w:pPr>
        <w:pStyle w:val="a3"/>
        <w:numPr>
          <w:ilvl w:val="0"/>
          <w:numId w:val="3"/>
        </w:numPr>
        <w:spacing w:before="0"/>
        <w:ind w:right="0"/>
        <w:rPr>
          <w:rFonts w:ascii="Times New Roman" w:hAnsi="Times New Roman" w:cs="Times New Roman"/>
          <w:sz w:val="28"/>
          <w:szCs w:val="28"/>
        </w:rPr>
      </w:pPr>
      <w:r>
        <w:rPr>
          <w:rFonts w:ascii="Times New Roman" w:hAnsi="Times New Roman" w:cs="Times New Roman"/>
          <w:sz w:val="28"/>
          <w:szCs w:val="28"/>
        </w:rPr>
        <w:t xml:space="preserve">Пулейките К. Евроскептицизм в Западной Европе: Великобритания // Geopolitika. 20.02.2007. URL: http://www.geopolitika.lt/?artc=151]. </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t>«Європейський парламент відкрився серед протестів і розбрату»,BBC News, 2-7-2019, доступно за адресою: https://www.bbc.com/news/world-europe-48838498 [2-9-2019].</w:t>
      </w:r>
    </w:p>
    <w:p w:rsidR="000B14E6" w:rsidRDefault="000B14E6" w:rsidP="000B14E6">
      <w:pPr>
        <w:pStyle w:val="a3"/>
        <w:numPr>
          <w:ilvl w:val="0"/>
          <w:numId w:val="3"/>
        </w:numPr>
        <w:spacing w:before="0"/>
        <w:ind w:right="0"/>
        <w:jc w:val="left"/>
        <w:rPr>
          <w:rFonts w:ascii="Times New Roman" w:hAnsi="Times New Roman" w:cs="Times New Roman"/>
          <w:sz w:val="28"/>
          <w:szCs w:val="28"/>
        </w:rPr>
      </w:pPr>
      <w:hyperlink r:id="rId7" w:tgtFrame="_blank" w:tooltip=" Euroscepticism: a problematic concept" w:history="1">
        <w:r>
          <w:rPr>
            <w:rStyle w:val="a4"/>
            <w:rFonts w:ascii="Times New Roman" w:hAnsi="Times New Roman" w:cs="Times New Roman"/>
            <w:sz w:val="28"/>
            <w:szCs w:val="28"/>
            <w:lang w:val="en-US"/>
          </w:rPr>
          <w:t xml:space="preserve">Flood (2002) Euroscepticism: a problematic concept. </w:t>
        </w:r>
        <w:r>
          <w:rPr>
            <w:rStyle w:val="a4"/>
            <w:rFonts w:ascii="Times New Roman" w:hAnsi="Times New Roman" w:cs="Times New Roman"/>
            <w:sz w:val="28"/>
            <w:szCs w:val="28"/>
          </w:rPr>
          <w:t>UACES 32nd Conference, England.</w:t>
        </w:r>
      </w:hyperlink>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Taggart P., Szczerbiak A. Parties, Positions &amp; Europe: Euroscepticism in the EU Candidate States of Central and Eastern Europe</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Tiersky R. Introduction: Euro-skepticism and “Europe”, Euro-skepticism</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Flood,C. The Challenge of Euroscepticism</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Vasilopoulou S. European Integration and the Radical Right: Three Patterns of Opposition. Government and Opposition</w:t>
      </w:r>
      <w:r>
        <w:rPr>
          <w:rFonts w:ascii="Times New Roman" w:hAnsi="Times New Roman" w:cs="Times New Roman"/>
          <w:sz w:val="28"/>
          <w:szCs w:val="28"/>
        </w:rPr>
        <w:t>. 2011</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Kopecky P., Mudde C. The Two Sides of Euroscepticism // European Union Politics. 2002</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Zuba, K. Polski Eurosceptycyzm I Eurorealizm. </w:t>
      </w:r>
      <w:r>
        <w:rPr>
          <w:rFonts w:ascii="Times New Roman" w:hAnsi="Times New Roman" w:cs="Times New Roman"/>
          <w:sz w:val="28"/>
          <w:szCs w:val="28"/>
        </w:rPr>
        <w:t>Wydawnictwo Uniwersytetu Opolskiego, 2006.]</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uk-UA"/>
        </w:rPr>
        <w:t xml:space="preserve">Фісанов В. Євроскептицизм: ідеї та політика // Буковинський вісник державної служби та місцевого самоврядування. </w:t>
      </w:r>
      <w:r>
        <w:rPr>
          <w:rFonts w:ascii="Times New Roman" w:hAnsi="Times New Roman" w:cs="Times New Roman"/>
          <w:sz w:val="28"/>
          <w:szCs w:val="28"/>
        </w:rPr>
        <w:t>2010.</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t xml:space="preserve">Грибовский В. С. Евроскептицизм как политическая тенденция начала XXI века. 27.01.2016. URL: </w:t>
      </w:r>
      <w:hyperlink r:id="rId8" w:history="1">
        <w:r>
          <w:rPr>
            <w:rStyle w:val="a4"/>
            <w:rFonts w:ascii="Times New Roman" w:hAnsi="Times New Roman" w:cs="Times New Roman"/>
            <w:sz w:val="28"/>
            <w:szCs w:val="28"/>
          </w:rPr>
          <w:t>https://riss.ru/analitycs/25709/</w:t>
        </w:r>
      </w:hyperlink>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rPr>
        <w:t xml:space="preserve">Суд визнав нідерландського депутата винним у дискримінаційних висловлюваннях // DW.COM . URL: </w:t>
      </w:r>
      <w:hyperlink r:id="rId9" w:history="1">
        <w:r>
          <w:rPr>
            <w:rStyle w:val="a4"/>
            <w:rFonts w:ascii="Times New Roman" w:hAnsi="Times New Roman" w:cs="Times New Roman"/>
            <w:sz w:val="28"/>
            <w:szCs w:val="28"/>
          </w:rPr>
          <w:t>https://www.dw.com/u</w:t>
        </w:r>
      </w:hyperlink>
    </w:p>
    <w:p w:rsidR="000B14E6" w:rsidRDefault="000B14E6" w:rsidP="000B14E6">
      <w:pPr>
        <w:pStyle w:val="a3"/>
        <w:numPr>
          <w:ilvl w:val="0"/>
          <w:numId w:val="3"/>
        </w:numPr>
        <w:rPr>
          <w:rStyle w:val="a4"/>
        </w:rPr>
      </w:pPr>
      <w:r>
        <w:rPr>
          <w:rFonts w:ascii="Times New Roman" w:hAnsi="Times New Roman" w:cs="Times New Roman"/>
          <w:sz w:val="28"/>
          <w:szCs w:val="28"/>
        </w:rPr>
        <w:t xml:space="preserve">Чому євроскептики досягли успіху на виборах до парламенту ЄС? // Радіо Свобода. 28 травня 2014. URL: </w:t>
      </w:r>
      <w:hyperlink r:id="rId10" w:history="1">
        <w:r>
          <w:rPr>
            <w:rStyle w:val="a4"/>
            <w:rFonts w:ascii="Times New Roman" w:hAnsi="Times New Roman" w:cs="Times New Roman"/>
            <w:sz w:val="28"/>
            <w:szCs w:val="28"/>
          </w:rPr>
          <w:t>https://www.radiosvoboda.org/a/25401905.html</w:t>
        </w:r>
      </w:hyperlink>
    </w:p>
    <w:p w:rsidR="000B14E6" w:rsidRPr="000C0C5C" w:rsidRDefault="000B14E6" w:rsidP="000B14E6">
      <w:pPr>
        <w:pStyle w:val="a3"/>
        <w:numPr>
          <w:ilvl w:val="0"/>
          <w:numId w:val="3"/>
        </w:numPr>
        <w:rPr>
          <w:color w:val="FF0000"/>
          <w:shd w:val="clear" w:color="auto" w:fill="FFFFFF"/>
        </w:rPr>
      </w:pPr>
      <w:r w:rsidRPr="000C0C5C">
        <w:rPr>
          <w:rFonts w:ascii="Times New Roman" w:hAnsi="Times New Roman" w:cs="Times New Roman"/>
          <w:color w:val="FF0000"/>
          <w:sz w:val="28"/>
          <w:szCs w:val="28"/>
          <w:shd w:val="clear" w:color="auto" w:fill="FFFFFF"/>
        </w:rPr>
        <w:t>Зембилас, Міхалінос. </w:t>
      </w:r>
      <w:r w:rsidRPr="000C0C5C">
        <w:rPr>
          <w:rFonts w:ascii="Times New Roman" w:hAnsi="Times New Roman" w:cs="Times New Roman"/>
          <w:iCs/>
          <w:color w:val="FF0000"/>
          <w:sz w:val="28"/>
          <w:szCs w:val="28"/>
          <w:shd w:val="clear" w:color="auto" w:fill="FFFFFF"/>
        </w:rPr>
        <w:t>Вплив і зростання правого популізму</w:t>
      </w:r>
      <w:r w:rsidRPr="000C0C5C">
        <w:rPr>
          <w:rFonts w:ascii="Times New Roman" w:hAnsi="Times New Roman" w:cs="Times New Roman"/>
          <w:color w:val="FF0000"/>
          <w:sz w:val="28"/>
          <w:szCs w:val="28"/>
          <w:shd w:val="clear" w:color="auto" w:fill="FFFFFF"/>
        </w:rPr>
        <w:t>.</w:t>
      </w:r>
      <w:r>
        <w:rPr>
          <w:rFonts w:ascii="Times New Roman" w:hAnsi="Times New Roman" w:cs="Times New Roman"/>
          <w:color w:val="FF0000"/>
          <w:sz w:val="28"/>
          <w:szCs w:val="28"/>
          <w:shd w:val="clear" w:color="auto" w:fill="FFFFFF"/>
          <w:lang w:val="uk-UA"/>
        </w:rPr>
        <w:t xml:space="preserve"> (де віхідні данні????)</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shd w:val="clear" w:color="auto" w:fill="FFFFFF"/>
        </w:rPr>
        <w:t xml:space="preserve">Аккерман, Агнес (2003) «Популізм і демократія: виклик чи патологія?» </w:t>
      </w:r>
      <w:hyperlink r:id="rId11" w:tooltip="Acta Politics" w:history="1">
        <w:r>
          <w:rPr>
            <w:rStyle w:val="a4"/>
            <w:rFonts w:ascii="Times New Roman" w:hAnsi="Times New Roman" w:cs="Times New Roman"/>
            <w:iCs/>
            <w:sz w:val="28"/>
            <w:szCs w:val="28"/>
            <w:shd w:val="clear" w:color="auto" w:fill="FFFFFF"/>
          </w:rPr>
          <w:t>Політичний</w:t>
        </w:r>
      </w:hyperlink>
      <w:r>
        <w:rPr>
          <w:rFonts w:ascii="Times New Roman" w:hAnsi="Times New Roman" w:cs="Times New Roman"/>
          <w:sz w:val="28"/>
          <w:szCs w:val="28"/>
          <w:shd w:val="clear" w:color="auto" w:fill="FFFFFF"/>
        </w:rPr>
        <w:t xml:space="preserve"> акт n.38, pp.147-159 </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shd w:val="clear" w:color="auto" w:fill="FFFFFF"/>
        </w:rPr>
        <w:t>Калліс, Аристотель (2018). </w:t>
      </w:r>
      <w:hyperlink r:id="rId12" w:history="1">
        <w:r>
          <w:rPr>
            <w:rStyle w:val="a4"/>
            <w:rFonts w:ascii="Times New Roman" w:hAnsi="Times New Roman" w:cs="Times New Roman"/>
            <w:sz w:val="28"/>
            <w:szCs w:val="28"/>
          </w:rPr>
          <w:t>«Частина I: Ідеологія та дискурс – Праві радикали та ісламофобія»</w:t>
        </w:r>
      </w:hyperlink>
      <w:r>
        <w:rPr>
          <w:rFonts w:ascii="Times New Roman" w:hAnsi="Times New Roman" w:cs="Times New Roman"/>
          <w:sz w:val="28"/>
          <w:szCs w:val="28"/>
          <w:shd w:val="clear" w:color="auto" w:fill="FFFFFF"/>
        </w:rPr>
        <w:t> . У Rydgren, Jens (ed.). </w:t>
      </w:r>
      <w:r>
        <w:rPr>
          <w:rFonts w:ascii="Times New Roman" w:hAnsi="Times New Roman" w:cs="Times New Roman"/>
          <w:iCs/>
          <w:sz w:val="28"/>
          <w:szCs w:val="28"/>
          <w:shd w:val="clear" w:color="auto" w:fill="FFFFFF"/>
        </w:rPr>
        <w:t>Оксфордський довідник радикальних правих</w:t>
      </w:r>
      <w:r>
        <w:rPr>
          <w:rFonts w:ascii="Times New Roman" w:hAnsi="Times New Roman" w:cs="Times New Roman"/>
          <w:sz w:val="28"/>
          <w:szCs w:val="28"/>
          <w:shd w:val="clear" w:color="auto" w:fill="FFFFFF"/>
        </w:rPr>
        <w:t> . </w:t>
      </w:r>
      <w:hyperlink r:id="rId13" w:tooltip="Оксфорд" w:history="1">
        <w:r>
          <w:rPr>
            <w:rStyle w:val="a4"/>
            <w:rFonts w:ascii="Times New Roman" w:hAnsi="Times New Roman" w:cs="Times New Roman"/>
            <w:sz w:val="28"/>
            <w:szCs w:val="28"/>
            <w:shd w:val="clear" w:color="auto" w:fill="FFFFFF"/>
          </w:rPr>
          <w:t>Оксфорд</w:t>
        </w:r>
      </w:hyperlink>
      <w:r>
        <w:rPr>
          <w:rFonts w:ascii="Times New Roman" w:hAnsi="Times New Roman" w:cs="Times New Roman"/>
          <w:sz w:val="28"/>
          <w:szCs w:val="28"/>
          <w:shd w:val="clear" w:color="auto" w:fill="FFFFFF"/>
        </w:rPr>
        <w:t> і </w:t>
      </w:r>
      <w:hyperlink r:id="rId14" w:tooltip="Нью-Йорк" w:history="1">
        <w:r>
          <w:rPr>
            <w:rStyle w:val="a4"/>
            <w:rFonts w:ascii="Times New Roman" w:hAnsi="Times New Roman" w:cs="Times New Roman"/>
            <w:sz w:val="28"/>
            <w:szCs w:val="28"/>
            <w:shd w:val="clear" w:color="auto" w:fill="FFFFFF"/>
          </w:rPr>
          <w:t>Нью-Йорк</w:t>
        </w:r>
      </w:hyperlink>
      <w:r>
        <w:rPr>
          <w:rFonts w:ascii="Times New Roman" w:hAnsi="Times New Roman" w:cs="Times New Roman"/>
          <w:sz w:val="28"/>
          <w:szCs w:val="28"/>
          <w:shd w:val="clear" w:color="auto" w:fill="FFFFFF"/>
        </w:rPr>
        <w:t> : </w:t>
      </w:r>
      <w:hyperlink r:id="rId15" w:tooltip="Oxford University Press" w:history="1">
        <w:r>
          <w:rPr>
            <w:rStyle w:val="a4"/>
            <w:rFonts w:ascii="Times New Roman" w:hAnsi="Times New Roman" w:cs="Times New Roman"/>
            <w:sz w:val="28"/>
            <w:szCs w:val="28"/>
            <w:shd w:val="clear" w:color="auto" w:fill="FFFFFF"/>
          </w:rPr>
          <w:t>Oxford University Press</w:t>
        </w:r>
      </w:hyperlink>
      <w:r>
        <w:rPr>
          <w:rFonts w:ascii="Times New Roman" w:hAnsi="Times New Roman" w:cs="Times New Roman"/>
          <w:sz w:val="28"/>
          <w:szCs w:val="28"/>
          <w:shd w:val="clear" w:color="auto" w:fill="FFFFFF"/>
        </w:rPr>
        <w:t> . С. 42–60</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Busemeyer, Marius R.; Rathgeb, Philip; Sahm, Alexander H. J. (2 March 2021). "Authoritarian values and the welfare state: the social policy preferences of radical right voters"</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Ignazi 2002, p. 26.</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Paul Taggart, “A Touchstone of Dissent: Euroscepticism in Contemporary Western European Party Systems”, European Journal of Political Research, vol. 33 no. 3, 1998, p. 366.</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Robert Harmsen, „On Understanding the Relationship between Populism and Euroscepticism”, Perspectives on European Politics and Society, vol. 11 no. 3, 2010.</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lastRenderedPageBreak/>
        <w:t>Yves Surel, “The European Union and the challenges of populism”, Policy Brief No. 27, Notre Europe – Jacques Delors Institute, June 2011: 2.</w:t>
      </w:r>
    </w:p>
    <w:p w:rsidR="000B14E6" w:rsidRDefault="000B14E6" w:rsidP="000B14E6">
      <w:pPr>
        <w:pStyle w:val="a3"/>
        <w:numPr>
          <w:ilvl w:val="0"/>
          <w:numId w:val="3"/>
        </w:numPr>
        <w:rPr>
          <w:rFonts w:ascii="Times New Roman" w:hAnsi="Times New Roman" w:cs="Times New Roman"/>
          <w:sz w:val="28"/>
          <w:szCs w:val="28"/>
          <w:lang w:val="uk-UA"/>
        </w:rPr>
      </w:pPr>
      <w:r>
        <w:rPr>
          <w:rFonts w:ascii="Times New Roman" w:hAnsi="Times New Roman" w:cs="Times New Roman"/>
          <w:sz w:val="28"/>
          <w:szCs w:val="28"/>
          <w:lang w:val="en-US"/>
        </w:rPr>
        <w:t>On this point, see Yves Surel, “The European Union and the challenge of populism”,</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Far right and nationalist parties tend to adopt a negative attitude towards EU to suit their ideological preposition. ‘A Field Guide to Europe’s Radical Right Political Parties’. The World Post, 2015. Source: http://www.huffingtonpost.com/2015/02/12/ europe-far-right_n_6511022.html Checked: 2015-06-10</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color w:val="212529"/>
          <w:sz w:val="28"/>
          <w:szCs w:val="28"/>
          <w:shd w:val="clear" w:color="auto" w:fill="FFFFFF"/>
          <w:lang w:val="en-US"/>
        </w:rPr>
        <w:t>Hungarian Justice and Life and Workers Party adjusted its competitive campaign policies to better suit the elections. Euroscepticism was softened and or sharpened dependent on the need. ‘Battle for Hungary’s media, BBC News Agency: 2000. Source: http://news.bbc.co.uk/2/hi/world/monitoring/media_reports/690851.stm Checked 2015-06-10 . </w:t>
      </w:r>
    </w:p>
    <w:p w:rsidR="000B14E6"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Trenz HJ, de Wilde P (2009) Denouncing European Integration. Centre for European Studies, University of Oslo. </w:t>
      </w:r>
    </w:p>
    <w:p w:rsidR="000B14E6" w:rsidRPr="00F22CF7" w:rsidRDefault="000B14E6" w:rsidP="000B14E6">
      <w:pPr>
        <w:pStyle w:val="a3"/>
        <w:numPr>
          <w:ilvl w:val="0"/>
          <w:numId w:val="3"/>
        </w:numPr>
        <w:spacing w:before="0"/>
        <w:ind w:right="0"/>
        <w:rPr>
          <w:rFonts w:ascii="Times New Roman" w:hAnsi="Times New Roman" w:cs="Times New Roman"/>
          <w:sz w:val="28"/>
          <w:szCs w:val="28"/>
          <w:lang w:val="uk-UA"/>
        </w:rPr>
      </w:pPr>
      <w:r>
        <w:rPr>
          <w:rFonts w:ascii="Times New Roman" w:hAnsi="Times New Roman" w:cs="Times New Roman"/>
          <w:sz w:val="28"/>
          <w:szCs w:val="28"/>
          <w:lang w:val="en-US"/>
        </w:rPr>
        <w:t>Hix S. Why the 2014 European elections matter: ten key votes in the 2009 -2013 European Parliament [Electronic Resource] / S. Hix //European Policy.</w:t>
      </w:r>
    </w:p>
    <w:p w:rsidR="000B14E6" w:rsidRPr="000B14E6" w:rsidRDefault="000B14E6" w:rsidP="00094C83">
      <w:pPr>
        <w:rPr>
          <w:lang w:val="uk-UA"/>
        </w:rPr>
      </w:pPr>
      <w:bookmarkStart w:id="0" w:name="_GoBack"/>
      <w:bookmarkEnd w:id="0"/>
    </w:p>
    <w:sectPr w:rsidR="000B14E6" w:rsidRPr="000B14E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9AB37F9"/>
    <w:multiLevelType w:val="hybridMultilevel"/>
    <w:tmpl w:val="FF2AAFD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5A750B38"/>
    <w:multiLevelType w:val="hybridMultilevel"/>
    <w:tmpl w:val="E77AD79E"/>
    <w:lvl w:ilvl="0" w:tplc="010C7278">
      <w:start w:val="2009"/>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690B06CE"/>
    <w:multiLevelType w:val="hybridMultilevel"/>
    <w:tmpl w:val="EE5AAA0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C83"/>
    <w:rsid w:val="00094C83"/>
    <w:rsid w:val="000B14E6"/>
    <w:rsid w:val="00C749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21685F-496A-4E31-BD91-C5E6F00B0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4C8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4C83"/>
    <w:pPr>
      <w:spacing w:before="240" w:line="360" w:lineRule="auto"/>
      <w:ind w:left="720" w:right="567"/>
      <w:contextualSpacing/>
      <w:jc w:val="both"/>
    </w:pPr>
  </w:style>
  <w:style w:type="character" w:customStyle="1" w:styleId="1">
    <w:name w:val="Стиль1 Знак"/>
    <w:basedOn w:val="a0"/>
    <w:link w:val="10"/>
    <w:locked/>
    <w:rsid w:val="00094C83"/>
    <w:rPr>
      <w:rFonts w:ascii="Times New Roman" w:hAnsi="Times New Roman" w:cs="Times New Roman"/>
      <w:sz w:val="28"/>
    </w:rPr>
  </w:style>
  <w:style w:type="paragraph" w:customStyle="1" w:styleId="10">
    <w:name w:val="Стиль1"/>
    <w:basedOn w:val="a"/>
    <w:link w:val="1"/>
    <w:qFormat/>
    <w:rsid w:val="00094C83"/>
    <w:pPr>
      <w:spacing w:before="240" w:line="360" w:lineRule="auto"/>
      <w:ind w:right="567"/>
      <w:jc w:val="both"/>
    </w:pPr>
    <w:rPr>
      <w:rFonts w:ascii="Times New Roman" w:hAnsi="Times New Roman" w:cs="Times New Roman"/>
      <w:sz w:val="28"/>
    </w:rPr>
  </w:style>
  <w:style w:type="character" w:styleId="a4">
    <w:name w:val="Hyperlink"/>
    <w:basedOn w:val="a0"/>
    <w:uiPriority w:val="99"/>
    <w:semiHidden/>
    <w:unhideWhenUsed/>
    <w:rsid w:val="000B14E6"/>
    <w:rPr>
      <w:color w:val="0000FF"/>
      <w:u w:val="single"/>
    </w:rPr>
  </w:style>
  <w:style w:type="character" w:styleId="a5">
    <w:name w:val="Emphasis"/>
    <w:basedOn w:val="a0"/>
    <w:uiPriority w:val="20"/>
    <w:qFormat/>
    <w:rsid w:val="000B14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iss.ru/analitycs/25709/" TargetMode="External"/><Relationship Id="rId13" Type="http://schemas.openxmlformats.org/officeDocument/2006/relationships/hyperlink" Target="https://en.wikipedia.org/wiki/Oxford" TargetMode="External"/><Relationship Id="rId3" Type="http://schemas.openxmlformats.org/officeDocument/2006/relationships/settings" Target="settings.xml"/><Relationship Id="rId7" Type="http://schemas.openxmlformats.org/officeDocument/2006/relationships/hyperlink" Target="https://www.uaces.org/documents/papers/0201/flood.pdf" TargetMode="External"/><Relationship Id="rId12" Type="http://schemas.openxmlformats.org/officeDocument/2006/relationships/hyperlink" Target="https://books.google.com/books?id=XD9FDwAAQBAJ&amp;pg=PA4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radiosvoboda.org/a/25401905.html" TargetMode="External"/><Relationship Id="rId11" Type="http://schemas.openxmlformats.org/officeDocument/2006/relationships/hyperlink" Target="https://en.wikipedia.org/wiki/Acta_Politica" TargetMode="External"/><Relationship Id="rId5" Type="http://schemas.openxmlformats.org/officeDocument/2006/relationships/hyperlink" Target="http://www.geopolitika.lt/?artc=151" TargetMode="External"/><Relationship Id="rId15" Type="http://schemas.openxmlformats.org/officeDocument/2006/relationships/hyperlink" Target="https://en.wikipedia.org/wiki/Oxford_University_Press" TargetMode="External"/><Relationship Id="rId10" Type="http://schemas.openxmlformats.org/officeDocument/2006/relationships/hyperlink" Target="https://www.radiosvoboda.org/a/25401905.html" TargetMode="External"/><Relationship Id="rId4" Type="http://schemas.openxmlformats.org/officeDocument/2006/relationships/webSettings" Target="webSettings.xml"/><Relationship Id="rId9" Type="http://schemas.openxmlformats.org/officeDocument/2006/relationships/hyperlink" Target="https://www.dw.com/u" TargetMode="External"/><Relationship Id="rId14" Type="http://schemas.openxmlformats.org/officeDocument/2006/relationships/hyperlink" Target="https://en.wikipedia.org/wiki/New_York_C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2836</Words>
  <Characters>16168</Characters>
  <Application>Microsoft Office Word</Application>
  <DocSecurity>0</DocSecurity>
  <Lines>134</Lines>
  <Paragraphs>37</Paragraphs>
  <ScaleCrop>false</ScaleCrop>
  <Company/>
  <LinksUpToDate>false</LinksUpToDate>
  <CharactersWithSpaces>18967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2023-05-23T09:18:00Z</dcterms:created>
  <dcterms:modified xsi:type="dcterms:W3CDTF">2023-05-23T09:19:00Z</dcterms:modified>
</cp:coreProperties>
</file>