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82F95" w:rsidRDefault="00E37933">
      <w:pPr>
        <w:ind w:right="-499"/>
        <w:jc w:val="center"/>
        <w:rPr>
          <w:sz w:val="20"/>
          <w:szCs w:val="20"/>
        </w:rPr>
      </w:pPr>
      <w:bookmarkStart w:id="0" w:name="page1"/>
      <w:bookmarkEnd w:id="0"/>
      <w:r>
        <w:rPr>
          <w:rFonts w:eastAsia="Times New Roman"/>
          <w:b/>
          <w:bCs/>
          <w:sz w:val="28"/>
          <w:szCs w:val="28"/>
        </w:rPr>
        <w:t>ОДЕСЬКИЙ НАЦІОНАЛЬНИЙ УНІВЕРСИТЕТ</w:t>
      </w:r>
    </w:p>
    <w:p w:rsidR="00682F95" w:rsidRDefault="00682F95">
      <w:pPr>
        <w:spacing w:line="163" w:lineRule="exact"/>
        <w:rPr>
          <w:sz w:val="24"/>
          <w:szCs w:val="24"/>
        </w:rPr>
      </w:pPr>
    </w:p>
    <w:p w:rsidR="00682F95" w:rsidRDefault="00E37933">
      <w:pPr>
        <w:ind w:right="-499"/>
        <w:jc w:val="center"/>
        <w:rPr>
          <w:sz w:val="20"/>
          <w:szCs w:val="20"/>
        </w:rPr>
      </w:pPr>
      <w:r>
        <w:rPr>
          <w:rFonts w:eastAsia="Times New Roman"/>
          <w:b/>
          <w:bCs/>
          <w:sz w:val="28"/>
          <w:szCs w:val="28"/>
        </w:rPr>
        <w:t>імені І.І. МЕЧНИКОВА</w:t>
      </w:r>
    </w:p>
    <w:p w:rsidR="00682F95" w:rsidRDefault="00682F95">
      <w:pPr>
        <w:spacing w:line="160" w:lineRule="exact"/>
        <w:rPr>
          <w:sz w:val="24"/>
          <w:szCs w:val="24"/>
        </w:rPr>
      </w:pPr>
    </w:p>
    <w:p w:rsidR="00682F95" w:rsidRDefault="00E37933">
      <w:pPr>
        <w:ind w:right="-499"/>
        <w:jc w:val="center"/>
        <w:rPr>
          <w:sz w:val="20"/>
          <w:szCs w:val="20"/>
        </w:rPr>
      </w:pPr>
      <w:r>
        <w:rPr>
          <w:rFonts w:eastAsia="Times New Roman"/>
          <w:b/>
          <w:bCs/>
          <w:sz w:val="28"/>
          <w:szCs w:val="28"/>
        </w:rPr>
        <w:t>ФАКУЛЬТЕТ РОМАНО-ГЕРМАНСЬКОЇ ФІЛОЛОГІЇ</w:t>
      </w:r>
    </w:p>
    <w:p w:rsidR="00682F95" w:rsidRDefault="00682F95">
      <w:pPr>
        <w:spacing w:line="160" w:lineRule="exact"/>
        <w:rPr>
          <w:sz w:val="24"/>
          <w:szCs w:val="24"/>
        </w:rPr>
      </w:pPr>
    </w:p>
    <w:p w:rsidR="00682F95" w:rsidRDefault="00E37933">
      <w:pPr>
        <w:ind w:right="-499"/>
        <w:jc w:val="center"/>
        <w:rPr>
          <w:sz w:val="20"/>
          <w:szCs w:val="20"/>
        </w:rPr>
      </w:pPr>
      <w:r>
        <w:rPr>
          <w:rFonts w:eastAsia="Times New Roman"/>
          <w:b/>
          <w:bCs/>
          <w:sz w:val="28"/>
          <w:szCs w:val="28"/>
        </w:rPr>
        <w:t>КАФЕДРА НІМЕЦЬКОЇ ФІЛОЛОГІЇ</w:t>
      </w:r>
    </w:p>
    <w:p w:rsidR="00682F95" w:rsidRDefault="00682F95">
      <w:pPr>
        <w:spacing w:line="200" w:lineRule="exact"/>
        <w:rPr>
          <w:sz w:val="24"/>
          <w:szCs w:val="24"/>
        </w:rPr>
      </w:pPr>
    </w:p>
    <w:p w:rsidR="00682F95" w:rsidRDefault="00682F95">
      <w:pPr>
        <w:spacing w:line="200" w:lineRule="exact"/>
        <w:rPr>
          <w:sz w:val="24"/>
          <w:szCs w:val="24"/>
        </w:rPr>
      </w:pPr>
    </w:p>
    <w:p w:rsidR="00682F95" w:rsidRDefault="00682F95">
      <w:pPr>
        <w:spacing w:line="245" w:lineRule="exact"/>
        <w:rPr>
          <w:sz w:val="24"/>
          <w:szCs w:val="24"/>
        </w:rPr>
      </w:pPr>
    </w:p>
    <w:p w:rsidR="00682F95" w:rsidRDefault="00E37933">
      <w:pPr>
        <w:ind w:right="-499"/>
        <w:jc w:val="center"/>
        <w:rPr>
          <w:sz w:val="20"/>
          <w:szCs w:val="20"/>
        </w:rPr>
      </w:pPr>
      <w:r>
        <w:rPr>
          <w:rFonts w:eastAsia="Times New Roman"/>
          <w:b/>
          <w:bCs/>
          <w:sz w:val="28"/>
          <w:szCs w:val="28"/>
        </w:rPr>
        <w:t>Дипломна робота</w:t>
      </w:r>
    </w:p>
    <w:p w:rsidR="00682F95" w:rsidRDefault="00682F95">
      <w:pPr>
        <w:spacing w:line="156" w:lineRule="exact"/>
        <w:rPr>
          <w:sz w:val="24"/>
          <w:szCs w:val="24"/>
        </w:rPr>
      </w:pPr>
    </w:p>
    <w:p w:rsidR="00682F95" w:rsidRDefault="00E37933">
      <w:pPr>
        <w:ind w:right="-499"/>
        <w:jc w:val="center"/>
        <w:rPr>
          <w:sz w:val="20"/>
          <w:szCs w:val="20"/>
        </w:rPr>
      </w:pPr>
      <w:r>
        <w:rPr>
          <w:rFonts w:eastAsia="Times New Roman"/>
          <w:sz w:val="28"/>
          <w:szCs w:val="28"/>
        </w:rPr>
        <w:t>бакалавра</w:t>
      </w:r>
    </w:p>
    <w:p w:rsidR="00682F95" w:rsidRDefault="00682F95">
      <w:pPr>
        <w:spacing w:line="160" w:lineRule="exact"/>
        <w:rPr>
          <w:sz w:val="24"/>
          <w:szCs w:val="24"/>
        </w:rPr>
      </w:pPr>
    </w:p>
    <w:p w:rsidR="00682F95" w:rsidRDefault="00E37933">
      <w:pPr>
        <w:ind w:right="-499"/>
        <w:jc w:val="center"/>
        <w:rPr>
          <w:sz w:val="20"/>
          <w:szCs w:val="20"/>
        </w:rPr>
      </w:pPr>
      <w:r>
        <w:rPr>
          <w:rFonts w:eastAsia="Times New Roman"/>
          <w:sz w:val="28"/>
          <w:szCs w:val="28"/>
        </w:rPr>
        <w:t xml:space="preserve">на тему: </w:t>
      </w:r>
      <w:r>
        <w:rPr>
          <w:rFonts w:eastAsia="Times New Roman"/>
          <w:b/>
          <w:bCs/>
          <w:sz w:val="28"/>
          <w:szCs w:val="28"/>
        </w:rPr>
        <w:t>«</w:t>
      </w:r>
      <w:r>
        <w:rPr>
          <w:rFonts w:eastAsia="Times New Roman"/>
          <w:b/>
          <w:bCs/>
          <w:i/>
          <w:iCs/>
          <w:sz w:val="28"/>
          <w:szCs w:val="28"/>
        </w:rPr>
        <w:t>Тактика аргументація як засіб навчального інструменту</w:t>
      </w:r>
      <w:r>
        <w:rPr>
          <w:rFonts w:eastAsia="Times New Roman"/>
          <w:b/>
          <w:bCs/>
          <w:sz w:val="28"/>
          <w:szCs w:val="28"/>
        </w:rPr>
        <w:t>»</w:t>
      </w:r>
    </w:p>
    <w:p w:rsidR="00682F95" w:rsidRDefault="00682F95">
      <w:pPr>
        <w:spacing w:line="160" w:lineRule="exact"/>
        <w:rPr>
          <w:sz w:val="24"/>
          <w:szCs w:val="24"/>
        </w:rPr>
      </w:pPr>
    </w:p>
    <w:p w:rsidR="00682F95" w:rsidRDefault="00E37933">
      <w:pPr>
        <w:ind w:right="-499"/>
        <w:jc w:val="center"/>
        <w:rPr>
          <w:sz w:val="20"/>
          <w:szCs w:val="20"/>
        </w:rPr>
      </w:pPr>
      <w:r>
        <w:rPr>
          <w:rFonts w:eastAsia="Times New Roman"/>
          <w:sz w:val="28"/>
          <w:szCs w:val="28"/>
        </w:rPr>
        <w:t>«</w:t>
      </w:r>
      <w:r>
        <w:rPr>
          <w:rFonts w:eastAsia="Times New Roman"/>
          <w:i/>
          <w:iCs/>
          <w:sz w:val="28"/>
          <w:szCs w:val="28"/>
        </w:rPr>
        <w:t xml:space="preserve">The tactics of argumentation as </w:t>
      </w:r>
      <w:r>
        <w:rPr>
          <w:rFonts w:eastAsia="Times New Roman"/>
          <w:i/>
          <w:iCs/>
          <w:sz w:val="28"/>
          <w:szCs w:val="28"/>
        </w:rPr>
        <w:t>the learning tool</w:t>
      </w:r>
      <w:r>
        <w:rPr>
          <w:rFonts w:eastAsia="Times New Roman"/>
          <w:sz w:val="28"/>
          <w:szCs w:val="28"/>
        </w:rPr>
        <w:t>»</w:t>
      </w:r>
    </w:p>
    <w:p w:rsidR="00682F95" w:rsidRDefault="00682F95">
      <w:pPr>
        <w:spacing w:line="200" w:lineRule="exact"/>
        <w:rPr>
          <w:sz w:val="24"/>
          <w:szCs w:val="24"/>
        </w:rPr>
      </w:pPr>
    </w:p>
    <w:p w:rsidR="00682F95" w:rsidRDefault="00682F95">
      <w:pPr>
        <w:spacing w:line="200" w:lineRule="exact"/>
        <w:rPr>
          <w:sz w:val="24"/>
          <w:szCs w:val="24"/>
        </w:rPr>
      </w:pPr>
    </w:p>
    <w:p w:rsidR="00682F95" w:rsidRDefault="00682F95">
      <w:pPr>
        <w:spacing w:line="259" w:lineRule="exact"/>
        <w:rPr>
          <w:sz w:val="24"/>
          <w:szCs w:val="24"/>
        </w:rPr>
      </w:pPr>
    </w:p>
    <w:p w:rsidR="00682F95" w:rsidRDefault="00E37933">
      <w:pPr>
        <w:spacing w:line="371" w:lineRule="auto"/>
        <w:ind w:left="2540" w:right="1480"/>
        <w:rPr>
          <w:sz w:val="20"/>
          <w:szCs w:val="20"/>
        </w:rPr>
      </w:pPr>
      <w:r>
        <w:rPr>
          <w:rFonts w:eastAsia="Times New Roman"/>
          <w:sz w:val="27"/>
          <w:szCs w:val="27"/>
        </w:rPr>
        <w:t>Виконала: студентка денної форми навчання напряму підготовки 6.020303 Філологія</w:t>
      </w:r>
    </w:p>
    <w:p w:rsidR="00682F95" w:rsidRDefault="00682F95">
      <w:pPr>
        <w:spacing w:line="200" w:lineRule="exact"/>
        <w:rPr>
          <w:sz w:val="24"/>
          <w:szCs w:val="24"/>
        </w:rPr>
      </w:pPr>
    </w:p>
    <w:p w:rsidR="00682F95" w:rsidRDefault="00682F95">
      <w:pPr>
        <w:spacing w:line="290" w:lineRule="exact"/>
        <w:rPr>
          <w:sz w:val="24"/>
          <w:szCs w:val="24"/>
        </w:rPr>
      </w:pPr>
    </w:p>
    <w:p w:rsidR="00150548" w:rsidRDefault="00150548">
      <w:pPr>
        <w:spacing w:line="372" w:lineRule="auto"/>
        <w:ind w:left="2540" w:right="1080"/>
        <w:rPr>
          <w:rFonts w:eastAsia="Times New Roman"/>
          <w:sz w:val="27"/>
          <w:szCs w:val="27"/>
          <w:lang w:val="ru-RU"/>
        </w:rPr>
      </w:pPr>
      <w:proofErr w:type="spellStart"/>
      <w:r>
        <w:rPr>
          <w:rFonts w:eastAsia="Times New Roman"/>
          <w:sz w:val="27"/>
          <w:szCs w:val="27"/>
        </w:rPr>
        <w:t>Казаченко</w:t>
      </w:r>
      <w:proofErr w:type="spellEnd"/>
      <w:r>
        <w:rPr>
          <w:rFonts w:eastAsia="Times New Roman"/>
          <w:sz w:val="27"/>
          <w:szCs w:val="27"/>
        </w:rPr>
        <w:t xml:space="preserve"> </w:t>
      </w:r>
      <w:r>
        <w:rPr>
          <w:rFonts w:eastAsia="Times New Roman"/>
          <w:sz w:val="27"/>
          <w:szCs w:val="27"/>
          <w:lang w:val="ru-RU"/>
        </w:rPr>
        <w:t>А</w:t>
      </w:r>
      <w:proofErr w:type="spellStart"/>
      <w:r>
        <w:rPr>
          <w:rFonts w:eastAsia="Times New Roman"/>
          <w:sz w:val="27"/>
          <w:szCs w:val="27"/>
        </w:rPr>
        <w:t>настасія</w:t>
      </w:r>
      <w:proofErr w:type="spellEnd"/>
      <w:r>
        <w:rPr>
          <w:rFonts w:eastAsia="Times New Roman"/>
          <w:sz w:val="27"/>
          <w:szCs w:val="27"/>
        </w:rPr>
        <w:t xml:space="preserve"> </w:t>
      </w:r>
      <w:r>
        <w:rPr>
          <w:rFonts w:eastAsia="Times New Roman"/>
          <w:sz w:val="27"/>
          <w:szCs w:val="27"/>
          <w:lang w:val="ru-RU"/>
        </w:rPr>
        <w:t>Ф</w:t>
      </w:r>
      <w:proofErr w:type="spellStart"/>
      <w:r>
        <w:rPr>
          <w:rFonts w:eastAsia="Times New Roman"/>
          <w:sz w:val="27"/>
          <w:szCs w:val="27"/>
        </w:rPr>
        <w:t>едорівна</w:t>
      </w:r>
      <w:proofErr w:type="spellEnd"/>
      <w:r>
        <w:rPr>
          <w:rFonts w:eastAsia="Times New Roman"/>
          <w:sz w:val="27"/>
          <w:szCs w:val="27"/>
        </w:rPr>
        <w:t xml:space="preserve"> </w:t>
      </w:r>
    </w:p>
    <w:p w:rsidR="00682F95" w:rsidRDefault="00E37933">
      <w:pPr>
        <w:spacing w:line="372" w:lineRule="auto"/>
        <w:ind w:left="2540" w:right="1080"/>
        <w:rPr>
          <w:sz w:val="20"/>
          <w:szCs w:val="20"/>
        </w:rPr>
      </w:pPr>
      <w:r>
        <w:rPr>
          <w:rFonts w:eastAsia="Times New Roman"/>
          <w:sz w:val="27"/>
          <w:szCs w:val="27"/>
        </w:rPr>
        <w:t xml:space="preserve">Керівник </w:t>
      </w:r>
      <w:proofErr w:type="spellStart"/>
      <w:r>
        <w:rPr>
          <w:rFonts w:eastAsia="Times New Roman"/>
          <w:sz w:val="27"/>
          <w:szCs w:val="27"/>
        </w:rPr>
        <w:t>к.пед.н</w:t>
      </w:r>
      <w:proofErr w:type="spellEnd"/>
      <w:r>
        <w:rPr>
          <w:rFonts w:eastAsia="Times New Roman"/>
          <w:sz w:val="27"/>
          <w:szCs w:val="27"/>
        </w:rPr>
        <w:t>., доц. ПИЛИПЮК К.М. Рецензент к.пед.н., ст. викл. ХРОМЧЕНКО О.В.</w:t>
      </w:r>
    </w:p>
    <w:p w:rsidR="00682F95" w:rsidRDefault="00682F95">
      <w:pPr>
        <w:spacing w:line="200" w:lineRule="exact"/>
        <w:rPr>
          <w:sz w:val="24"/>
          <w:szCs w:val="24"/>
        </w:rPr>
      </w:pPr>
    </w:p>
    <w:p w:rsidR="00682F95" w:rsidRDefault="00682F95">
      <w:pPr>
        <w:spacing w:line="200" w:lineRule="exact"/>
        <w:rPr>
          <w:sz w:val="24"/>
          <w:szCs w:val="24"/>
        </w:rPr>
      </w:pPr>
    </w:p>
    <w:p w:rsidR="00682F95" w:rsidRDefault="00682F95">
      <w:pPr>
        <w:spacing w:line="200" w:lineRule="exact"/>
        <w:rPr>
          <w:sz w:val="24"/>
          <w:szCs w:val="24"/>
        </w:rPr>
      </w:pPr>
    </w:p>
    <w:p w:rsidR="00682F95" w:rsidRDefault="00682F95">
      <w:pPr>
        <w:spacing w:line="358" w:lineRule="exact"/>
        <w:rPr>
          <w:sz w:val="24"/>
          <w:szCs w:val="24"/>
        </w:rPr>
      </w:pPr>
    </w:p>
    <w:tbl>
      <w:tblPr>
        <w:tblW w:w="0" w:type="auto"/>
        <w:tblInd w:w="260" w:type="dxa"/>
        <w:tblLayout w:type="fixed"/>
        <w:tblCellMar>
          <w:left w:w="0" w:type="dxa"/>
          <w:right w:w="0" w:type="dxa"/>
        </w:tblCellMar>
        <w:tblLook w:val="04A0" w:firstRow="1" w:lastRow="0" w:firstColumn="1" w:lastColumn="0" w:noHBand="0" w:noVBand="1"/>
      </w:tblPr>
      <w:tblGrid>
        <w:gridCol w:w="4200"/>
        <w:gridCol w:w="2520"/>
        <w:gridCol w:w="2020"/>
        <w:gridCol w:w="20"/>
      </w:tblGrid>
      <w:tr w:rsidR="00682F95">
        <w:trPr>
          <w:trHeight w:val="322"/>
        </w:trPr>
        <w:tc>
          <w:tcPr>
            <w:tcW w:w="4200" w:type="dxa"/>
            <w:vAlign w:val="bottom"/>
          </w:tcPr>
          <w:p w:rsidR="00682F95" w:rsidRDefault="00E37933">
            <w:pPr>
              <w:rPr>
                <w:sz w:val="20"/>
                <w:szCs w:val="20"/>
              </w:rPr>
            </w:pPr>
            <w:r>
              <w:rPr>
                <w:rFonts w:eastAsia="Times New Roman"/>
                <w:sz w:val="28"/>
                <w:szCs w:val="28"/>
              </w:rPr>
              <w:t>Рекомендовано до захисту:</w:t>
            </w:r>
          </w:p>
        </w:tc>
        <w:tc>
          <w:tcPr>
            <w:tcW w:w="4540" w:type="dxa"/>
            <w:gridSpan w:val="2"/>
            <w:vAlign w:val="bottom"/>
          </w:tcPr>
          <w:p w:rsidR="00682F95" w:rsidRDefault="00E37933">
            <w:pPr>
              <w:ind w:left="840"/>
              <w:rPr>
                <w:sz w:val="20"/>
                <w:szCs w:val="20"/>
              </w:rPr>
            </w:pPr>
            <w:r>
              <w:rPr>
                <w:rFonts w:eastAsia="Times New Roman"/>
                <w:sz w:val="28"/>
                <w:szCs w:val="28"/>
              </w:rPr>
              <w:t xml:space="preserve">Захищено </w:t>
            </w:r>
            <w:r>
              <w:rPr>
                <w:rFonts w:eastAsia="Times New Roman"/>
                <w:sz w:val="28"/>
                <w:szCs w:val="28"/>
              </w:rPr>
              <w:t>на засіданні ЕК №3</w:t>
            </w:r>
          </w:p>
        </w:tc>
        <w:tc>
          <w:tcPr>
            <w:tcW w:w="0" w:type="dxa"/>
            <w:vAlign w:val="bottom"/>
          </w:tcPr>
          <w:p w:rsidR="00682F95" w:rsidRDefault="00682F95">
            <w:pPr>
              <w:rPr>
                <w:sz w:val="1"/>
                <w:szCs w:val="1"/>
              </w:rPr>
            </w:pPr>
          </w:p>
        </w:tc>
      </w:tr>
      <w:tr w:rsidR="00682F95">
        <w:trPr>
          <w:trHeight w:val="482"/>
        </w:trPr>
        <w:tc>
          <w:tcPr>
            <w:tcW w:w="4200" w:type="dxa"/>
            <w:vAlign w:val="bottom"/>
          </w:tcPr>
          <w:p w:rsidR="00682F95" w:rsidRDefault="00E37933">
            <w:pPr>
              <w:rPr>
                <w:sz w:val="20"/>
                <w:szCs w:val="20"/>
              </w:rPr>
            </w:pPr>
            <w:r>
              <w:rPr>
                <w:rFonts w:eastAsia="Times New Roman"/>
                <w:sz w:val="28"/>
                <w:szCs w:val="28"/>
              </w:rPr>
              <w:t>протокол засідання кафедри</w:t>
            </w:r>
          </w:p>
        </w:tc>
        <w:tc>
          <w:tcPr>
            <w:tcW w:w="2520" w:type="dxa"/>
            <w:vAlign w:val="bottom"/>
          </w:tcPr>
          <w:p w:rsidR="00682F95" w:rsidRDefault="00E37933">
            <w:pPr>
              <w:ind w:left="840"/>
              <w:rPr>
                <w:sz w:val="20"/>
                <w:szCs w:val="20"/>
              </w:rPr>
            </w:pPr>
            <w:r>
              <w:rPr>
                <w:rFonts w:eastAsia="Times New Roman"/>
                <w:sz w:val="28"/>
                <w:szCs w:val="28"/>
              </w:rPr>
              <w:t>протокол №</w:t>
            </w:r>
          </w:p>
        </w:tc>
        <w:tc>
          <w:tcPr>
            <w:tcW w:w="2020" w:type="dxa"/>
            <w:vAlign w:val="bottom"/>
          </w:tcPr>
          <w:p w:rsidR="00682F95" w:rsidRDefault="00E37933">
            <w:pPr>
              <w:ind w:left="240"/>
              <w:rPr>
                <w:sz w:val="20"/>
                <w:szCs w:val="20"/>
              </w:rPr>
            </w:pPr>
            <w:r>
              <w:rPr>
                <w:rFonts w:eastAsia="Times New Roman"/>
                <w:sz w:val="28"/>
                <w:szCs w:val="28"/>
              </w:rPr>
              <w:t>від</w:t>
            </w:r>
          </w:p>
        </w:tc>
        <w:tc>
          <w:tcPr>
            <w:tcW w:w="0" w:type="dxa"/>
            <w:vAlign w:val="bottom"/>
          </w:tcPr>
          <w:p w:rsidR="00682F95" w:rsidRDefault="00682F95">
            <w:pPr>
              <w:rPr>
                <w:sz w:val="1"/>
                <w:szCs w:val="1"/>
              </w:rPr>
            </w:pPr>
          </w:p>
        </w:tc>
      </w:tr>
      <w:tr w:rsidR="00682F95">
        <w:trPr>
          <w:trHeight w:val="482"/>
        </w:trPr>
        <w:tc>
          <w:tcPr>
            <w:tcW w:w="4200" w:type="dxa"/>
            <w:vAlign w:val="bottom"/>
          </w:tcPr>
          <w:p w:rsidR="00682F95" w:rsidRDefault="00E37933">
            <w:pPr>
              <w:rPr>
                <w:sz w:val="20"/>
                <w:szCs w:val="20"/>
              </w:rPr>
            </w:pPr>
            <w:r>
              <w:rPr>
                <w:rFonts w:eastAsia="Times New Roman"/>
                <w:sz w:val="28"/>
                <w:szCs w:val="28"/>
              </w:rPr>
              <w:t>німецької філології</w:t>
            </w:r>
          </w:p>
        </w:tc>
        <w:tc>
          <w:tcPr>
            <w:tcW w:w="4540" w:type="dxa"/>
            <w:gridSpan w:val="2"/>
            <w:vAlign w:val="bottom"/>
          </w:tcPr>
          <w:p w:rsidR="00682F95" w:rsidRDefault="00E37933">
            <w:pPr>
              <w:ind w:left="840"/>
              <w:rPr>
                <w:sz w:val="20"/>
                <w:szCs w:val="20"/>
              </w:rPr>
            </w:pPr>
            <w:r>
              <w:rPr>
                <w:rFonts w:eastAsia="Times New Roman"/>
                <w:sz w:val="28"/>
                <w:szCs w:val="28"/>
              </w:rPr>
              <w:t>Оцінка__________/____/_____</w:t>
            </w:r>
          </w:p>
        </w:tc>
        <w:tc>
          <w:tcPr>
            <w:tcW w:w="0" w:type="dxa"/>
            <w:vAlign w:val="bottom"/>
          </w:tcPr>
          <w:p w:rsidR="00682F95" w:rsidRDefault="00682F95">
            <w:pPr>
              <w:rPr>
                <w:sz w:val="1"/>
                <w:szCs w:val="1"/>
              </w:rPr>
            </w:pPr>
          </w:p>
        </w:tc>
      </w:tr>
      <w:tr w:rsidR="00682F95">
        <w:trPr>
          <w:trHeight w:val="340"/>
        </w:trPr>
        <w:tc>
          <w:tcPr>
            <w:tcW w:w="4200" w:type="dxa"/>
            <w:vMerge w:val="restart"/>
            <w:vAlign w:val="bottom"/>
          </w:tcPr>
          <w:p w:rsidR="00682F95" w:rsidRDefault="00E37933">
            <w:pPr>
              <w:rPr>
                <w:sz w:val="20"/>
                <w:szCs w:val="20"/>
              </w:rPr>
            </w:pPr>
            <w:r>
              <w:rPr>
                <w:rFonts w:eastAsia="Times New Roman"/>
                <w:sz w:val="28"/>
                <w:szCs w:val="28"/>
              </w:rPr>
              <w:t>№ 10 від 22.05.2018</w:t>
            </w:r>
          </w:p>
        </w:tc>
        <w:tc>
          <w:tcPr>
            <w:tcW w:w="4540" w:type="dxa"/>
            <w:gridSpan w:val="2"/>
            <w:vAlign w:val="bottom"/>
          </w:tcPr>
          <w:p w:rsidR="00682F95" w:rsidRDefault="00E37933">
            <w:pPr>
              <w:ind w:left="840"/>
              <w:rPr>
                <w:sz w:val="20"/>
                <w:szCs w:val="20"/>
              </w:rPr>
            </w:pPr>
            <w:r>
              <w:rPr>
                <w:rFonts w:eastAsia="Times New Roman"/>
                <w:w w:val="99"/>
                <w:sz w:val="18"/>
                <w:szCs w:val="18"/>
              </w:rPr>
              <w:t>(за національною шкалою, шкалою ECTS, бали)</w:t>
            </w:r>
          </w:p>
        </w:tc>
        <w:tc>
          <w:tcPr>
            <w:tcW w:w="0" w:type="dxa"/>
            <w:vAlign w:val="bottom"/>
          </w:tcPr>
          <w:p w:rsidR="00682F95" w:rsidRDefault="00682F95">
            <w:pPr>
              <w:rPr>
                <w:sz w:val="1"/>
                <w:szCs w:val="1"/>
              </w:rPr>
            </w:pPr>
          </w:p>
        </w:tc>
      </w:tr>
      <w:tr w:rsidR="00682F95">
        <w:trPr>
          <w:trHeight w:val="142"/>
        </w:trPr>
        <w:tc>
          <w:tcPr>
            <w:tcW w:w="4200" w:type="dxa"/>
            <w:vMerge/>
            <w:vAlign w:val="bottom"/>
          </w:tcPr>
          <w:p w:rsidR="00682F95" w:rsidRDefault="00682F95">
            <w:pPr>
              <w:rPr>
                <w:sz w:val="12"/>
                <w:szCs w:val="12"/>
              </w:rPr>
            </w:pPr>
          </w:p>
        </w:tc>
        <w:tc>
          <w:tcPr>
            <w:tcW w:w="2520" w:type="dxa"/>
            <w:vAlign w:val="bottom"/>
          </w:tcPr>
          <w:p w:rsidR="00682F95" w:rsidRDefault="00682F95">
            <w:pPr>
              <w:rPr>
                <w:sz w:val="12"/>
                <w:szCs w:val="12"/>
              </w:rPr>
            </w:pPr>
          </w:p>
        </w:tc>
        <w:tc>
          <w:tcPr>
            <w:tcW w:w="2020" w:type="dxa"/>
            <w:vAlign w:val="bottom"/>
          </w:tcPr>
          <w:p w:rsidR="00682F95" w:rsidRDefault="00682F95">
            <w:pPr>
              <w:rPr>
                <w:sz w:val="12"/>
                <w:szCs w:val="12"/>
              </w:rPr>
            </w:pPr>
          </w:p>
        </w:tc>
        <w:tc>
          <w:tcPr>
            <w:tcW w:w="0" w:type="dxa"/>
            <w:vAlign w:val="bottom"/>
          </w:tcPr>
          <w:p w:rsidR="00682F95" w:rsidRDefault="00682F95">
            <w:pPr>
              <w:rPr>
                <w:sz w:val="1"/>
                <w:szCs w:val="1"/>
              </w:rPr>
            </w:pPr>
          </w:p>
        </w:tc>
      </w:tr>
    </w:tbl>
    <w:p w:rsidR="00682F95" w:rsidRDefault="00682F95">
      <w:pPr>
        <w:spacing w:line="200" w:lineRule="exact"/>
        <w:rPr>
          <w:sz w:val="24"/>
          <w:szCs w:val="24"/>
        </w:rPr>
      </w:pPr>
    </w:p>
    <w:p w:rsidR="00682F95" w:rsidRDefault="00682F95">
      <w:pPr>
        <w:spacing w:line="200" w:lineRule="exact"/>
        <w:rPr>
          <w:sz w:val="24"/>
          <w:szCs w:val="24"/>
        </w:rPr>
      </w:pPr>
    </w:p>
    <w:p w:rsidR="00682F95" w:rsidRDefault="00682F95">
      <w:pPr>
        <w:spacing w:line="200" w:lineRule="exact"/>
        <w:rPr>
          <w:sz w:val="24"/>
          <w:szCs w:val="24"/>
        </w:rPr>
      </w:pPr>
    </w:p>
    <w:p w:rsidR="00682F95" w:rsidRDefault="00682F95">
      <w:pPr>
        <w:spacing w:line="200" w:lineRule="exact"/>
        <w:rPr>
          <w:sz w:val="24"/>
          <w:szCs w:val="24"/>
        </w:rPr>
      </w:pPr>
    </w:p>
    <w:p w:rsidR="00682F95" w:rsidRDefault="00682F95">
      <w:pPr>
        <w:spacing w:line="200" w:lineRule="exact"/>
        <w:rPr>
          <w:sz w:val="24"/>
          <w:szCs w:val="24"/>
        </w:rPr>
      </w:pPr>
    </w:p>
    <w:p w:rsidR="00682F95" w:rsidRDefault="00682F95">
      <w:pPr>
        <w:spacing w:line="200" w:lineRule="exact"/>
        <w:rPr>
          <w:sz w:val="24"/>
          <w:szCs w:val="24"/>
        </w:rPr>
      </w:pPr>
    </w:p>
    <w:p w:rsidR="00682F95" w:rsidRDefault="00682F95">
      <w:pPr>
        <w:spacing w:line="200" w:lineRule="exact"/>
        <w:rPr>
          <w:sz w:val="24"/>
          <w:szCs w:val="24"/>
        </w:rPr>
      </w:pPr>
    </w:p>
    <w:p w:rsidR="00682F95" w:rsidRDefault="00682F95">
      <w:pPr>
        <w:spacing w:line="200" w:lineRule="exact"/>
        <w:rPr>
          <w:sz w:val="24"/>
          <w:szCs w:val="24"/>
        </w:rPr>
      </w:pPr>
    </w:p>
    <w:p w:rsidR="00682F95" w:rsidRDefault="00682F95">
      <w:pPr>
        <w:spacing w:line="200" w:lineRule="exact"/>
        <w:rPr>
          <w:sz w:val="24"/>
          <w:szCs w:val="24"/>
        </w:rPr>
      </w:pPr>
    </w:p>
    <w:p w:rsidR="00682F95" w:rsidRDefault="00682F95">
      <w:pPr>
        <w:spacing w:line="271" w:lineRule="exact"/>
        <w:rPr>
          <w:sz w:val="24"/>
          <w:szCs w:val="24"/>
        </w:rPr>
      </w:pPr>
    </w:p>
    <w:tbl>
      <w:tblPr>
        <w:tblW w:w="0" w:type="auto"/>
        <w:tblInd w:w="260" w:type="dxa"/>
        <w:tblLayout w:type="fixed"/>
        <w:tblCellMar>
          <w:left w:w="0" w:type="dxa"/>
          <w:right w:w="0" w:type="dxa"/>
        </w:tblCellMar>
        <w:tblLook w:val="04A0" w:firstRow="1" w:lastRow="0" w:firstColumn="1" w:lastColumn="0" w:noHBand="0" w:noVBand="1"/>
      </w:tblPr>
      <w:tblGrid>
        <w:gridCol w:w="3780"/>
        <w:gridCol w:w="2720"/>
        <w:gridCol w:w="2620"/>
      </w:tblGrid>
      <w:tr w:rsidR="00682F95">
        <w:trPr>
          <w:trHeight w:val="346"/>
        </w:trPr>
        <w:tc>
          <w:tcPr>
            <w:tcW w:w="3780" w:type="dxa"/>
            <w:vAlign w:val="bottom"/>
          </w:tcPr>
          <w:p w:rsidR="00682F95" w:rsidRDefault="00E37933">
            <w:pPr>
              <w:rPr>
                <w:sz w:val="20"/>
                <w:szCs w:val="20"/>
              </w:rPr>
            </w:pPr>
            <w:r>
              <w:rPr>
                <w:rFonts w:eastAsia="Times New Roman"/>
                <w:sz w:val="28"/>
                <w:szCs w:val="28"/>
              </w:rPr>
              <w:t>Завідувач кафедри</w:t>
            </w:r>
          </w:p>
        </w:tc>
        <w:tc>
          <w:tcPr>
            <w:tcW w:w="2720" w:type="dxa"/>
            <w:vAlign w:val="bottom"/>
          </w:tcPr>
          <w:p w:rsidR="00682F95" w:rsidRDefault="00E37933">
            <w:pPr>
              <w:ind w:left="1260"/>
              <w:rPr>
                <w:sz w:val="20"/>
                <w:szCs w:val="20"/>
              </w:rPr>
            </w:pPr>
            <w:r>
              <w:rPr>
                <w:rFonts w:eastAsia="Times New Roman"/>
                <w:sz w:val="28"/>
                <w:szCs w:val="28"/>
              </w:rPr>
              <w:t>Голова ЕК</w:t>
            </w:r>
          </w:p>
        </w:tc>
        <w:tc>
          <w:tcPr>
            <w:tcW w:w="2620" w:type="dxa"/>
            <w:vAlign w:val="bottom"/>
          </w:tcPr>
          <w:p w:rsidR="00682F95" w:rsidRDefault="00682F95">
            <w:pPr>
              <w:rPr>
                <w:sz w:val="24"/>
                <w:szCs w:val="24"/>
              </w:rPr>
            </w:pPr>
          </w:p>
        </w:tc>
      </w:tr>
      <w:tr w:rsidR="00682F95">
        <w:trPr>
          <w:trHeight w:val="482"/>
        </w:trPr>
        <w:tc>
          <w:tcPr>
            <w:tcW w:w="3780" w:type="dxa"/>
            <w:vAlign w:val="bottom"/>
          </w:tcPr>
          <w:p w:rsidR="00682F95" w:rsidRDefault="00E37933">
            <w:pPr>
              <w:rPr>
                <w:sz w:val="20"/>
                <w:szCs w:val="20"/>
              </w:rPr>
            </w:pPr>
            <w:r>
              <w:rPr>
                <w:rFonts w:eastAsia="Times New Roman"/>
                <w:sz w:val="28"/>
                <w:szCs w:val="28"/>
              </w:rPr>
              <w:t>_______   Куліна І.Г.</w:t>
            </w:r>
          </w:p>
        </w:tc>
        <w:tc>
          <w:tcPr>
            <w:tcW w:w="2720" w:type="dxa"/>
            <w:vAlign w:val="bottom"/>
          </w:tcPr>
          <w:p w:rsidR="00682F95" w:rsidRDefault="00E37933">
            <w:pPr>
              <w:ind w:left="1260"/>
              <w:rPr>
                <w:sz w:val="20"/>
                <w:szCs w:val="20"/>
              </w:rPr>
            </w:pPr>
            <w:r>
              <w:rPr>
                <w:rFonts w:eastAsia="Times New Roman"/>
                <w:sz w:val="28"/>
                <w:szCs w:val="28"/>
              </w:rPr>
              <w:t>_______</w:t>
            </w:r>
          </w:p>
        </w:tc>
        <w:tc>
          <w:tcPr>
            <w:tcW w:w="2620" w:type="dxa"/>
            <w:vAlign w:val="bottom"/>
          </w:tcPr>
          <w:p w:rsidR="00682F95" w:rsidRDefault="00E37933">
            <w:pPr>
              <w:ind w:left="220"/>
              <w:rPr>
                <w:sz w:val="20"/>
                <w:szCs w:val="20"/>
              </w:rPr>
            </w:pPr>
            <w:r>
              <w:rPr>
                <w:rFonts w:eastAsia="Times New Roman"/>
                <w:w w:val="98"/>
                <w:sz w:val="28"/>
                <w:szCs w:val="28"/>
              </w:rPr>
              <w:t>Колесниченко Н.Ю.</w:t>
            </w:r>
          </w:p>
        </w:tc>
      </w:tr>
      <w:tr w:rsidR="00682F95">
        <w:trPr>
          <w:trHeight w:val="340"/>
        </w:trPr>
        <w:tc>
          <w:tcPr>
            <w:tcW w:w="3780" w:type="dxa"/>
            <w:vAlign w:val="bottom"/>
          </w:tcPr>
          <w:p w:rsidR="00682F95" w:rsidRDefault="00E37933">
            <w:pPr>
              <w:rPr>
                <w:sz w:val="20"/>
                <w:szCs w:val="20"/>
              </w:rPr>
            </w:pPr>
            <w:r>
              <w:rPr>
                <w:rFonts w:eastAsia="Times New Roman"/>
                <w:sz w:val="18"/>
                <w:szCs w:val="18"/>
              </w:rPr>
              <w:t>(підпис)</w:t>
            </w:r>
          </w:p>
        </w:tc>
        <w:tc>
          <w:tcPr>
            <w:tcW w:w="2720" w:type="dxa"/>
            <w:vAlign w:val="bottom"/>
          </w:tcPr>
          <w:p w:rsidR="00682F95" w:rsidRDefault="00E37933">
            <w:pPr>
              <w:ind w:left="1260"/>
              <w:rPr>
                <w:sz w:val="20"/>
                <w:szCs w:val="20"/>
              </w:rPr>
            </w:pPr>
            <w:r>
              <w:rPr>
                <w:rFonts w:eastAsia="Times New Roman"/>
                <w:sz w:val="18"/>
                <w:szCs w:val="18"/>
              </w:rPr>
              <w:t>(підпис)</w:t>
            </w:r>
          </w:p>
        </w:tc>
        <w:tc>
          <w:tcPr>
            <w:tcW w:w="2620" w:type="dxa"/>
            <w:vAlign w:val="bottom"/>
          </w:tcPr>
          <w:p w:rsidR="00682F95" w:rsidRDefault="00682F95">
            <w:pPr>
              <w:rPr>
                <w:sz w:val="24"/>
                <w:szCs w:val="24"/>
              </w:rPr>
            </w:pPr>
          </w:p>
        </w:tc>
      </w:tr>
    </w:tbl>
    <w:p w:rsidR="00682F95" w:rsidRDefault="00682F95">
      <w:pPr>
        <w:spacing w:line="200" w:lineRule="exact"/>
        <w:rPr>
          <w:sz w:val="24"/>
          <w:szCs w:val="24"/>
        </w:rPr>
      </w:pPr>
    </w:p>
    <w:p w:rsidR="00682F95" w:rsidRDefault="00682F95">
      <w:pPr>
        <w:sectPr w:rsidR="00682F95">
          <w:pgSz w:w="11900" w:h="16838"/>
          <w:pgMar w:top="1130" w:right="1086" w:bottom="325" w:left="1440" w:header="0" w:footer="0" w:gutter="0"/>
          <w:cols w:space="720" w:equalWidth="0">
            <w:col w:w="9380"/>
          </w:cols>
        </w:sectPr>
      </w:pPr>
    </w:p>
    <w:p w:rsidR="00682F95" w:rsidRDefault="00682F95">
      <w:pPr>
        <w:spacing w:line="200" w:lineRule="exact"/>
        <w:rPr>
          <w:sz w:val="24"/>
          <w:szCs w:val="24"/>
        </w:rPr>
      </w:pPr>
    </w:p>
    <w:p w:rsidR="00682F95" w:rsidRDefault="00682F95">
      <w:pPr>
        <w:spacing w:line="200" w:lineRule="exact"/>
        <w:rPr>
          <w:sz w:val="24"/>
          <w:szCs w:val="24"/>
        </w:rPr>
      </w:pPr>
    </w:p>
    <w:p w:rsidR="00682F95" w:rsidRDefault="00682F95">
      <w:pPr>
        <w:spacing w:line="249" w:lineRule="exact"/>
        <w:rPr>
          <w:sz w:val="24"/>
          <w:szCs w:val="24"/>
        </w:rPr>
      </w:pPr>
    </w:p>
    <w:p w:rsidR="00682F95" w:rsidRDefault="00E37933">
      <w:pPr>
        <w:ind w:left="4320"/>
        <w:rPr>
          <w:sz w:val="20"/>
          <w:szCs w:val="20"/>
        </w:rPr>
      </w:pPr>
      <w:r>
        <w:rPr>
          <w:rFonts w:ascii="Calibri" w:eastAsia="Calibri" w:hAnsi="Calibri" w:cs="Calibri"/>
        </w:rPr>
        <w:t>Одеса – 2018</w:t>
      </w:r>
    </w:p>
    <w:p w:rsidR="00682F95" w:rsidRDefault="00682F95">
      <w:pPr>
        <w:sectPr w:rsidR="00682F95">
          <w:type w:val="continuous"/>
          <w:pgSz w:w="11900" w:h="16838"/>
          <w:pgMar w:top="1130" w:right="1086" w:bottom="325" w:left="1440" w:header="0" w:footer="0" w:gutter="0"/>
          <w:cols w:space="720" w:equalWidth="0">
            <w:col w:w="9380"/>
          </w:cols>
        </w:sectPr>
      </w:pPr>
    </w:p>
    <w:p w:rsidR="00682F95" w:rsidRDefault="00E37933">
      <w:pPr>
        <w:jc w:val="right"/>
        <w:rPr>
          <w:sz w:val="20"/>
          <w:szCs w:val="20"/>
        </w:rPr>
      </w:pPr>
      <w:bookmarkStart w:id="1" w:name="page2"/>
      <w:bookmarkEnd w:id="1"/>
      <w:r>
        <w:rPr>
          <w:rFonts w:ascii="Calibri" w:eastAsia="Calibri" w:hAnsi="Calibri" w:cs="Calibri"/>
        </w:rPr>
        <w:lastRenderedPageBreak/>
        <w:t>2</w:t>
      </w:r>
    </w:p>
    <w:p w:rsidR="00682F95" w:rsidRDefault="00682F95">
      <w:pPr>
        <w:spacing w:line="200" w:lineRule="exact"/>
        <w:rPr>
          <w:sz w:val="20"/>
          <w:szCs w:val="20"/>
        </w:rPr>
      </w:pPr>
    </w:p>
    <w:p w:rsidR="00682F95" w:rsidRDefault="00682F95">
      <w:pPr>
        <w:spacing w:line="200" w:lineRule="exact"/>
        <w:rPr>
          <w:sz w:val="20"/>
          <w:szCs w:val="20"/>
        </w:rPr>
      </w:pPr>
    </w:p>
    <w:p w:rsidR="00682F95" w:rsidRDefault="00682F95">
      <w:pPr>
        <w:spacing w:line="220" w:lineRule="exact"/>
        <w:rPr>
          <w:sz w:val="20"/>
          <w:szCs w:val="20"/>
        </w:rPr>
      </w:pPr>
    </w:p>
    <w:p w:rsidR="00682F95" w:rsidRDefault="00E37933">
      <w:pPr>
        <w:jc w:val="center"/>
        <w:rPr>
          <w:sz w:val="20"/>
          <w:szCs w:val="20"/>
        </w:rPr>
      </w:pPr>
      <w:r>
        <w:rPr>
          <w:rFonts w:eastAsia="Times New Roman"/>
          <w:sz w:val="28"/>
          <w:szCs w:val="28"/>
        </w:rPr>
        <w:t>СОДЕРЖАНИЕ:</w:t>
      </w:r>
    </w:p>
    <w:p w:rsidR="00682F95" w:rsidRDefault="00682F95">
      <w:pPr>
        <w:spacing w:line="324" w:lineRule="exact"/>
        <w:rPr>
          <w:sz w:val="20"/>
          <w:szCs w:val="20"/>
        </w:rPr>
      </w:pPr>
    </w:p>
    <w:p w:rsidR="00682F95" w:rsidRDefault="00E37933">
      <w:pPr>
        <w:rPr>
          <w:sz w:val="20"/>
          <w:szCs w:val="20"/>
        </w:rPr>
      </w:pPr>
      <w:r>
        <w:rPr>
          <w:rFonts w:eastAsia="Times New Roman"/>
          <w:sz w:val="28"/>
          <w:szCs w:val="28"/>
        </w:rPr>
        <w:t>ВВЕДЕНИЕ………………………………………………………………………………3</w:t>
      </w:r>
    </w:p>
    <w:p w:rsidR="00682F95" w:rsidRDefault="00682F95">
      <w:pPr>
        <w:spacing w:line="160" w:lineRule="exact"/>
        <w:rPr>
          <w:sz w:val="20"/>
          <w:szCs w:val="20"/>
        </w:rPr>
      </w:pPr>
    </w:p>
    <w:p w:rsidR="00682F95" w:rsidRDefault="00E37933">
      <w:pPr>
        <w:rPr>
          <w:sz w:val="20"/>
          <w:szCs w:val="20"/>
        </w:rPr>
      </w:pPr>
      <w:r>
        <w:rPr>
          <w:rFonts w:eastAsia="Times New Roman"/>
          <w:sz w:val="28"/>
          <w:szCs w:val="28"/>
        </w:rPr>
        <w:t>ГЛАВА I. Аргументация как тактика………………………………………….............5</w:t>
      </w:r>
    </w:p>
    <w:p w:rsidR="00682F95" w:rsidRDefault="00682F95">
      <w:pPr>
        <w:spacing w:line="160" w:lineRule="exact"/>
        <w:rPr>
          <w:sz w:val="20"/>
          <w:szCs w:val="20"/>
        </w:rPr>
      </w:pPr>
    </w:p>
    <w:p w:rsidR="00682F95" w:rsidRDefault="00E37933">
      <w:pPr>
        <w:tabs>
          <w:tab w:val="left" w:pos="700"/>
        </w:tabs>
        <w:rPr>
          <w:sz w:val="20"/>
          <w:szCs w:val="20"/>
        </w:rPr>
      </w:pPr>
      <w:r>
        <w:rPr>
          <w:rFonts w:eastAsia="Times New Roman"/>
          <w:sz w:val="28"/>
          <w:szCs w:val="28"/>
        </w:rPr>
        <w:t>1.1.</w:t>
      </w:r>
      <w:r>
        <w:rPr>
          <w:sz w:val="20"/>
          <w:szCs w:val="20"/>
        </w:rPr>
        <w:tab/>
      </w:r>
      <w:r>
        <w:rPr>
          <w:rFonts w:eastAsia="Times New Roman"/>
          <w:sz w:val="27"/>
          <w:szCs w:val="27"/>
        </w:rPr>
        <w:t xml:space="preserve">Аргументация на уроке </w:t>
      </w:r>
      <w:r>
        <w:rPr>
          <w:rFonts w:eastAsia="Times New Roman"/>
          <w:sz w:val="27"/>
          <w:szCs w:val="27"/>
        </w:rPr>
        <w:t>немецкого языка………………...……………………..5</w:t>
      </w:r>
    </w:p>
    <w:p w:rsidR="00682F95" w:rsidRDefault="00682F95">
      <w:pPr>
        <w:spacing w:line="163" w:lineRule="exact"/>
        <w:rPr>
          <w:sz w:val="20"/>
          <w:szCs w:val="20"/>
        </w:rPr>
      </w:pPr>
    </w:p>
    <w:p w:rsidR="00682F95" w:rsidRDefault="00E37933">
      <w:pPr>
        <w:tabs>
          <w:tab w:val="left" w:pos="700"/>
        </w:tabs>
        <w:rPr>
          <w:sz w:val="20"/>
          <w:szCs w:val="20"/>
        </w:rPr>
      </w:pPr>
      <w:r>
        <w:rPr>
          <w:rFonts w:eastAsia="Times New Roman"/>
          <w:sz w:val="28"/>
          <w:szCs w:val="28"/>
        </w:rPr>
        <w:t>1.2.</w:t>
      </w:r>
      <w:r>
        <w:rPr>
          <w:sz w:val="20"/>
          <w:szCs w:val="20"/>
        </w:rPr>
        <w:tab/>
      </w:r>
      <w:r>
        <w:rPr>
          <w:rFonts w:eastAsia="Times New Roman"/>
          <w:sz w:val="28"/>
          <w:szCs w:val="28"/>
        </w:rPr>
        <w:t>Аргументация в устной речи и аудировании………….………………………...8</w:t>
      </w:r>
    </w:p>
    <w:p w:rsidR="00682F95" w:rsidRDefault="00682F95">
      <w:pPr>
        <w:spacing w:line="160" w:lineRule="exact"/>
        <w:rPr>
          <w:sz w:val="20"/>
          <w:szCs w:val="20"/>
        </w:rPr>
      </w:pPr>
    </w:p>
    <w:p w:rsidR="00682F95" w:rsidRDefault="00E37933">
      <w:pPr>
        <w:tabs>
          <w:tab w:val="left" w:pos="700"/>
        </w:tabs>
        <w:rPr>
          <w:sz w:val="20"/>
          <w:szCs w:val="20"/>
        </w:rPr>
      </w:pPr>
      <w:r>
        <w:rPr>
          <w:rFonts w:eastAsia="Times New Roman"/>
          <w:sz w:val="28"/>
          <w:szCs w:val="28"/>
        </w:rPr>
        <w:t>1.3.</w:t>
      </w:r>
      <w:r>
        <w:rPr>
          <w:sz w:val="20"/>
          <w:szCs w:val="20"/>
        </w:rPr>
        <w:tab/>
      </w:r>
      <w:r>
        <w:rPr>
          <w:rFonts w:eastAsia="Times New Roman"/>
          <w:sz w:val="28"/>
          <w:szCs w:val="28"/>
        </w:rPr>
        <w:t>Аргументация в текстах и средствах массовой информации………...............12</w:t>
      </w:r>
    </w:p>
    <w:p w:rsidR="00682F95" w:rsidRDefault="00682F95">
      <w:pPr>
        <w:spacing w:line="160" w:lineRule="exact"/>
        <w:rPr>
          <w:sz w:val="20"/>
          <w:szCs w:val="20"/>
        </w:rPr>
      </w:pPr>
    </w:p>
    <w:p w:rsidR="00682F95" w:rsidRDefault="00E37933">
      <w:pPr>
        <w:rPr>
          <w:sz w:val="20"/>
          <w:szCs w:val="20"/>
        </w:rPr>
      </w:pPr>
      <w:r>
        <w:rPr>
          <w:rFonts w:eastAsia="Times New Roman"/>
          <w:sz w:val="28"/>
          <w:szCs w:val="28"/>
        </w:rPr>
        <w:t>ГЛАВА II. Гетерогенность и дифференциация на уроке немецкого языка………..16</w:t>
      </w:r>
    </w:p>
    <w:p w:rsidR="00682F95" w:rsidRDefault="00682F95">
      <w:pPr>
        <w:spacing w:line="161" w:lineRule="exact"/>
        <w:rPr>
          <w:sz w:val="20"/>
          <w:szCs w:val="20"/>
        </w:rPr>
      </w:pPr>
    </w:p>
    <w:p w:rsidR="00682F95" w:rsidRDefault="00E37933">
      <w:pPr>
        <w:tabs>
          <w:tab w:val="left" w:pos="620"/>
        </w:tabs>
        <w:rPr>
          <w:sz w:val="20"/>
          <w:szCs w:val="20"/>
        </w:rPr>
      </w:pPr>
      <w:r>
        <w:rPr>
          <w:rFonts w:eastAsia="Times New Roman"/>
          <w:sz w:val="28"/>
          <w:szCs w:val="28"/>
        </w:rPr>
        <w:t>2.1.</w:t>
      </w:r>
      <w:r>
        <w:rPr>
          <w:sz w:val="20"/>
          <w:szCs w:val="20"/>
        </w:rPr>
        <w:tab/>
      </w:r>
      <w:r>
        <w:rPr>
          <w:rFonts w:eastAsia="Times New Roman"/>
          <w:sz w:val="27"/>
          <w:szCs w:val="27"/>
        </w:rPr>
        <w:t>Гетерогенность на уроке немецкого языка……………………………………..16</w:t>
      </w:r>
    </w:p>
    <w:p w:rsidR="00682F95" w:rsidRDefault="00682F95">
      <w:pPr>
        <w:spacing w:line="163" w:lineRule="exact"/>
        <w:rPr>
          <w:sz w:val="20"/>
          <w:szCs w:val="20"/>
        </w:rPr>
      </w:pPr>
    </w:p>
    <w:p w:rsidR="00682F95" w:rsidRDefault="00E37933">
      <w:pPr>
        <w:tabs>
          <w:tab w:val="left" w:pos="620"/>
        </w:tabs>
        <w:rPr>
          <w:sz w:val="20"/>
          <w:szCs w:val="20"/>
        </w:rPr>
      </w:pPr>
      <w:r>
        <w:rPr>
          <w:rFonts w:eastAsia="Times New Roman"/>
          <w:sz w:val="28"/>
          <w:szCs w:val="28"/>
        </w:rPr>
        <w:t>2.2.</w:t>
      </w:r>
      <w:r>
        <w:rPr>
          <w:sz w:val="20"/>
          <w:szCs w:val="20"/>
        </w:rPr>
        <w:tab/>
      </w:r>
      <w:r>
        <w:rPr>
          <w:rFonts w:eastAsia="Times New Roman"/>
          <w:sz w:val="28"/>
          <w:szCs w:val="28"/>
        </w:rPr>
        <w:t>Групповое обучение как эффективный метод преподавания………................19</w:t>
      </w:r>
    </w:p>
    <w:p w:rsidR="00682F95" w:rsidRDefault="00682F95">
      <w:pPr>
        <w:spacing w:line="174" w:lineRule="exact"/>
        <w:rPr>
          <w:sz w:val="20"/>
          <w:szCs w:val="20"/>
        </w:rPr>
      </w:pPr>
    </w:p>
    <w:p w:rsidR="00682F95" w:rsidRDefault="00E37933">
      <w:pPr>
        <w:spacing w:line="347" w:lineRule="auto"/>
        <w:ind w:right="20"/>
        <w:rPr>
          <w:sz w:val="20"/>
          <w:szCs w:val="20"/>
        </w:rPr>
      </w:pPr>
      <w:r>
        <w:rPr>
          <w:rFonts w:eastAsia="Times New Roman"/>
          <w:sz w:val="28"/>
          <w:szCs w:val="28"/>
        </w:rPr>
        <w:t>ГЛАВА III. Практическое использование группового метода и аргументации на уроке немецкого языка……………………………………</w:t>
      </w:r>
      <w:r>
        <w:rPr>
          <w:rFonts w:eastAsia="Times New Roman"/>
          <w:sz w:val="28"/>
          <w:szCs w:val="28"/>
        </w:rPr>
        <w:t>………………....................24</w:t>
      </w:r>
    </w:p>
    <w:p w:rsidR="00682F95" w:rsidRDefault="00682F95">
      <w:pPr>
        <w:spacing w:line="195" w:lineRule="exact"/>
        <w:rPr>
          <w:sz w:val="20"/>
          <w:szCs w:val="20"/>
        </w:rPr>
      </w:pPr>
    </w:p>
    <w:p w:rsidR="00682F95" w:rsidRDefault="00E37933">
      <w:pPr>
        <w:spacing w:line="347" w:lineRule="auto"/>
        <w:rPr>
          <w:sz w:val="20"/>
          <w:szCs w:val="20"/>
        </w:rPr>
      </w:pPr>
      <w:r>
        <w:rPr>
          <w:rFonts w:eastAsia="Times New Roman"/>
          <w:sz w:val="28"/>
          <w:szCs w:val="28"/>
        </w:rPr>
        <w:t>3.1. Практическая разработка урока для 5-6 классов с использованием аргументации как тактики …………………………………………………………….24</w:t>
      </w:r>
    </w:p>
    <w:p w:rsidR="00682F95" w:rsidRDefault="00682F95">
      <w:pPr>
        <w:spacing w:line="195" w:lineRule="exact"/>
        <w:rPr>
          <w:sz w:val="20"/>
          <w:szCs w:val="20"/>
        </w:rPr>
      </w:pPr>
    </w:p>
    <w:p w:rsidR="00682F95" w:rsidRDefault="00E37933">
      <w:pPr>
        <w:spacing w:line="347" w:lineRule="auto"/>
        <w:rPr>
          <w:sz w:val="20"/>
          <w:szCs w:val="20"/>
        </w:rPr>
      </w:pPr>
      <w:r>
        <w:rPr>
          <w:rFonts w:eastAsia="Times New Roman"/>
          <w:sz w:val="28"/>
          <w:szCs w:val="28"/>
        </w:rPr>
        <w:t>3.2. Практическая разработка урока для 7-8 классов с использованием аргументации как тактики…………………………………</w:t>
      </w:r>
      <w:r>
        <w:rPr>
          <w:rFonts w:eastAsia="Times New Roman"/>
          <w:sz w:val="28"/>
          <w:szCs w:val="28"/>
        </w:rPr>
        <w:t>…………………………..32</w:t>
      </w:r>
    </w:p>
    <w:p w:rsidR="00682F95" w:rsidRDefault="00682F95">
      <w:pPr>
        <w:spacing w:line="181" w:lineRule="exact"/>
        <w:rPr>
          <w:sz w:val="20"/>
          <w:szCs w:val="20"/>
        </w:rPr>
      </w:pPr>
    </w:p>
    <w:p w:rsidR="00682F95" w:rsidRDefault="00E37933">
      <w:pPr>
        <w:rPr>
          <w:sz w:val="20"/>
          <w:szCs w:val="20"/>
        </w:rPr>
      </w:pPr>
      <w:r>
        <w:rPr>
          <w:rFonts w:eastAsia="Times New Roman"/>
          <w:sz w:val="28"/>
          <w:szCs w:val="28"/>
        </w:rPr>
        <w:t>ВЫВОДЫ……………………………………………………………………….............36</w:t>
      </w:r>
    </w:p>
    <w:p w:rsidR="00682F95" w:rsidRDefault="00682F95">
      <w:pPr>
        <w:spacing w:line="158" w:lineRule="exact"/>
        <w:rPr>
          <w:sz w:val="20"/>
          <w:szCs w:val="20"/>
        </w:rPr>
      </w:pPr>
    </w:p>
    <w:p w:rsidR="00682F95" w:rsidRDefault="00E37933">
      <w:pPr>
        <w:rPr>
          <w:sz w:val="20"/>
          <w:szCs w:val="20"/>
        </w:rPr>
      </w:pPr>
      <w:r>
        <w:rPr>
          <w:rFonts w:eastAsia="Times New Roman"/>
          <w:sz w:val="28"/>
          <w:szCs w:val="28"/>
        </w:rPr>
        <w:t>СЛОВАРЬ ТЕРМИНОВ………………………………………………………………..40</w:t>
      </w:r>
    </w:p>
    <w:p w:rsidR="00682F95" w:rsidRDefault="00682F95">
      <w:pPr>
        <w:spacing w:line="321" w:lineRule="exact"/>
        <w:rPr>
          <w:sz w:val="20"/>
          <w:szCs w:val="20"/>
        </w:rPr>
      </w:pPr>
    </w:p>
    <w:p w:rsidR="00682F95" w:rsidRDefault="00E37933">
      <w:pPr>
        <w:rPr>
          <w:sz w:val="20"/>
          <w:szCs w:val="20"/>
        </w:rPr>
      </w:pPr>
      <w:r>
        <w:rPr>
          <w:rFonts w:eastAsia="Times New Roman"/>
          <w:sz w:val="28"/>
          <w:szCs w:val="28"/>
        </w:rPr>
        <w:t>СПИСОК ИСПОЛЬЗОВАННЫХ ИСТОЧНИКОВ......................................................43</w:t>
      </w:r>
    </w:p>
    <w:p w:rsidR="00682F95" w:rsidRDefault="00682F95">
      <w:pPr>
        <w:spacing w:line="321" w:lineRule="exact"/>
        <w:rPr>
          <w:sz w:val="20"/>
          <w:szCs w:val="20"/>
        </w:rPr>
      </w:pPr>
    </w:p>
    <w:p w:rsidR="00682F95" w:rsidRDefault="00E37933">
      <w:pPr>
        <w:rPr>
          <w:sz w:val="20"/>
          <w:szCs w:val="20"/>
        </w:rPr>
      </w:pPr>
      <w:r>
        <w:rPr>
          <w:rFonts w:eastAsia="Times New Roman"/>
          <w:sz w:val="28"/>
          <w:szCs w:val="28"/>
        </w:rPr>
        <w:t>ПРИЛОЖЕНИЕ А</w:t>
      </w:r>
    </w:p>
    <w:p w:rsidR="00682F95" w:rsidRDefault="00682F95">
      <w:pPr>
        <w:spacing w:line="322" w:lineRule="exact"/>
        <w:rPr>
          <w:sz w:val="20"/>
          <w:szCs w:val="20"/>
        </w:rPr>
      </w:pPr>
    </w:p>
    <w:p w:rsidR="00682F95" w:rsidRDefault="00E37933">
      <w:pPr>
        <w:rPr>
          <w:sz w:val="20"/>
          <w:szCs w:val="20"/>
        </w:rPr>
      </w:pPr>
      <w:r>
        <w:rPr>
          <w:rFonts w:eastAsia="Times New Roman"/>
          <w:sz w:val="28"/>
          <w:szCs w:val="28"/>
        </w:rPr>
        <w:t>ПРИЛОЖЕНИЕ Б</w:t>
      </w:r>
    </w:p>
    <w:p w:rsidR="00682F95" w:rsidRDefault="00682F95">
      <w:pPr>
        <w:spacing w:line="321" w:lineRule="exact"/>
        <w:rPr>
          <w:sz w:val="20"/>
          <w:szCs w:val="20"/>
        </w:rPr>
      </w:pPr>
    </w:p>
    <w:p w:rsidR="00682F95" w:rsidRDefault="00E37933">
      <w:pPr>
        <w:rPr>
          <w:sz w:val="20"/>
          <w:szCs w:val="20"/>
        </w:rPr>
      </w:pPr>
      <w:r>
        <w:rPr>
          <w:rFonts w:eastAsia="Times New Roman"/>
          <w:sz w:val="28"/>
          <w:szCs w:val="28"/>
        </w:rPr>
        <w:t>ПРИЛОЖЕНИЕ В</w:t>
      </w:r>
    </w:p>
    <w:p w:rsidR="00682F95" w:rsidRDefault="00682F95">
      <w:pPr>
        <w:sectPr w:rsidR="00682F95">
          <w:pgSz w:w="11900" w:h="17338"/>
          <w:pgMar w:top="702" w:right="644" w:bottom="1440" w:left="1180" w:header="0" w:footer="0" w:gutter="0"/>
          <w:cols w:space="720" w:equalWidth="0">
            <w:col w:w="10080"/>
          </w:cols>
        </w:sectPr>
      </w:pPr>
    </w:p>
    <w:p w:rsidR="00682F95" w:rsidRDefault="00E37933">
      <w:pPr>
        <w:ind w:left="9960"/>
        <w:rPr>
          <w:sz w:val="20"/>
          <w:szCs w:val="20"/>
        </w:rPr>
      </w:pPr>
      <w:bookmarkStart w:id="2" w:name="page3"/>
      <w:bookmarkEnd w:id="2"/>
      <w:r>
        <w:rPr>
          <w:rFonts w:ascii="Calibri" w:eastAsia="Calibri" w:hAnsi="Calibri" w:cs="Calibri"/>
        </w:rPr>
        <w:lastRenderedPageBreak/>
        <w:t>3</w:t>
      </w:r>
    </w:p>
    <w:p w:rsidR="00682F95" w:rsidRDefault="00682F95">
      <w:pPr>
        <w:spacing w:line="200" w:lineRule="exact"/>
        <w:rPr>
          <w:sz w:val="20"/>
          <w:szCs w:val="20"/>
        </w:rPr>
      </w:pPr>
    </w:p>
    <w:p w:rsidR="00682F95" w:rsidRDefault="00682F95">
      <w:pPr>
        <w:spacing w:line="200" w:lineRule="exact"/>
        <w:rPr>
          <w:sz w:val="20"/>
          <w:szCs w:val="20"/>
        </w:rPr>
      </w:pPr>
    </w:p>
    <w:p w:rsidR="00682F95" w:rsidRDefault="00682F95">
      <w:pPr>
        <w:spacing w:line="228" w:lineRule="exact"/>
        <w:rPr>
          <w:sz w:val="20"/>
          <w:szCs w:val="20"/>
        </w:rPr>
      </w:pPr>
    </w:p>
    <w:p w:rsidR="00682F95" w:rsidRDefault="00E37933">
      <w:pPr>
        <w:ind w:left="700"/>
        <w:rPr>
          <w:sz w:val="20"/>
          <w:szCs w:val="20"/>
        </w:rPr>
      </w:pPr>
      <w:r>
        <w:rPr>
          <w:rFonts w:eastAsia="Times New Roman"/>
          <w:b/>
          <w:bCs/>
          <w:sz w:val="28"/>
          <w:szCs w:val="28"/>
        </w:rPr>
        <w:t>Вступление</w:t>
      </w:r>
    </w:p>
    <w:p w:rsidR="00682F95" w:rsidRDefault="00682F95">
      <w:pPr>
        <w:spacing w:line="200" w:lineRule="exact"/>
        <w:rPr>
          <w:sz w:val="20"/>
          <w:szCs w:val="20"/>
        </w:rPr>
      </w:pPr>
    </w:p>
    <w:p w:rsidR="00682F95" w:rsidRDefault="00682F95">
      <w:pPr>
        <w:spacing w:line="209" w:lineRule="exact"/>
        <w:rPr>
          <w:sz w:val="20"/>
          <w:szCs w:val="20"/>
        </w:rPr>
      </w:pPr>
    </w:p>
    <w:p w:rsidR="00682F95" w:rsidRDefault="00E37933">
      <w:pPr>
        <w:spacing w:line="358" w:lineRule="auto"/>
        <w:ind w:firstLine="708"/>
        <w:jc w:val="both"/>
        <w:rPr>
          <w:sz w:val="20"/>
          <w:szCs w:val="20"/>
        </w:rPr>
      </w:pPr>
      <w:r>
        <w:rPr>
          <w:rFonts w:eastAsia="Times New Roman"/>
          <w:sz w:val="28"/>
          <w:szCs w:val="28"/>
        </w:rPr>
        <w:t>Главная цель образования для гражданина современного демократического общества – это следовать выражению, принадлежащему Томасу Хэккеру [23] – «развивать способности и желание к взаимопониманию» [23, 144]. В этом от</w:t>
      </w:r>
      <w:r>
        <w:rPr>
          <w:rFonts w:eastAsia="Times New Roman"/>
          <w:sz w:val="28"/>
          <w:szCs w:val="28"/>
        </w:rPr>
        <w:t xml:space="preserve">ношении процес обучения выступает как, своего рода, подготовка к участию в политической жизни общества, которая помогает определять собственные интересы, разрешает конфликты и предлагает компромиссы проблемных вопросов. По мнению Гарольда Вольраппа [41] – </w:t>
      </w:r>
      <w:r>
        <w:rPr>
          <w:rFonts w:eastAsia="Times New Roman"/>
          <w:sz w:val="28"/>
          <w:szCs w:val="28"/>
        </w:rPr>
        <w:t>это социальная тенденция к индивидуализации единичного – необходимость для людей понимать «других», тех, с кем разнятся ваши взгляды, так и возникает культура «дискуссии»: «Уметь дискутировать везде и обо всем» [41, 32].</w:t>
      </w:r>
    </w:p>
    <w:p w:rsidR="00682F95" w:rsidRDefault="00682F95">
      <w:pPr>
        <w:spacing w:line="269" w:lineRule="exact"/>
        <w:rPr>
          <w:sz w:val="20"/>
          <w:szCs w:val="20"/>
        </w:rPr>
      </w:pPr>
    </w:p>
    <w:p w:rsidR="00682F95" w:rsidRDefault="00E37933">
      <w:pPr>
        <w:spacing w:line="354" w:lineRule="auto"/>
        <w:ind w:firstLine="708"/>
        <w:jc w:val="both"/>
        <w:rPr>
          <w:sz w:val="20"/>
          <w:szCs w:val="20"/>
        </w:rPr>
      </w:pPr>
      <w:r>
        <w:rPr>
          <w:rFonts w:eastAsia="Times New Roman"/>
          <w:b/>
          <w:bCs/>
          <w:sz w:val="28"/>
          <w:szCs w:val="28"/>
        </w:rPr>
        <w:t xml:space="preserve">Цель </w:t>
      </w:r>
      <w:r>
        <w:rPr>
          <w:rFonts w:eastAsia="Times New Roman"/>
          <w:sz w:val="28"/>
          <w:szCs w:val="28"/>
        </w:rPr>
        <w:t>данной дипломной работы</w:t>
      </w:r>
      <w:r>
        <w:rPr>
          <w:rFonts w:eastAsia="Times New Roman"/>
          <w:b/>
          <w:bCs/>
          <w:sz w:val="28"/>
          <w:szCs w:val="28"/>
        </w:rPr>
        <w:t xml:space="preserve"> </w:t>
      </w:r>
      <w:r>
        <w:rPr>
          <w:rFonts w:eastAsia="Times New Roman"/>
          <w:sz w:val="28"/>
          <w:szCs w:val="28"/>
        </w:rPr>
        <w:t>–</w:t>
      </w:r>
      <w:r>
        <w:rPr>
          <w:rFonts w:eastAsia="Times New Roman"/>
          <w:b/>
          <w:bCs/>
          <w:sz w:val="28"/>
          <w:szCs w:val="28"/>
        </w:rPr>
        <w:t xml:space="preserve"> </w:t>
      </w:r>
      <w:r>
        <w:rPr>
          <w:rFonts w:eastAsia="Times New Roman"/>
          <w:sz w:val="28"/>
          <w:szCs w:val="28"/>
        </w:rPr>
        <w:t>опр</w:t>
      </w:r>
      <w:r>
        <w:rPr>
          <w:rFonts w:eastAsia="Times New Roman"/>
          <w:sz w:val="28"/>
          <w:szCs w:val="28"/>
        </w:rPr>
        <w:t>еделить понятие</w:t>
      </w:r>
      <w:r>
        <w:rPr>
          <w:rFonts w:eastAsia="Times New Roman"/>
          <w:b/>
          <w:bCs/>
          <w:sz w:val="28"/>
          <w:szCs w:val="28"/>
        </w:rPr>
        <w:t xml:space="preserve"> </w:t>
      </w:r>
      <w:r>
        <w:rPr>
          <w:rFonts w:eastAsia="Times New Roman"/>
          <w:sz w:val="28"/>
          <w:szCs w:val="28"/>
        </w:rPr>
        <w:t>«аргументация»</w:t>
      </w:r>
      <w:r>
        <w:rPr>
          <w:rFonts w:eastAsia="Times New Roman"/>
          <w:b/>
          <w:bCs/>
          <w:sz w:val="28"/>
          <w:szCs w:val="28"/>
        </w:rPr>
        <w:t xml:space="preserve"> </w:t>
      </w:r>
      <w:r>
        <w:rPr>
          <w:rFonts w:eastAsia="Times New Roman"/>
          <w:sz w:val="28"/>
          <w:szCs w:val="28"/>
        </w:rPr>
        <w:t>как</w:t>
      </w:r>
      <w:r>
        <w:rPr>
          <w:rFonts w:eastAsia="Times New Roman"/>
          <w:b/>
          <w:bCs/>
          <w:sz w:val="28"/>
          <w:szCs w:val="28"/>
        </w:rPr>
        <w:t xml:space="preserve"> </w:t>
      </w:r>
      <w:r>
        <w:rPr>
          <w:rFonts w:eastAsia="Times New Roman"/>
          <w:sz w:val="28"/>
          <w:szCs w:val="28"/>
        </w:rPr>
        <w:t>основополагающее средство на уроке немецкого языка, используя гендерное разделение группы учащихся.</w:t>
      </w:r>
    </w:p>
    <w:p w:rsidR="00682F95" w:rsidRDefault="00682F95">
      <w:pPr>
        <w:spacing w:line="143" w:lineRule="exact"/>
        <w:rPr>
          <w:sz w:val="20"/>
          <w:szCs w:val="20"/>
        </w:rPr>
      </w:pPr>
    </w:p>
    <w:p w:rsidR="00682F95" w:rsidRDefault="00E37933">
      <w:pPr>
        <w:numPr>
          <w:ilvl w:val="0"/>
          <w:numId w:val="1"/>
        </w:numPr>
        <w:tabs>
          <w:tab w:val="left" w:pos="1041"/>
        </w:tabs>
        <w:spacing w:line="351" w:lineRule="auto"/>
        <w:ind w:firstLine="712"/>
        <w:rPr>
          <w:rFonts w:eastAsia="Times New Roman"/>
          <w:sz w:val="28"/>
          <w:szCs w:val="28"/>
        </w:rPr>
      </w:pPr>
      <w:r>
        <w:rPr>
          <w:rFonts w:eastAsia="Times New Roman"/>
          <w:sz w:val="28"/>
          <w:szCs w:val="28"/>
        </w:rPr>
        <w:t xml:space="preserve">качестве </w:t>
      </w:r>
      <w:r>
        <w:rPr>
          <w:rFonts w:eastAsia="Times New Roman"/>
          <w:b/>
          <w:bCs/>
          <w:sz w:val="28"/>
          <w:szCs w:val="28"/>
        </w:rPr>
        <w:t>объекта</w:t>
      </w:r>
      <w:r>
        <w:rPr>
          <w:rFonts w:eastAsia="Times New Roman"/>
          <w:sz w:val="28"/>
          <w:szCs w:val="28"/>
        </w:rPr>
        <w:t xml:space="preserve"> исследования выступает аргументация как тактика и инструмент обучения.</w:t>
      </w:r>
    </w:p>
    <w:p w:rsidR="00682F95" w:rsidRDefault="00682F95">
      <w:pPr>
        <w:spacing w:line="25" w:lineRule="exact"/>
        <w:rPr>
          <w:sz w:val="20"/>
          <w:szCs w:val="20"/>
        </w:rPr>
      </w:pPr>
    </w:p>
    <w:p w:rsidR="00682F95" w:rsidRDefault="00E37933">
      <w:pPr>
        <w:spacing w:line="349" w:lineRule="auto"/>
        <w:ind w:right="20" w:firstLine="708"/>
        <w:rPr>
          <w:sz w:val="20"/>
          <w:szCs w:val="20"/>
        </w:rPr>
      </w:pPr>
      <w:r>
        <w:rPr>
          <w:rFonts w:eastAsia="Times New Roman"/>
          <w:b/>
          <w:bCs/>
          <w:sz w:val="28"/>
          <w:szCs w:val="28"/>
        </w:rPr>
        <w:t xml:space="preserve">Предметом </w:t>
      </w:r>
      <w:r>
        <w:rPr>
          <w:rFonts w:eastAsia="Times New Roman"/>
          <w:sz w:val="28"/>
          <w:szCs w:val="28"/>
        </w:rPr>
        <w:t>исследования является</w:t>
      </w:r>
      <w:r>
        <w:rPr>
          <w:rFonts w:eastAsia="Times New Roman"/>
          <w:sz w:val="28"/>
          <w:szCs w:val="28"/>
        </w:rPr>
        <w:t xml:space="preserve"> практическое применение аргументации в</w:t>
      </w:r>
      <w:r>
        <w:rPr>
          <w:rFonts w:eastAsia="Times New Roman"/>
          <w:b/>
          <w:bCs/>
          <w:sz w:val="28"/>
          <w:szCs w:val="28"/>
        </w:rPr>
        <w:t xml:space="preserve"> </w:t>
      </w:r>
      <w:r>
        <w:rPr>
          <w:rFonts w:eastAsia="Times New Roman"/>
          <w:sz w:val="28"/>
          <w:szCs w:val="28"/>
        </w:rPr>
        <w:t>ходе урока немецкого языка в гетерогенных ученических группах.</w:t>
      </w:r>
    </w:p>
    <w:p w:rsidR="00682F95" w:rsidRDefault="00682F95">
      <w:pPr>
        <w:spacing w:line="28" w:lineRule="exact"/>
        <w:rPr>
          <w:sz w:val="20"/>
          <w:szCs w:val="20"/>
        </w:rPr>
      </w:pPr>
    </w:p>
    <w:p w:rsidR="00682F95" w:rsidRDefault="00E37933">
      <w:pPr>
        <w:numPr>
          <w:ilvl w:val="0"/>
          <w:numId w:val="2"/>
        </w:numPr>
        <w:tabs>
          <w:tab w:val="left" w:pos="1121"/>
        </w:tabs>
        <w:spacing w:line="349" w:lineRule="auto"/>
        <w:ind w:right="20" w:firstLine="712"/>
        <w:rPr>
          <w:rFonts w:eastAsia="Times New Roman"/>
          <w:sz w:val="28"/>
          <w:szCs w:val="28"/>
        </w:rPr>
      </w:pPr>
      <w:r>
        <w:rPr>
          <w:rFonts w:eastAsia="Times New Roman"/>
          <w:sz w:val="28"/>
          <w:szCs w:val="28"/>
        </w:rPr>
        <w:t xml:space="preserve">процессе достижения поставленной цели и предмета исследования решались следующие </w:t>
      </w:r>
      <w:r>
        <w:rPr>
          <w:rFonts w:eastAsia="Times New Roman"/>
          <w:b/>
          <w:bCs/>
          <w:sz w:val="28"/>
          <w:szCs w:val="28"/>
        </w:rPr>
        <w:t>задачи</w:t>
      </w:r>
      <w:r>
        <w:rPr>
          <w:rFonts w:eastAsia="Times New Roman"/>
          <w:sz w:val="28"/>
          <w:szCs w:val="28"/>
        </w:rPr>
        <w:t>:</w:t>
      </w:r>
    </w:p>
    <w:p w:rsidR="00682F95" w:rsidRDefault="00682F95">
      <w:pPr>
        <w:spacing w:line="31" w:lineRule="exact"/>
        <w:rPr>
          <w:sz w:val="20"/>
          <w:szCs w:val="20"/>
        </w:rPr>
      </w:pPr>
    </w:p>
    <w:p w:rsidR="00682F95" w:rsidRDefault="00E37933">
      <w:pPr>
        <w:numPr>
          <w:ilvl w:val="0"/>
          <w:numId w:val="3"/>
        </w:numPr>
        <w:tabs>
          <w:tab w:val="left" w:pos="1214"/>
        </w:tabs>
        <w:spacing w:line="349" w:lineRule="auto"/>
        <w:ind w:right="20" w:firstLine="712"/>
        <w:rPr>
          <w:rFonts w:eastAsia="Times New Roman"/>
          <w:sz w:val="28"/>
          <w:szCs w:val="28"/>
        </w:rPr>
      </w:pPr>
      <w:r>
        <w:rPr>
          <w:rFonts w:eastAsia="Times New Roman"/>
          <w:sz w:val="28"/>
          <w:szCs w:val="28"/>
        </w:rPr>
        <w:t>характеристика теории аргументации как интегральной научной ди</w:t>
      </w:r>
      <w:r>
        <w:rPr>
          <w:rFonts w:eastAsia="Times New Roman"/>
          <w:sz w:val="28"/>
          <w:szCs w:val="28"/>
        </w:rPr>
        <w:t>сциплины;</w:t>
      </w:r>
    </w:p>
    <w:p w:rsidR="00682F95" w:rsidRDefault="00682F95">
      <w:pPr>
        <w:spacing w:line="14" w:lineRule="exact"/>
        <w:rPr>
          <w:rFonts w:eastAsia="Times New Roman"/>
          <w:sz w:val="28"/>
          <w:szCs w:val="28"/>
        </w:rPr>
      </w:pPr>
    </w:p>
    <w:p w:rsidR="00682F95" w:rsidRDefault="00E37933">
      <w:pPr>
        <w:numPr>
          <w:ilvl w:val="0"/>
          <w:numId w:val="3"/>
        </w:numPr>
        <w:tabs>
          <w:tab w:val="left" w:pos="1000"/>
        </w:tabs>
        <w:ind w:left="1000" w:hanging="288"/>
        <w:rPr>
          <w:rFonts w:eastAsia="Times New Roman"/>
          <w:sz w:val="28"/>
          <w:szCs w:val="28"/>
        </w:rPr>
      </w:pPr>
      <w:r>
        <w:rPr>
          <w:rFonts w:eastAsia="Times New Roman"/>
          <w:sz w:val="28"/>
          <w:szCs w:val="28"/>
        </w:rPr>
        <w:t>анализ общего процесса аргументации;</w:t>
      </w:r>
    </w:p>
    <w:p w:rsidR="00682F95" w:rsidRDefault="00682F95">
      <w:pPr>
        <w:spacing w:line="160" w:lineRule="exact"/>
        <w:rPr>
          <w:rFonts w:eastAsia="Times New Roman"/>
          <w:sz w:val="28"/>
          <w:szCs w:val="28"/>
        </w:rPr>
      </w:pPr>
    </w:p>
    <w:p w:rsidR="00682F95" w:rsidRDefault="00E37933">
      <w:pPr>
        <w:numPr>
          <w:ilvl w:val="0"/>
          <w:numId w:val="3"/>
        </w:numPr>
        <w:tabs>
          <w:tab w:val="left" w:pos="1000"/>
        </w:tabs>
        <w:ind w:left="1000" w:hanging="288"/>
        <w:rPr>
          <w:rFonts w:eastAsia="Times New Roman"/>
          <w:sz w:val="28"/>
          <w:szCs w:val="28"/>
        </w:rPr>
      </w:pPr>
      <w:r>
        <w:rPr>
          <w:rFonts w:eastAsia="Times New Roman"/>
          <w:sz w:val="28"/>
          <w:szCs w:val="28"/>
        </w:rPr>
        <w:t>рассмотрение видов и типов аргументации;</w:t>
      </w:r>
    </w:p>
    <w:p w:rsidR="00682F95" w:rsidRDefault="00682F95">
      <w:pPr>
        <w:spacing w:line="162" w:lineRule="exact"/>
        <w:rPr>
          <w:rFonts w:eastAsia="Times New Roman"/>
          <w:sz w:val="28"/>
          <w:szCs w:val="28"/>
        </w:rPr>
      </w:pPr>
    </w:p>
    <w:p w:rsidR="00682F95" w:rsidRDefault="00E37933">
      <w:pPr>
        <w:numPr>
          <w:ilvl w:val="0"/>
          <w:numId w:val="3"/>
        </w:numPr>
        <w:tabs>
          <w:tab w:val="left" w:pos="1000"/>
        </w:tabs>
        <w:ind w:left="1000" w:hanging="288"/>
        <w:rPr>
          <w:rFonts w:eastAsia="Times New Roman"/>
          <w:sz w:val="28"/>
          <w:szCs w:val="28"/>
        </w:rPr>
      </w:pPr>
      <w:r>
        <w:rPr>
          <w:rFonts w:eastAsia="Times New Roman"/>
          <w:sz w:val="28"/>
          <w:szCs w:val="28"/>
        </w:rPr>
        <w:t>описание термина аргументационный дискурс в теории речевых актов;</w:t>
      </w:r>
    </w:p>
    <w:p w:rsidR="00682F95" w:rsidRDefault="00682F95">
      <w:pPr>
        <w:spacing w:line="160" w:lineRule="exact"/>
        <w:rPr>
          <w:rFonts w:eastAsia="Times New Roman"/>
          <w:sz w:val="28"/>
          <w:szCs w:val="28"/>
        </w:rPr>
      </w:pPr>
    </w:p>
    <w:p w:rsidR="00682F95" w:rsidRDefault="00E37933">
      <w:pPr>
        <w:numPr>
          <w:ilvl w:val="0"/>
          <w:numId w:val="3"/>
        </w:numPr>
        <w:tabs>
          <w:tab w:val="left" w:pos="1000"/>
        </w:tabs>
        <w:ind w:left="1000" w:hanging="288"/>
        <w:rPr>
          <w:rFonts w:eastAsia="Times New Roman"/>
          <w:sz w:val="28"/>
          <w:szCs w:val="28"/>
        </w:rPr>
      </w:pPr>
      <w:r>
        <w:rPr>
          <w:rFonts w:eastAsia="Times New Roman"/>
          <w:sz w:val="28"/>
          <w:szCs w:val="28"/>
        </w:rPr>
        <w:t>анализ аргументации в риторическом, логическом и когнитивном аспектах.</w:t>
      </w:r>
    </w:p>
    <w:p w:rsidR="00682F95" w:rsidRDefault="00682F95">
      <w:pPr>
        <w:spacing w:line="174" w:lineRule="exact"/>
        <w:rPr>
          <w:sz w:val="20"/>
          <w:szCs w:val="20"/>
        </w:rPr>
      </w:pPr>
    </w:p>
    <w:p w:rsidR="00682F95" w:rsidRDefault="00E37933">
      <w:pPr>
        <w:spacing w:line="355" w:lineRule="auto"/>
        <w:ind w:firstLine="708"/>
        <w:jc w:val="both"/>
        <w:rPr>
          <w:sz w:val="20"/>
          <w:szCs w:val="20"/>
        </w:rPr>
      </w:pPr>
      <w:r>
        <w:rPr>
          <w:rFonts w:eastAsia="Times New Roman"/>
          <w:sz w:val="28"/>
          <w:szCs w:val="28"/>
        </w:rPr>
        <w:t xml:space="preserve">Теоретическая часть </w:t>
      </w:r>
      <w:r>
        <w:rPr>
          <w:rFonts w:eastAsia="Times New Roman"/>
          <w:sz w:val="28"/>
          <w:szCs w:val="28"/>
        </w:rPr>
        <w:t>посвящена тактике «аргументации» как ключевого навыка, который представлен в ежедневном учебном плане и общих стандартах образования и, в частности, на уроке немецкого языка. Далее приводятся</w:t>
      </w:r>
    </w:p>
    <w:p w:rsidR="00682F95" w:rsidRDefault="00682F95">
      <w:pPr>
        <w:sectPr w:rsidR="00682F95">
          <w:pgSz w:w="11900" w:h="17338"/>
          <w:pgMar w:top="702" w:right="644" w:bottom="578" w:left="1180" w:header="0" w:footer="0" w:gutter="0"/>
          <w:cols w:space="720" w:equalWidth="0">
            <w:col w:w="10080"/>
          </w:cols>
        </w:sectPr>
      </w:pPr>
    </w:p>
    <w:p w:rsidR="00682F95" w:rsidRDefault="00E37933">
      <w:pPr>
        <w:jc w:val="right"/>
        <w:rPr>
          <w:sz w:val="20"/>
          <w:szCs w:val="20"/>
        </w:rPr>
      </w:pPr>
      <w:bookmarkStart w:id="3" w:name="page4"/>
      <w:bookmarkEnd w:id="3"/>
      <w:r>
        <w:rPr>
          <w:rFonts w:ascii="Calibri" w:eastAsia="Calibri" w:hAnsi="Calibri" w:cs="Calibri"/>
        </w:rPr>
        <w:lastRenderedPageBreak/>
        <w:t>4</w:t>
      </w:r>
    </w:p>
    <w:p w:rsidR="00682F95" w:rsidRDefault="00682F95">
      <w:pPr>
        <w:spacing w:line="200" w:lineRule="exact"/>
        <w:rPr>
          <w:sz w:val="20"/>
          <w:szCs w:val="20"/>
        </w:rPr>
      </w:pPr>
    </w:p>
    <w:p w:rsidR="00682F95" w:rsidRDefault="00682F95">
      <w:pPr>
        <w:spacing w:line="200" w:lineRule="exact"/>
        <w:rPr>
          <w:sz w:val="20"/>
          <w:szCs w:val="20"/>
        </w:rPr>
      </w:pPr>
    </w:p>
    <w:p w:rsidR="00682F95" w:rsidRDefault="00682F95">
      <w:pPr>
        <w:spacing w:line="236" w:lineRule="exact"/>
        <w:rPr>
          <w:sz w:val="20"/>
          <w:szCs w:val="20"/>
        </w:rPr>
      </w:pPr>
    </w:p>
    <w:p w:rsidR="00682F95" w:rsidRDefault="00E37933">
      <w:pPr>
        <w:spacing w:line="349" w:lineRule="auto"/>
        <w:ind w:right="20"/>
        <w:jc w:val="both"/>
        <w:rPr>
          <w:sz w:val="20"/>
          <w:szCs w:val="20"/>
        </w:rPr>
      </w:pPr>
      <w:r>
        <w:rPr>
          <w:rFonts w:eastAsia="Times New Roman"/>
          <w:sz w:val="28"/>
          <w:szCs w:val="28"/>
        </w:rPr>
        <w:t>конкретные методы и приемы использова</w:t>
      </w:r>
      <w:r>
        <w:rPr>
          <w:rFonts w:eastAsia="Times New Roman"/>
          <w:sz w:val="28"/>
          <w:szCs w:val="28"/>
        </w:rPr>
        <w:t>ния аргументации для основных 4 языковых компетенций – для языковой практики, аудирования, письма и чтения</w:t>
      </w:r>
    </w:p>
    <w:p w:rsidR="00682F95" w:rsidRDefault="00682F95">
      <w:pPr>
        <w:spacing w:line="31" w:lineRule="exact"/>
        <w:rPr>
          <w:sz w:val="20"/>
          <w:szCs w:val="20"/>
        </w:rPr>
      </w:pPr>
    </w:p>
    <w:p w:rsidR="00682F95" w:rsidRDefault="00E37933">
      <w:pPr>
        <w:spacing w:line="349" w:lineRule="auto"/>
        <w:ind w:right="20" w:firstLine="778"/>
        <w:jc w:val="both"/>
        <w:rPr>
          <w:sz w:val="20"/>
          <w:szCs w:val="20"/>
        </w:rPr>
      </w:pPr>
      <w:r>
        <w:rPr>
          <w:rFonts w:eastAsia="Times New Roman"/>
          <w:sz w:val="28"/>
          <w:szCs w:val="28"/>
        </w:rPr>
        <w:t>Во второй части мы анализируем особенности работы в гетерогенных ученических группах и возможность имплементировать тактику аргументации.</w:t>
      </w:r>
    </w:p>
    <w:p w:rsidR="00682F95" w:rsidRDefault="00682F95">
      <w:pPr>
        <w:spacing w:line="28" w:lineRule="exact"/>
        <w:rPr>
          <w:sz w:val="20"/>
          <w:szCs w:val="20"/>
        </w:rPr>
      </w:pPr>
    </w:p>
    <w:p w:rsidR="00682F95" w:rsidRDefault="00E37933">
      <w:pPr>
        <w:spacing w:line="354" w:lineRule="auto"/>
        <w:ind w:firstLine="907"/>
        <w:jc w:val="both"/>
        <w:rPr>
          <w:sz w:val="20"/>
          <w:szCs w:val="20"/>
        </w:rPr>
      </w:pPr>
      <w:r>
        <w:rPr>
          <w:rFonts w:eastAsia="Times New Roman"/>
          <w:sz w:val="28"/>
          <w:szCs w:val="28"/>
        </w:rPr>
        <w:t>В практич</w:t>
      </w:r>
      <w:r>
        <w:rPr>
          <w:rFonts w:eastAsia="Times New Roman"/>
          <w:sz w:val="28"/>
          <w:szCs w:val="28"/>
        </w:rPr>
        <w:t>еской части мы предлагаем разработку уроков для учеников 5-6 и 7-8 классов с применением обучения учеников аргументации собственной мысли и формирования у них базиса для аргументированных высказываний.</w:t>
      </w:r>
    </w:p>
    <w:p w:rsidR="00682F95" w:rsidRDefault="00682F95">
      <w:pPr>
        <w:spacing w:line="25" w:lineRule="exact"/>
        <w:rPr>
          <w:sz w:val="20"/>
          <w:szCs w:val="20"/>
        </w:rPr>
      </w:pPr>
    </w:p>
    <w:p w:rsidR="00682F95" w:rsidRDefault="00E37933">
      <w:pPr>
        <w:spacing w:line="349" w:lineRule="auto"/>
        <w:ind w:firstLine="708"/>
        <w:jc w:val="both"/>
        <w:rPr>
          <w:sz w:val="20"/>
          <w:szCs w:val="20"/>
        </w:rPr>
      </w:pPr>
      <w:r>
        <w:rPr>
          <w:rFonts w:eastAsia="Times New Roman"/>
          <w:sz w:val="28"/>
          <w:szCs w:val="28"/>
        </w:rPr>
        <w:t>Последняя часть это выводы, где мы приводим результат</w:t>
      </w:r>
      <w:r>
        <w:rPr>
          <w:rFonts w:eastAsia="Times New Roman"/>
          <w:sz w:val="28"/>
          <w:szCs w:val="28"/>
        </w:rPr>
        <w:t>ы нашего исследования и рассказываем о методиках, которые мы применяли.</w:t>
      </w:r>
    </w:p>
    <w:p w:rsidR="00682F95" w:rsidRDefault="00682F95">
      <w:pPr>
        <w:spacing w:line="28" w:lineRule="exact"/>
        <w:rPr>
          <w:sz w:val="20"/>
          <w:szCs w:val="20"/>
        </w:rPr>
      </w:pPr>
    </w:p>
    <w:p w:rsidR="00682F95" w:rsidRDefault="00E37933">
      <w:pPr>
        <w:spacing w:line="349" w:lineRule="auto"/>
        <w:ind w:firstLine="708"/>
        <w:jc w:val="both"/>
        <w:rPr>
          <w:sz w:val="20"/>
          <w:szCs w:val="20"/>
        </w:rPr>
      </w:pPr>
      <w:r>
        <w:rPr>
          <w:rFonts w:eastAsia="Times New Roman"/>
          <w:sz w:val="28"/>
          <w:szCs w:val="28"/>
        </w:rPr>
        <w:t>Словарь терминов и профессиональных понятий, приложения, а также список использованной литературы завершают нашу дипломную работу.</w:t>
      </w:r>
    </w:p>
    <w:p w:rsidR="00682F95" w:rsidRDefault="00682F95">
      <w:pPr>
        <w:sectPr w:rsidR="00682F95">
          <w:pgSz w:w="11900" w:h="17338"/>
          <w:pgMar w:top="702" w:right="644" w:bottom="1440" w:left="1180" w:header="0" w:footer="0" w:gutter="0"/>
          <w:cols w:space="720" w:equalWidth="0">
            <w:col w:w="10080"/>
          </w:cols>
        </w:sectPr>
      </w:pPr>
    </w:p>
    <w:p w:rsidR="00682F95" w:rsidRDefault="00E37933">
      <w:pPr>
        <w:ind w:left="9960"/>
        <w:rPr>
          <w:sz w:val="20"/>
          <w:szCs w:val="20"/>
        </w:rPr>
      </w:pPr>
      <w:bookmarkStart w:id="4" w:name="page5"/>
      <w:bookmarkEnd w:id="4"/>
      <w:r>
        <w:rPr>
          <w:rFonts w:ascii="Calibri" w:eastAsia="Calibri" w:hAnsi="Calibri" w:cs="Calibri"/>
        </w:rPr>
        <w:lastRenderedPageBreak/>
        <w:t>5</w:t>
      </w:r>
    </w:p>
    <w:p w:rsidR="00682F95" w:rsidRDefault="00682F95">
      <w:pPr>
        <w:spacing w:line="200" w:lineRule="exact"/>
        <w:rPr>
          <w:sz w:val="20"/>
          <w:szCs w:val="20"/>
        </w:rPr>
      </w:pPr>
    </w:p>
    <w:p w:rsidR="00682F95" w:rsidRDefault="00682F95">
      <w:pPr>
        <w:spacing w:line="200" w:lineRule="exact"/>
        <w:rPr>
          <w:sz w:val="20"/>
          <w:szCs w:val="20"/>
        </w:rPr>
      </w:pPr>
    </w:p>
    <w:p w:rsidR="00682F95" w:rsidRDefault="00682F95">
      <w:pPr>
        <w:ind w:left="9400"/>
        <w:rPr>
          <w:sz w:val="20"/>
          <w:szCs w:val="20"/>
        </w:rPr>
      </w:pPr>
      <w:bookmarkStart w:id="5" w:name="page36"/>
      <w:bookmarkStart w:id="6" w:name="_GoBack"/>
      <w:bookmarkEnd w:id="5"/>
      <w:bookmarkEnd w:id="6"/>
    </w:p>
    <w:p w:rsidR="00682F95" w:rsidRDefault="00682F95">
      <w:pPr>
        <w:spacing w:line="200" w:lineRule="exact"/>
        <w:rPr>
          <w:sz w:val="20"/>
          <w:szCs w:val="20"/>
        </w:rPr>
      </w:pPr>
    </w:p>
    <w:p w:rsidR="00682F95" w:rsidRDefault="00682F95">
      <w:pPr>
        <w:spacing w:line="200" w:lineRule="exact"/>
        <w:rPr>
          <w:sz w:val="20"/>
          <w:szCs w:val="20"/>
        </w:rPr>
      </w:pPr>
    </w:p>
    <w:p w:rsidR="00682F95" w:rsidRDefault="00682F95">
      <w:pPr>
        <w:spacing w:line="225" w:lineRule="exact"/>
        <w:rPr>
          <w:sz w:val="20"/>
          <w:szCs w:val="20"/>
        </w:rPr>
      </w:pPr>
    </w:p>
    <w:p w:rsidR="00682F95" w:rsidRDefault="00E37933">
      <w:pPr>
        <w:ind w:left="900"/>
        <w:rPr>
          <w:sz w:val="20"/>
          <w:szCs w:val="20"/>
        </w:rPr>
      </w:pPr>
      <w:r>
        <w:rPr>
          <w:rFonts w:eastAsia="Times New Roman"/>
          <w:b/>
          <w:bCs/>
          <w:sz w:val="28"/>
          <w:szCs w:val="28"/>
        </w:rPr>
        <w:t>ВЫВОДЫ</w:t>
      </w:r>
    </w:p>
    <w:p w:rsidR="00682F95" w:rsidRDefault="00682F95">
      <w:pPr>
        <w:spacing w:line="200" w:lineRule="exact"/>
        <w:rPr>
          <w:sz w:val="20"/>
          <w:szCs w:val="20"/>
        </w:rPr>
      </w:pPr>
    </w:p>
    <w:p w:rsidR="00682F95" w:rsidRDefault="00682F95">
      <w:pPr>
        <w:spacing w:line="200" w:lineRule="exact"/>
        <w:rPr>
          <w:sz w:val="20"/>
          <w:szCs w:val="20"/>
        </w:rPr>
      </w:pPr>
    </w:p>
    <w:p w:rsidR="00682F95" w:rsidRDefault="00682F95">
      <w:pPr>
        <w:spacing w:line="300" w:lineRule="exact"/>
        <w:rPr>
          <w:sz w:val="20"/>
          <w:szCs w:val="20"/>
        </w:rPr>
      </w:pPr>
    </w:p>
    <w:p w:rsidR="00682F95" w:rsidRDefault="00E37933">
      <w:pPr>
        <w:spacing w:line="360" w:lineRule="auto"/>
        <w:ind w:left="260" w:firstLine="708"/>
        <w:jc w:val="both"/>
        <w:rPr>
          <w:sz w:val="20"/>
          <w:szCs w:val="20"/>
        </w:rPr>
      </w:pPr>
      <w:r>
        <w:rPr>
          <w:rFonts w:eastAsia="Times New Roman"/>
          <w:sz w:val="28"/>
          <w:szCs w:val="28"/>
        </w:rPr>
        <w:t>На рубеже нового тысячелетия когнитивная парадигма гуманитарных наук, антропоцентризм в научных исследованиях предполагают более тесную связь лингвистики с различны</w:t>
      </w:r>
      <w:r>
        <w:rPr>
          <w:rFonts w:eastAsia="Times New Roman"/>
          <w:sz w:val="28"/>
          <w:szCs w:val="28"/>
        </w:rPr>
        <w:t>ми дисциплинами. Это означает, что период «чистой лингвистики», не выходившей за границы языковой среды, подходит к концу, уступая место периоду «лингвистической экспансии», анализируя сложные механизмы функционирования естественных языков, подверженные вл</w:t>
      </w:r>
      <w:r>
        <w:rPr>
          <w:rFonts w:eastAsia="Times New Roman"/>
          <w:sz w:val="28"/>
          <w:szCs w:val="28"/>
        </w:rPr>
        <w:t>иянию экстралингвистических факторов, лингвистика будет вынуждена вторгнуться в «жизненное пространство» некоторых наук. Подтверждение этому – изучение такого многогранного явления как аргументация.</w:t>
      </w:r>
    </w:p>
    <w:p w:rsidR="00682F95" w:rsidRDefault="00682F95">
      <w:pPr>
        <w:spacing w:line="200" w:lineRule="exact"/>
        <w:rPr>
          <w:sz w:val="20"/>
          <w:szCs w:val="20"/>
        </w:rPr>
      </w:pPr>
    </w:p>
    <w:p w:rsidR="00682F95" w:rsidRDefault="00682F95">
      <w:pPr>
        <w:spacing w:line="200" w:lineRule="exact"/>
        <w:rPr>
          <w:sz w:val="20"/>
          <w:szCs w:val="20"/>
        </w:rPr>
      </w:pPr>
    </w:p>
    <w:p w:rsidR="00682F95" w:rsidRDefault="00682F95">
      <w:pPr>
        <w:spacing w:line="244" w:lineRule="exact"/>
        <w:rPr>
          <w:sz w:val="20"/>
          <w:szCs w:val="20"/>
        </w:rPr>
      </w:pPr>
    </w:p>
    <w:p w:rsidR="00682F95" w:rsidRDefault="00E37933">
      <w:pPr>
        <w:spacing w:line="357" w:lineRule="auto"/>
        <w:ind w:left="260" w:firstLine="708"/>
        <w:jc w:val="both"/>
        <w:rPr>
          <w:sz w:val="20"/>
          <w:szCs w:val="20"/>
        </w:rPr>
      </w:pPr>
      <w:r>
        <w:rPr>
          <w:rFonts w:eastAsia="Times New Roman"/>
          <w:sz w:val="28"/>
          <w:szCs w:val="28"/>
        </w:rPr>
        <w:t xml:space="preserve">Аргументация – это совокупность доводов (аргументов), </w:t>
      </w:r>
      <w:r>
        <w:rPr>
          <w:rFonts w:eastAsia="Times New Roman"/>
          <w:sz w:val="28"/>
          <w:szCs w:val="28"/>
        </w:rPr>
        <w:t>а также способ иx приведения для обоснования некоторого высказывания или положения дел с целью убедить адресата в их приемлемости или достаточности в конкретной ситуации. Речевым способом выражения аргументации является текст, преимущественно в диалогическ</w:t>
      </w:r>
      <w:r>
        <w:rPr>
          <w:rFonts w:eastAsia="Times New Roman"/>
          <w:sz w:val="28"/>
          <w:szCs w:val="28"/>
        </w:rPr>
        <w:t>ой форме, хотя и не исключена и монологическая (например, научная статья).</w:t>
      </w:r>
    </w:p>
    <w:p w:rsidR="00682F95" w:rsidRDefault="00682F95">
      <w:pPr>
        <w:spacing w:line="184" w:lineRule="exact"/>
        <w:rPr>
          <w:sz w:val="20"/>
          <w:szCs w:val="20"/>
        </w:rPr>
      </w:pPr>
    </w:p>
    <w:p w:rsidR="00682F95" w:rsidRDefault="00E37933">
      <w:pPr>
        <w:spacing w:line="357" w:lineRule="auto"/>
        <w:ind w:left="260" w:firstLine="708"/>
        <w:jc w:val="both"/>
        <w:rPr>
          <w:sz w:val="20"/>
          <w:szCs w:val="20"/>
        </w:rPr>
      </w:pPr>
      <w:r>
        <w:rPr>
          <w:rFonts w:eastAsia="Times New Roman"/>
          <w:sz w:val="28"/>
          <w:szCs w:val="28"/>
        </w:rPr>
        <w:t>Специфика аргументации как вида коммуникативного процесса и вида речевого воздействия определяется атмосферой конфликтности, понимаемой как когнитивный и/или аксиологический диссон</w:t>
      </w:r>
      <w:r>
        <w:rPr>
          <w:rFonts w:eastAsia="Times New Roman"/>
          <w:sz w:val="28"/>
          <w:szCs w:val="28"/>
        </w:rPr>
        <w:t>анс. Задачей аргументации становится установление истинности в пределах концептуального мира аргументаторов, при этом для каждого участника позиции называются полями аргументации (ПА).</w:t>
      </w:r>
    </w:p>
    <w:p w:rsidR="00682F95" w:rsidRDefault="00682F95">
      <w:pPr>
        <w:spacing w:line="185" w:lineRule="exact"/>
        <w:rPr>
          <w:sz w:val="20"/>
          <w:szCs w:val="20"/>
        </w:rPr>
      </w:pPr>
    </w:p>
    <w:p w:rsidR="00682F95" w:rsidRDefault="00E37933">
      <w:pPr>
        <w:spacing w:line="357" w:lineRule="auto"/>
        <w:ind w:left="260" w:firstLine="708"/>
        <w:jc w:val="both"/>
        <w:rPr>
          <w:sz w:val="20"/>
          <w:szCs w:val="20"/>
        </w:rPr>
      </w:pPr>
      <w:r>
        <w:rPr>
          <w:rFonts w:eastAsia="Times New Roman"/>
          <w:sz w:val="28"/>
          <w:szCs w:val="28"/>
        </w:rPr>
        <w:t>Помимо конфликтности между реальными или потенциальными коммуникантами</w:t>
      </w:r>
      <w:r>
        <w:rPr>
          <w:rFonts w:eastAsia="Times New Roman"/>
          <w:sz w:val="28"/>
          <w:szCs w:val="28"/>
        </w:rPr>
        <w:t xml:space="preserve"> вторым фактором, определяющим характер аргументации, становится спонтанность. Фактор спонтанности лежит в основе деления аргументации на подготовленную и спонтанную, и самым непосредственным образом влияет на выбор языковых средств.</w:t>
      </w:r>
    </w:p>
    <w:p w:rsidR="00682F95" w:rsidRDefault="00682F95">
      <w:pPr>
        <w:sectPr w:rsidR="00682F95">
          <w:pgSz w:w="11900" w:h="16838"/>
          <w:pgMar w:top="714" w:right="846" w:bottom="155" w:left="1440" w:header="0" w:footer="0" w:gutter="0"/>
          <w:cols w:space="720" w:equalWidth="0">
            <w:col w:w="9620"/>
          </w:cols>
        </w:sectPr>
      </w:pPr>
    </w:p>
    <w:p w:rsidR="00682F95" w:rsidRDefault="00E37933">
      <w:pPr>
        <w:ind w:left="9400"/>
        <w:rPr>
          <w:sz w:val="20"/>
          <w:szCs w:val="20"/>
        </w:rPr>
      </w:pPr>
      <w:bookmarkStart w:id="7" w:name="page37"/>
      <w:bookmarkEnd w:id="7"/>
      <w:r>
        <w:rPr>
          <w:rFonts w:ascii="Calibri" w:eastAsia="Calibri" w:hAnsi="Calibri" w:cs="Calibri"/>
          <w:sz w:val="21"/>
          <w:szCs w:val="21"/>
        </w:rPr>
        <w:lastRenderedPageBreak/>
        <w:t>37</w:t>
      </w:r>
    </w:p>
    <w:p w:rsidR="00682F95" w:rsidRDefault="00682F95">
      <w:pPr>
        <w:spacing w:line="200" w:lineRule="exact"/>
        <w:rPr>
          <w:sz w:val="20"/>
          <w:szCs w:val="20"/>
        </w:rPr>
      </w:pPr>
    </w:p>
    <w:p w:rsidR="00682F95" w:rsidRDefault="00682F95">
      <w:pPr>
        <w:spacing w:line="200" w:lineRule="exact"/>
        <w:rPr>
          <w:sz w:val="20"/>
          <w:szCs w:val="20"/>
        </w:rPr>
      </w:pPr>
    </w:p>
    <w:p w:rsidR="00682F95" w:rsidRDefault="00682F95">
      <w:pPr>
        <w:spacing w:line="236" w:lineRule="exact"/>
        <w:rPr>
          <w:sz w:val="20"/>
          <w:szCs w:val="20"/>
        </w:rPr>
      </w:pPr>
    </w:p>
    <w:p w:rsidR="00682F95" w:rsidRDefault="00E37933">
      <w:pPr>
        <w:spacing w:line="359" w:lineRule="auto"/>
        <w:ind w:left="260" w:firstLine="708"/>
        <w:jc w:val="both"/>
        <w:rPr>
          <w:sz w:val="20"/>
          <w:szCs w:val="20"/>
        </w:rPr>
      </w:pPr>
      <w:r>
        <w:rPr>
          <w:rFonts w:eastAsia="Times New Roman"/>
          <w:sz w:val="28"/>
          <w:szCs w:val="28"/>
        </w:rPr>
        <w:t>Анализ коммуникативной ситуации и лингвистической составляющей акта аргументирования с когнитивной и риторической точек зрения делает возможным констатировать, что когнитивная сущность риторического общения заключается в целенаправленной передаче лич</w:t>
      </w:r>
      <w:r>
        <w:rPr>
          <w:rFonts w:eastAsia="Times New Roman"/>
          <w:sz w:val="28"/>
          <w:szCs w:val="28"/>
        </w:rPr>
        <w:t>ного знания о предмете разговора, при восприятии которого в модели ситуации адресата могут проходить какие-либо изменения. При этом задачей адресата будет выделение информации о предмете разговора из представленной ему в виде совокупности высказываний стру</w:t>
      </w:r>
      <w:r>
        <w:rPr>
          <w:rFonts w:eastAsia="Times New Roman"/>
          <w:sz w:val="28"/>
          <w:szCs w:val="28"/>
        </w:rPr>
        <w:t>ктуры знания адресанта, то есть разграничение объективного и субъективного в высказывании. Кроме того, риторическое общение имеет место в условиях аргументативной ситуации, которая возникает в условиях когнитивного диссонанса при наличии у собеседников пот</w:t>
      </w:r>
      <w:r>
        <w:rPr>
          <w:rFonts w:eastAsia="Times New Roman"/>
          <w:sz w:val="28"/>
          <w:szCs w:val="28"/>
        </w:rPr>
        <w:t>ребности узнать что-либо из общения с целью выработки и предложения собственного решения поставленной проблемы.</w:t>
      </w:r>
    </w:p>
    <w:p w:rsidR="00682F95" w:rsidRDefault="00682F95">
      <w:pPr>
        <w:spacing w:line="179" w:lineRule="exact"/>
        <w:rPr>
          <w:sz w:val="20"/>
          <w:szCs w:val="20"/>
        </w:rPr>
      </w:pPr>
    </w:p>
    <w:p w:rsidR="00682F95" w:rsidRDefault="00E37933">
      <w:pPr>
        <w:spacing w:line="347" w:lineRule="auto"/>
        <w:ind w:left="260"/>
        <w:jc w:val="both"/>
        <w:rPr>
          <w:sz w:val="20"/>
          <w:szCs w:val="20"/>
        </w:rPr>
      </w:pPr>
      <w:r>
        <w:rPr>
          <w:rFonts w:eastAsia="Times New Roman"/>
          <w:sz w:val="28"/>
          <w:szCs w:val="28"/>
        </w:rPr>
        <w:t>Знание основ теории аргументации даёт современному школьнику возможность:</w:t>
      </w:r>
    </w:p>
    <w:p w:rsidR="00682F95" w:rsidRDefault="00682F95">
      <w:pPr>
        <w:spacing w:line="179" w:lineRule="exact"/>
        <w:rPr>
          <w:sz w:val="20"/>
          <w:szCs w:val="20"/>
        </w:rPr>
      </w:pPr>
    </w:p>
    <w:p w:rsidR="00682F95" w:rsidRDefault="00E37933" w:rsidP="00E37933">
      <w:pPr>
        <w:numPr>
          <w:ilvl w:val="0"/>
          <w:numId w:val="4"/>
        </w:numPr>
        <w:tabs>
          <w:tab w:val="left" w:pos="420"/>
        </w:tabs>
        <w:ind w:left="420" w:hanging="158"/>
        <w:rPr>
          <w:rFonts w:eastAsia="Times New Roman"/>
          <w:sz w:val="28"/>
          <w:szCs w:val="28"/>
        </w:rPr>
      </w:pPr>
      <w:r>
        <w:rPr>
          <w:rFonts w:eastAsia="Times New Roman"/>
          <w:sz w:val="28"/>
          <w:szCs w:val="28"/>
        </w:rPr>
        <w:t>видеть и устранять различные языковые ошибки в иностранном языке;</w:t>
      </w:r>
    </w:p>
    <w:p w:rsidR="00682F95" w:rsidRDefault="00682F95">
      <w:pPr>
        <w:spacing w:line="321" w:lineRule="exact"/>
        <w:rPr>
          <w:rFonts w:eastAsia="Times New Roman"/>
          <w:sz w:val="28"/>
          <w:szCs w:val="28"/>
        </w:rPr>
      </w:pPr>
    </w:p>
    <w:p w:rsidR="00682F95" w:rsidRDefault="00E37933" w:rsidP="00E37933">
      <w:pPr>
        <w:numPr>
          <w:ilvl w:val="0"/>
          <w:numId w:val="4"/>
        </w:numPr>
        <w:tabs>
          <w:tab w:val="left" w:pos="420"/>
        </w:tabs>
        <w:ind w:left="420" w:hanging="158"/>
        <w:rPr>
          <w:rFonts w:eastAsia="Times New Roman"/>
          <w:sz w:val="28"/>
          <w:szCs w:val="28"/>
        </w:rPr>
      </w:pPr>
      <w:r>
        <w:rPr>
          <w:rFonts w:eastAsia="Times New Roman"/>
          <w:sz w:val="28"/>
          <w:szCs w:val="28"/>
        </w:rPr>
        <w:t>о</w:t>
      </w:r>
      <w:r>
        <w:rPr>
          <w:rFonts w:eastAsia="Times New Roman"/>
          <w:sz w:val="28"/>
          <w:szCs w:val="28"/>
        </w:rPr>
        <w:t>провергать необоснованные доводы своих оппонентов;</w:t>
      </w:r>
    </w:p>
    <w:p w:rsidR="00682F95" w:rsidRDefault="00682F95">
      <w:pPr>
        <w:spacing w:line="321" w:lineRule="exact"/>
        <w:rPr>
          <w:rFonts w:eastAsia="Times New Roman"/>
          <w:sz w:val="28"/>
          <w:szCs w:val="28"/>
        </w:rPr>
      </w:pPr>
    </w:p>
    <w:p w:rsidR="00682F95" w:rsidRDefault="00E37933" w:rsidP="00E37933">
      <w:pPr>
        <w:numPr>
          <w:ilvl w:val="0"/>
          <w:numId w:val="4"/>
        </w:numPr>
        <w:tabs>
          <w:tab w:val="left" w:pos="420"/>
        </w:tabs>
        <w:ind w:left="420" w:hanging="158"/>
        <w:rPr>
          <w:rFonts w:eastAsia="Times New Roman"/>
          <w:sz w:val="28"/>
          <w:szCs w:val="28"/>
        </w:rPr>
      </w:pPr>
      <w:r>
        <w:rPr>
          <w:rFonts w:eastAsia="Times New Roman"/>
          <w:sz w:val="28"/>
          <w:szCs w:val="28"/>
        </w:rPr>
        <w:t>выбирать для себя предпочтительные аргументативные приемы;</w:t>
      </w:r>
    </w:p>
    <w:p w:rsidR="00682F95" w:rsidRDefault="00682F95">
      <w:pPr>
        <w:spacing w:line="321" w:lineRule="exact"/>
        <w:rPr>
          <w:rFonts w:eastAsia="Times New Roman"/>
          <w:sz w:val="28"/>
          <w:szCs w:val="28"/>
        </w:rPr>
      </w:pPr>
    </w:p>
    <w:p w:rsidR="00682F95" w:rsidRDefault="00E37933" w:rsidP="00E37933">
      <w:pPr>
        <w:numPr>
          <w:ilvl w:val="0"/>
          <w:numId w:val="4"/>
        </w:numPr>
        <w:tabs>
          <w:tab w:val="left" w:pos="420"/>
        </w:tabs>
        <w:ind w:left="420" w:hanging="158"/>
        <w:rPr>
          <w:rFonts w:eastAsia="Times New Roman"/>
          <w:sz w:val="28"/>
          <w:szCs w:val="28"/>
        </w:rPr>
      </w:pPr>
      <w:r>
        <w:rPr>
          <w:rFonts w:eastAsia="Times New Roman"/>
          <w:sz w:val="28"/>
          <w:szCs w:val="28"/>
        </w:rPr>
        <w:t>контролировать и оценивать диалогическую ситуацию в целом.</w:t>
      </w:r>
    </w:p>
    <w:p w:rsidR="00682F95" w:rsidRDefault="00682F95">
      <w:pPr>
        <w:sectPr w:rsidR="00682F95">
          <w:pgSz w:w="11900" w:h="16838"/>
          <w:pgMar w:top="714" w:right="846" w:bottom="1440" w:left="1440" w:header="0" w:footer="0" w:gutter="0"/>
          <w:cols w:space="720" w:equalWidth="0">
            <w:col w:w="9620"/>
          </w:cols>
        </w:sectPr>
      </w:pPr>
    </w:p>
    <w:p w:rsidR="00682F95" w:rsidRDefault="00E37933">
      <w:pPr>
        <w:ind w:left="9400"/>
        <w:rPr>
          <w:sz w:val="20"/>
          <w:szCs w:val="20"/>
        </w:rPr>
      </w:pPr>
      <w:bookmarkStart w:id="8" w:name="page38"/>
      <w:bookmarkEnd w:id="8"/>
      <w:r>
        <w:rPr>
          <w:rFonts w:ascii="Calibri" w:eastAsia="Calibri" w:hAnsi="Calibri" w:cs="Calibri"/>
          <w:sz w:val="21"/>
          <w:szCs w:val="21"/>
        </w:rPr>
        <w:lastRenderedPageBreak/>
        <w:t>38</w:t>
      </w:r>
    </w:p>
    <w:p w:rsidR="00682F95" w:rsidRDefault="00682F95">
      <w:pPr>
        <w:spacing w:line="200" w:lineRule="exact"/>
        <w:rPr>
          <w:sz w:val="20"/>
          <w:szCs w:val="20"/>
        </w:rPr>
      </w:pPr>
    </w:p>
    <w:p w:rsidR="00682F95" w:rsidRDefault="00682F95">
      <w:pPr>
        <w:spacing w:line="200" w:lineRule="exact"/>
        <w:rPr>
          <w:sz w:val="20"/>
          <w:szCs w:val="20"/>
        </w:rPr>
      </w:pPr>
    </w:p>
    <w:p w:rsidR="00682F95" w:rsidRDefault="00682F95">
      <w:pPr>
        <w:spacing w:line="228" w:lineRule="exact"/>
        <w:rPr>
          <w:sz w:val="20"/>
          <w:szCs w:val="20"/>
        </w:rPr>
      </w:pPr>
    </w:p>
    <w:p w:rsidR="00682F95" w:rsidRDefault="00E37933">
      <w:pPr>
        <w:ind w:left="900"/>
        <w:rPr>
          <w:sz w:val="20"/>
          <w:szCs w:val="20"/>
        </w:rPr>
      </w:pPr>
      <w:r>
        <w:rPr>
          <w:rFonts w:eastAsia="Times New Roman"/>
          <w:b/>
          <w:bCs/>
          <w:sz w:val="28"/>
          <w:szCs w:val="28"/>
        </w:rPr>
        <w:t>Zusammenfassung</w:t>
      </w:r>
    </w:p>
    <w:p w:rsidR="00682F95" w:rsidRDefault="00682F95">
      <w:pPr>
        <w:spacing w:line="289" w:lineRule="exact"/>
        <w:rPr>
          <w:sz w:val="20"/>
          <w:szCs w:val="20"/>
        </w:rPr>
      </w:pPr>
    </w:p>
    <w:p w:rsidR="00682F95" w:rsidRDefault="00E37933">
      <w:pPr>
        <w:spacing w:line="372" w:lineRule="auto"/>
        <w:ind w:left="260" w:firstLine="708"/>
        <w:jc w:val="both"/>
        <w:rPr>
          <w:sz w:val="20"/>
          <w:szCs w:val="20"/>
        </w:rPr>
      </w:pPr>
      <w:r>
        <w:rPr>
          <w:rFonts w:eastAsia="Times New Roman"/>
          <w:sz w:val="27"/>
          <w:szCs w:val="27"/>
        </w:rPr>
        <w:t xml:space="preserve">Das Ziel unserer Bachelorarbeit </w:t>
      </w:r>
      <w:r>
        <w:rPr>
          <w:rFonts w:eastAsia="Times New Roman"/>
          <w:sz w:val="27"/>
          <w:szCs w:val="27"/>
        </w:rPr>
        <w:t>“Argumentationstechniken als Lernmittel“ war eine Erhellung des Konzepts „Argumentation, -stechniken “ anzustellen und davon ausgehend eine pragmatische Didaktik fur Lehrende zu skizzieren, die es erlaubt, Argumentation im Alltagsunterricht den Lernenden b</w:t>
      </w:r>
      <w:r>
        <w:rPr>
          <w:rFonts w:eastAsia="Times New Roman"/>
          <w:sz w:val="27"/>
          <w:szCs w:val="27"/>
        </w:rPr>
        <w:t>eizubringen.</w:t>
      </w:r>
    </w:p>
    <w:p w:rsidR="00682F95" w:rsidRDefault="00682F95">
      <w:pPr>
        <w:spacing w:line="127" w:lineRule="exact"/>
        <w:rPr>
          <w:sz w:val="20"/>
          <w:szCs w:val="20"/>
        </w:rPr>
      </w:pPr>
    </w:p>
    <w:p w:rsidR="00682F95" w:rsidRDefault="00E37933">
      <w:pPr>
        <w:spacing w:line="357" w:lineRule="auto"/>
        <w:ind w:left="260" w:firstLine="847"/>
        <w:jc w:val="both"/>
        <w:rPr>
          <w:sz w:val="20"/>
          <w:szCs w:val="20"/>
        </w:rPr>
      </w:pPr>
      <w:r>
        <w:rPr>
          <w:rFonts w:eastAsia="Times New Roman"/>
          <w:sz w:val="28"/>
          <w:szCs w:val="28"/>
        </w:rPr>
        <w:t>Für die Bürger der modernen demokratischen Gesellschaften ist «die Fähigkeit und der Wille, sich zu verständigen» ein zentrales Bildungsziel. Schule solle als Vorbereitung auf politische Teilnahme in diesem Sinne dazu befähigen, die eigenen I</w:t>
      </w:r>
      <w:r>
        <w:rPr>
          <w:rFonts w:eastAsia="Times New Roman"/>
          <w:sz w:val="28"/>
          <w:szCs w:val="28"/>
        </w:rPr>
        <w:t>nteressen zu definieren, Konflikte auszutragen und mittels diskursiver Verfahren gegebenenfalls Kompromisse auszuhandeln.</w:t>
      </w:r>
    </w:p>
    <w:p w:rsidR="00682F95" w:rsidRDefault="00682F95">
      <w:pPr>
        <w:spacing w:line="140" w:lineRule="exact"/>
        <w:rPr>
          <w:sz w:val="20"/>
          <w:szCs w:val="20"/>
        </w:rPr>
      </w:pPr>
    </w:p>
    <w:p w:rsidR="00682F95" w:rsidRDefault="00E37933">
      <w:pPr>
        <w:spacing w:line="359" w:lineRule="auto"/>
        <w:ind w:left="260" w:firstLine="708"/>
        <w:jc w:val="both"/>
        <w:rPr>
          <w:sz w:val="20"/>
          <w:szCs w:val="20"/>
        </w:rPr>
      </w:pPr>
      <w:r>
        <w:rPr>
          <w:rFonts w:eastAsia="Times New Roman"/>
          <w:sz w:val="28"/>
          <w:szCs w:val="28"/>
        </w:rPr>
        <w:t>Unsere Arbeit besteht aus 3 Teilen. Der theoretische Teil beginnt mit der Erhellung der Definition „Argumentation“ als Schlüsselkompe</w:t>
      </w:r>
      <w:r>
        <w:rPr>
          <w:rFonts w:eastAsia="Times New Roman"/>
          <w:sz w:val="28"/>
          <w:szCs w:val="28"/>
        </w:rPr>
        <w:t>tenz, wie sie im Alltag, demzufolge auch im Lehrplan und in den Bildungsstandards vorgestellt wird und den Deutschunterricht in der Sekundarstufe I bestimmt. So skizzieren wir zentrale Aspekte, die die gegenwärtige fachdidaktische Diskussion in Bezug auf d</w:t>
      </w:r>
      <w:r>
        <w:rPr>
          <w:rFonts w:eastAsia="Times New Roman"/>
          <w:sz w:val="28"/>
          <w:szCs w:val="28"/>
        </w:rPr>
        <w:t>as Argumentieren für die vier Kompetenzbereiche des Faches Deutsch – von Sprache und Sprachgebrauch, Sprechen und Zuhören, Lesen und dem Umgang mit Texten bis zu Schreiben – benennt. Der zweite Teil der vorliegenden Arbeit beschäftigt sich zunächst grundsä</w:t>
      </w:r>
      <w:r>
        <w:rPr>
          <w:rFonts w:eastAsia="Times New Roman"/>
          <w:sz w:val="28"/>
          <w:szCs w:val="28"/>
        </w:rPr>
        <w:t>tzlich mit den Begriffen von Heterogenität und differenziertem Lernen. Diese zwei Begriffe, wie wir sie in dieser Bachelorsarbeit in Bezug auf das Argumentieren verstehen, führen zum Unterricht, in dem die Heterogenität der Lernenden genutzt wird, wenn das</w:t>
      </w:r>
      <w:r>
        <w:rPr>
          <w:rFonts w:eastAsia="Times New Roman"/>
          <w:sz w:val="28"/>
          <w:szCs w:val="28"/>
        </w:rPr>
        <w:t xml:space="preserve"> Argumentieren gemeinsam und selbstständig in der Lerngruppe gelernt, geübt und bewertet wird.</w:t>
      </w:r>
    </w:p>
    <w:p w:rsidR="00682F95" w:rsidRDefault="00682F95">
      <w:pPr>
        <w:spacing w:line="138" w:lineRule="exact"/>
        <w:rPr>
          <w:sz w:val="20"/>
          <w:szCs w:val="20"/>
        </w:rPr>
      </w:pPr>
    </w:p>
    <w:p w:rsidR="00682F95" w:rsidRDefault="00E37933">
      <w:pPr>
        <w:spacing w:line="357" w:lineRule="auto"/>
        <w:ind w:left="260" w:firstLine="708"/>
        <w:jc w:val="both"/>
        <w:rPr>
          <w:sz w:val="20"/>
          <w:szCs w:val="20"/>
        </w:rPr>
      </w:pPr>
      <w:r>
        <w:rPr>
          <w:rFonts w:eastAsia="Times New Roman"/>
          <w:sz w:val="28"/>
          <w:szCs w:val="28"/>
        </w:rPr>
        <w:t>Der dritte Teil der vorliegenden Arbeit beschäftigt sich mit der praktischen Erarbeitung der bisher erleuchteten theoretischen Grundlagen. Im praktischen Teil s</w:t>
      </w:r>
      <w:r>
        <w:rPr>
          <w:rFonts w:eastAsia="Times New Roman"/>
          <w:sz w:val="28"/>
          <w:szCs w:val="28"/>
        </w:rPr>
        <w:t>tellen wir Unterrichtsmodelle vor, die alle das Argumentieren thematisieren. Dabei liegt in der Klassenstufe 5/6 der Schwerpunkt auf „Sprechen und Zuhören“, in der Klassenstufe 7/8 auf „Lesen – Umgang mit Texten“. Alle Unterrichtsreihen</w:t>
      </w:r>
    </w:p>
    <w:p w:rsidR="00682F95" w:rsidRDefault="00682F95">
      <w:pPr>
        <w:sectPr w:rsidR="00682F95">
          <w:pgSz w:w="11900" w:h="16838"/>
          <w:pgMar w:top="714" w:right="846" w:bottom="683" w:left="1440" w:header="0" w:footer="0" w:gutter="0"/>
          <w:cols w:space="720" w:equalWidth="0">
            <w:col w:w="9620"/>
          </w:cols>
        </w:sectPr>
      </w:pPr>
    </w:p>
    <w:p w:rsidR="00682F95" w:rsidRDefault="00E37933">
      <w:pPr>
        <w:jc w:val="right"/>
        <w:rPr>
          <w:sz w:val="20"/>
          <w:szCs w:val="20"/>
        </w:rPr>
      </w:pPr>
      <w:bookmarkStart w:id="9" w:name="page39"/>
      <w:bookmarkEnd w:id="9"/>
      <w:r>
        <w:rPr>
          <w:rFonts w:ascii="Calibri" w:eastAsia="Calibri" w:hAnsi="Calibri" w:cs="Calibri"/>
        </w:rPr>
        <w:lastRenderedPageBreak/>
        <w:t>39</w:t>
      </w:r>
    </w:p>
    <w:p w:rsidR="00682F95" w:rsidRDefault="00682F95">
      <w:pPr>
        <w:spacing w:line="200" w:lineRule="exact"/>
        <w:rPr>
          <w:sz w:val="20"/>
          <w:szCs w:val="20"/>
        </w:rPr>
      </w:pPr>
    </w:p>
    <w:p w:rsidR="00682F95" w:rsidRDefault="00682F95">
      <w:pPr>
        <w:spacing w:line="200" w:lineRule="exact"/>
        <w:rPr>
          <w:sz w:val="20"/>
          <w:szCs w:val="20"/>
        </w:rPr>
      </w:pPr>
    </w:p>
    <w:p w:rsidR="00682F95" w:rsidRDefault="00682F95">
      <w:pPr>
        <w:spacing w:line="236" w:lineRule="exact"/>
        <w:rPr>
          <w:sz w:val="20"/>
          <w:szCs w:val="20"/>
        </w:rPr>
      </w:pPr>
    </w:p>
    <w:p w:rsidR="00682F95" w:rsidRDefault="00E37933">
      <w:pPr>
        <w:spacing w:line="349" w:lineRule="auto"/>
        <w:ind w:left="260" w:right="20"/>
        <w:jc w:val="both"/>
        <w:rPr>
          <w:sz w:val="20"/>
          <w:szCs w:val="20"/>
        </w:rPr>
      </w:pPr>
      <w:r>
        <w:rPr>
          <w:rFonts w:eastAsia="Times New Roman"/>
          <w:sz w:val="28"/>
          <w:szCs w:val="28"/>
        </w:rPr>
        <w:t>beschäftigen sich mit der Frage, wie sich eine heterogene Gruppe möglichst gut ihrer unterschiedlichen Lernvoraussetzungen und -möglichkeiten bedienen kann.</w:t>
      </w:r>
    </w:p>
    <w:p w:rsidR="00682F95" w:rsidRDefault="00682F95">
      <w:pPr>
        <w:spacing w:line="151" w:lineRule="exact"/>
        <w:rPr>
          <w:sz w:val="20"/>
          <w:szCs w:val="20"/>
        </w:rPr>
      </w:pPr>
    </w:p>
    <w:p w:rsidR="00682F95" w:rsidRDefault="00E37933">
      <w:pPr>
        <w:spacing w:line="359" w:lineRule="auto"/>
        <w:ind w:left="260" w:firstLine="708"/>
        <w:jc w:val="both"/>
        <w:rPr>
          <w:sz w:val="20"/>
          <w:szCs w:val="20"/>
        </w:rPr>
      </w:pPr>
      <w:r>
        <w:rPr>
          <w:rFonts w:eastAsia="Times New Roman"/>
          <w:sz w:val="28"/>
          <w:szCs w:val="28"/>
        </w:rPr>
        <w:t xml:space="preserve">Weniger die Frage nach der Differenzierung auf der Basis von </w:t>
      </w:r>
      <w:r>
        <w:rPr>
          <w:rFonts w:eastAsia="Times New Roman"/>
          <w:sz w:val="28"/>
          <w:szCs w:val="28"/>
        </w:rPr>
        <w:t>Einzelkompetenzen, sondern der individuelle Lernprozess ist für uns bedeutsam. Dabei scheint uns die in den Zeiten der Leistungstests in den Hintergrund gedrängte soziale Kompetenz der Lernenden zentral, als eine Fähigkeit, die neben der wissensbasierten H</w:t>
      </w:r>
      <w:r>
        <w:rPr>
          <w:rFonts w:eastAsia="Times New Roman"/>
          <w:sz w:val="28"/>
          <w:szCs w:val="28"/>
        </w:rPr>
        <w:t>andlungsfähigkeit im Berufsleben besonders gefragt ist. Unter Bildung verstehen wir nicht nur die kompetenzorientierte individuelle Aneignung und Anwendung von Wissen, sondern auch und gerade die Anwendung von Wissen im Umgang miteinander. Gemäß dieser Erf</w:t>
      </w:r>
      <w:r>
        <w:rPr>
          <w:rFonts w:eastAsia="Times New Roman"/>
          <w:sz w:val="28"/>
          <w:szCs w:val="28"/>
        </w:rPr>
        <w:t>ahrung suchen wir nach pragmatischen Lösungen, den Aspekt der Heterogenität konstruktiv in die Unterrichtsplanung einzubeziehen, sodass sich soziales und selbsttätiges Lernen verbinden und die Unterschiede in der Gruppe konstruktiv für das Lerngeschehen de</w:t>
      </w:r>
      <w:r>
        <w:rPr>
          <w:rFonts w:eastAsia="Times New Roman"/>
          <w:sz w:val="28"/>
          <w:szCs w:val="28"/>
        </w:rPr>
        <w:t>s Einzelnen genutzt werden. Wir haben sie zum einen in Methoden des kooperativen wie produktionsorientierten Lernens und zum anderen in gezielt ausgewählten Text- wie Lernsituationsvorgaben, die Argumentieren „anregen“, gefunden. So stellen wir erprobte Un</w:t>
      </w:r>
      <w:r>
        <w:rPr>
          <w:rFonts w:eastAsia="Times New Roman"/>
          <w:sz w:val="28"/>
          <w:szCs w:val="28"/>
        </w:rPr>
        <w:t>terrichtssequenzen im Hauptteil vor, die Mut machen sollen, heterogene Gruppen anspruchsvoll zu unterrichten.</w:t>
      </w:r>
    </w:p>
    <w:p w:rsidR="00682F95" w:rsidRDefault="00682F95">
      <w:pPr>
        <w:spacing w:line="141" w:lineRule="exact"/>
        <w:rPr>
          <w:sz w:val="20"/>
          <w:szCs w:val="20"/>
        </w:rPr>
      </w:pPr>
    </w:p>
    <w:p w:rsidR="00682F95" w:rsidRDefault="00E37933">
      <w:pPr>
        <w:spacing w:line="347" w:lineRule="auto"/>
        <w:ind w:left="260" w:firstLine="708"/>
        <w:jc w:val="both"/>
        <w:rPr>
          <w:sz w:val="20"/>
          <w:szCs w:val="20"/>
        </w:rPr>
      </w:pPr>
      <w:r>
        <w:rPr>
          <w:rFonts w:eastAsia="Times New Roman"/>
          <w:sz w:val="28"/>
          <w:szCs w:val="28"/>
        </w:rPr>
        <w:t>Ein Glossar zu methodischen wie fachlichen Begriffen, Kopiervorlagen (Feedback) und das Literaturverzeichnis runden unsere Bachelorsarbeit ab.</w:t>
      </w:r>
    </w:p>
    <w:p w:rsidR="00682F95" w:rsidRDefault="00682F95">
      <w:pPr>
        <w:sectPr w:rsidR="00682F95">
          <w:pgSz w:w="11900" w:h="16838"/>
          <w:pgMar w:top="702" w:right="846" w:bottom="1440" w:left="1440" w:header="0" w:footer="0" w:gutter="0"/>
          <w:cols w:space="720" w:equalWidth="0">
            <w:col w:w="9620"/>
          </w:cols>
        </w:sectPr>
      </w:pPr>
    </w:p>
    <w:p w:rsidR="00682F95" w:rsidRDefault="00E37933">
      <w:pPr>
        <w:ind w:left="9400"/>
        <w:rPr>
          <w:sz w:val="20"/>
          <w:szCs w:val="20"/>
        </w:rPr>
      </w:pPr>
      <w:bookmarkStart w:id="10" w:name="page40"/>
      <w:bookmarkEnd w:id="10"/>
      <w:r>
        <w:rPr>
          <w:rFonts w:ascii="Calibri" w:eastAsia="Calibri" w:hAnsi="Calibri" w:cs="Calibri"/>
          <w:sz w:val="21"/>
          <w:szCs w:val="21"/>
        </w:rPr>
        <w:lastRenderedPageBreak/>
        <w:t>40</w:t>
      </w:r>
    </w:p>
    <w:p w:rsidR="00682F95" w:rsidRDefault="00682F95">
      <w:pPr>
        <w:spacing w:line="200" w:lineRule="exact"/>
        <w:rPr>
          <w:sz w:val="20"/>
          <w:szCs w:val="20"/>
        </w:rPr>
      </w:pPr>
    </w:p>
    <w:p w:rsidR="00682F95" w:rsidRDefault="00682F95">
      <w:pPr>
        <w:spacing w:line="200" w:lineRule="exact"/>
        <w:rPr>
          <w:sz w:val="20"/>
          <w:szCs w:val="20"/>
        </w:rPr>
      </w:pPr>
    </w:p>
    <w:p w:rsidR="00682F95" w:rsidRDefault="00682F95">
      <w:pPr>
        <w:spacing w:line="225" w:lineRule="exact"/>
        <w:rPr>
          <w:sz w:val="20"/>
          <w:szCs w:val="20"/>
        </w:rPr>
      </w:pPr>
    </w:p>
    <w:p w:rsidR="00682F95" w:rsidRDefault="00E37933">
      <w:pPr>
        <w:ind w:left="900"/>
        <w:rPr>
          <w:sz w:val="20"/>
          <w:szCs w:val="20"/>
        </w:rPr>
      </w:pPr>
      <w:r>
        <w:rPr>
          <w:rFonts w:eastAsia="Times New Roman"/>
          <w:b/>
          <w:bCs/>
          <w:sz w:val="28"/>
          <w:szCs w:val="28"/>
        </w:rPr>
        <w:t>СЛОВАРЬ ТЕРМИНОВ</w:t>
      </w:r>
    </w:p>
    <w:p w:rsidR="00682F95" w:rsidRDefault="00682F95">
      <w:pPr>
        <w:spacing w:line="316" w:lineRule="exact"/>
        <w:rPr>
          <w:sz w:val="20"/>
          <w:szCs w:val="20"/>
        </w:rPr>
      </w:pPr>
    </w:p>
    <w:p w:rsidR="00682F95" w:rsidRDefault="00E37933">
      <w:pPr>
        <w:ind w:left="980"/>
        <w:rPr>
          <w:sz w:val="20"/>
          <w:szCs w:val="20"/>
        </w:rPr>
      </w:pPr>
      <w:r>
        <w:rPr>
          <w:rFonts w:eastAsia="Times New Roman"/>
          <w:b/>
          <w:bCs/>
          <w:sz w:val="28"/>
          <w:szCs w:val="28"/>
        </w:rPr>
        <w:t xml:space="preserve">Аргументация </w:t>
      </w:r>
      <w:r>
        <w:rPr>
          <w:rFonts w:eastAsia="Times New Roman"/>
          <w:sz w:val="28"/>
          <w:szCs w:val="28"/>
        </w:rPr>
        <w:t>(по Гарольду Вольраппу</w:t>
      </w:r>
      <w:r>
        <w:rPr>
          <w:rFonts w:eastAsia="Times New Roman"/>
          <w:b/>
          <w:bCs/>
          <w:sz w:val="28"/>
          <w:szCs w:val="28"/>
        </w:rPr>
        <w:t xml:space="preserve"> </w:t>
      </w:r>
      <w:r>
        <w:rPr>
          <w:rFonts w:eastAsia="Times New Roman"/>
          <w:sz w:val="28"/>
          <w:szCs w:val="28"/>
        </w:rPr>
        <w:t>[42])</w:t>
      </w:r>
    </w:p>
    <w:p w:rsidR="00682F95" w:rsidRDefault="00682F95">
      <w:pPr>
        <w:spacing w:line="337" w:lineRule="exact"/>
        <w:rPr>
          <w:sz w:val="20"/>
          <w:szCs w:val="20"/>
        </w:rPr>
      </w:pPr>
    </w:p>
    <w:p w:rsidR="00682F95" w:rsidRDefault="00E37933">
      <w:pPr>
        <w:spacing w:line="358" w:lineRule="auto"/>
        <w:ind w:left="260" w:firstLine="708"/>
        <w:jc w:val="both"/>
        <w:rPr>
          <w:sz w:val="20"/>
          <w:szCs w:val="20"/>
        </w:rPr>
      </w:pPr>
      <w:r>
        <w:rPr>
          <w:rFonts w:eastAsia="Times New Roman"/>
          <w:sz w:val="28"/>
          <w:szCs w:val="28"/>
        </w:rPr>
        <w:t xml:space="preserve">Аргументация — это метод убеждения, предназначенный для рационального обоснования какого-либо утверждения при помощи других утверждений, но не способный при этом </w:t>
      </w:r>
      <w:r>
        <w:rPr>
          <w:rFonts w:eastAsia="Times New Roman"/>
          <w:sz w:val="28"/>
          <w:szCs w:val="28"/>
        </w:rPr>
        <w:t>служить доказательством его истинности (в противном случае это будет уже не аргументация, а доказательство как таковое). Как указывает Г. Вольрапп [42]: «Аргументация представляет собой логико-коммуникационный процесс, предполагающий субъект-субъектные отн</w:t>
      </w:r>
      <w:r>
        <w:rPr>
          <w:rFonts w:eastAsia="Times New Roman"/>
          <w:sz w:val="28"/>
          <w:szCs w:val="28"/>
        </w:rPr>
        <w:t>ошения, поэтому она всегда диалогична и тем самым шире логического доказательства (которое по существу безлично</w:t>
      </w:r>
    </w:p>
    <w:p w:rsidR="00682F95" w:rsidRDefault="00682F95">
      <w:pPr>
        <w:spacing w:line="22" w:lineRule="exact"/>
        <w:rPr>
          <w:sz w:val="20"/>
          <w:szCs w:val="20"/>
        </w:rPr>
      </w:pPr>
    </w:p>
    <w:p w:rsidR="00682F95" w:rsidRDefault="00E37933" w:rsidP="00E37933">
      <w:pPr>
        <w:numPr>
          <w:ilvl w:val="0"/>
          <w:numId w:val="5"/>
        </w:numPr>
        <w:tabs>
          <w:tab w:val="left" w:pos="481"/>
        </w:tabs>
        <w:spacing w:line="357" w:lineRule="auto"/>
        <w:ind w:left="260" w:firstLine="2"/>
        <w:jc w:val="both"/>
        <w:rPr>
          <w:rFonts w:eastAsia="Times New Roman"/>
          <w:sz w:val="28"/>
          <w:szCs w:val="28"/>
        </w:rPr>
      </w:pPr>
      <w:r>
        <w:rPr>
          <w:rFonts w:eastAsia="Times New Roman"/>
          <w:sz w:val="28"/>
          <w:szCs w:val="28"/>
        </w:rPr>
        <w:t xml:space="preserve">монологично), поскольку ассимилирует в себе не только «технику мышления» (логику), но и «технику убеждения» (искусство воздействия на мыление, </w:t>
      </w:r>
      <w:r>
        <w:rPr>
          <w:rFonts w:eastAsia="Times New Roman"/>
          <w:sz w:val="28"/>
          <w:szCs w:val="28"/>
        </w:rPr>
        <w:t>чувство и волю человека)» [42, 28]. В обыденном мышлении аргументация понимается как способ убеждения кого-либо (индивидуума или сообщества) в истинности или правильности чего-либо (например,</w:t>
      </w:r>
    </w:p>
    <w:p w:rsidR="00682F95" w:rsidRDefault="00682F95">
      <w:pPr>
        <w:spacing w:line="4" w:lineRule="exact"/>
        <w:rPr>
          <w:sz w:val="20"/>
          <w:szCs w:val="20"/>
        </w:rPr>
      </w:pPr>
    </w:p>
    <w:p w:rsidR="00682F95" w:rsidRDefault="00E37933">
      <w:pPr>
        <w:ind w:left="260"/>
        <w:rPr>
          <w:sz w:val="20"/>
          <w:szCs w:val="20"/>
        </w:rPr>
      </w:pPr>
      <w:r>
        <w:rPr>
          <w:rFonts w:eastAsia="Times New Roman"/>
          <w:sz w:val="28"/>
          <w:szCs w:val="28"/>
        </w:rPr>
        <w:t>мысли, положения дел или действия).</w:t>
      </w:r>
    </w:p>
    <w:p w:rsidR="00682F95" w:rsidRDefault="00682F95">
      <w:pPr>
        <w:spacing w:line="337" w:lineRule="exact"/>
        <w:rPr>
          <w:sz w:val="20"/>
          <w:szCs w:val="20"/>
        </w:rPr>
      </w:pPr>
    </w:p>
    <w:p w:rsidR="00682F95" w:rsidRDefault="00E37933" w:rsidP="00E37933">
      <w:pPr>
        <w:numPr>
          <w:ilvl w:val="0"/>
          <w:numId w:val="6"/>
        </w:numPr>
        <w:tabs>
          <w:tab w:val="left" w:pos="1225"/>
        </w:tabs>
        <w:spacing w:line="357" w:lineRule="auto"/>
        <w:ind w:left="260" w:firstLine="710"/>
        <w:jc w:val="both"/>
        <w:rPr>
          <w:rFonts w:eastAsia="Times New Roman"/>
          <w:sz w:val="28"/>
          <w:szCs w:val="28"/>
        </w:rPr>
      </w:pPr>
      <w:r>
        <w:rPr>
          <w:rFonts w:eastAsia="Times New Roman"/>
          <w:sz w:val="28"/>
          <w:szCs w:val="28"/>
        </w:rPr>
        <w:t>вербально-речевой форме ар</w:t>
      </w:r>
      <w:r>
        <w:rPr>
          <w:rFonts w:eastAsia="Times New Roman"/>
          <w:sz w:val="28"/>
          <w:szCs w:val="28"/>
        </w:rPr>
        <w:t>гументация предстаёт как полное или частичное обоснование какого-либо утверждения с использованием других утверждений. Утверждение, которое обосновывается (суждение, система суждений и прочие), называется тезисом, а утверждения, используемые при обосновани</w:t>
      </w:r>
      <w:r>
        <w:rPr>
          <w:rFonts w:eastAsia="Times New Roman"/>
          <w:sz w:val="28"/>
          <w:szCs w:val="28"/>
        </w:rPr>
        <w:t>и тезиса, называются аргументами (основаниями, или доводами).</w:t>
      </w:r>
    </w:p>
    <w:p w:rsidR="00682F95" w:rsidRDefault="00682F95">
      <w:pPr>
        <w:spacing w:line="20" w:lineRule="exact"/>
        <w:rPr>
          <w:sz w:val="20"/>
          <w:szCs w:val="20"/>
        </w:rPr>
      </w:pPr>
    </w:p>
    <w:p w:rsidR="00682F95" w:rsidRDefault="00E37933">
      <w:pPr>
        <w:spacing w:line="347" w:lineRule="auto"/>
        <w:ind w:left="260"/>
        <w:jc w:val="both"/>
        <w:rPr>
          <w:sz w:val="20"/>
          <w:szCs w:val="20"/>
        </w:rPr>
      </w:pPr>
      <w:r>
        <w:rPr>
          <w:rFonts w:eastAsia="Times New Roman"/>
          <w:sz w:val="28"/>
          <w:szCs w:val="28"/>
        </w:rPr>
        <w:t>Сам способ логического обоснования тезиса посредством аргументов (его логическую структуру) называют формой аргументации.</w:t>
      </w:r>
    </w:p>
    <w:p w:rsidR="00682F95" w:rsidRDefault="00682F95">
      <w:pPr>
        <w:spacing w:line="183" w:lineRule="exact"/>
        <w:rPr>
          <w:sz w:val="20"/>
          <w:szCs w:val="20"/>
        </w:rPr>
      </w:pPr>
    </w:p>
    <w:p w:rsidR="00682F95" w:rsidRDefault="00E37933">
      <w:pPr>
        <w:ind w:left="980"/>
        <w:rPr>
          <w:sz w:val="20"/>
          <w:szCs w:val="20"/>
        </w:rPr>
      </w:pPr>
      <w:r>
        <w:rPr>
          <w:rFonts w:eastAsia="Times New Roman"/>
          <w:b/>
          <w:bCs/>
          <w:sz w:val="28"/>
          <w:szCs w:val="28"/>
        </w:rPr>
        <w:t>Тактика как механизм</w:t>
      </w:r>
    </w:p>
    <w:p w:rsidR="00682F95" w:rsidRDefault="00682F95">
      <w:pPr>
        <w:spacing w:line="319" w:lineRule="exact"/>
        <w:rPr>
          <w:sz w:val="20"/>
          <w:szCs w:val="20"/>
        </w:rPr>
      </w:pPr>
    </w:p>
    <w:p w:rsidR="00682F95" w:rsidRDefault="00E37933">
      <w:pPr>
        <w:tabs>
          <w:tab w:val="left" w:pos="1540"/>
          <w:tab w:val="left" w:pos="3100"/>
          <w:tab w:val="left" w:pos="4280"/>
          <w:tab w:val="left" w:pos="5080"/>
          <w:tab w:val="left" w:pos="6440"/>
          <w:tab w:val="left" w:pos="6840"/>
          <w:tab w:val="left" w:pos="7480"/>
          <w:tab w:val="left" w:pos="8400"/>
        </w:tabs>
        <w:ind w:left="980"/>
        <w:rPr>
          <w:sz w:val="20"/>
          <w:szCs w:val="20"/>
        </w:rPr>
      </w:pPr>
      <w:r>
        <w:rPr>
          <w:rFonts w:eastAsia="Times New Roman"/>
          <w:sz w:val="28"/>
          <w:szCs w:val="28"/>
        </w:rPr>
        <w:t>По</w:t>
      </w:r>
      <w:r>
        <w:rPr>
          <w:rFonts w:eastAsia="Times New Roman"/>
          <w:sz w:val="28"/>
          <w:szCs w:val="28"/>
        </w:rPr>
        <w:tab/>
        <w:t>Хильберту</w:t>
      </w:r>
      <w:r>
        <w:rPr>
          <w:rFonts w:eastAsia="Times New Roman"/>
          <w:sz w:val="28"/>
          <w:szCs w:val="28"/>
        </w:rPr>
        <w:tab/>
        <w:t>Майеру</w:t>
      </w:r>
      <w:r>
        <w:rPr>
          <w:sz w:val="20"/>
          <w:szCs w:val="20"/>
        </w:rPr>
        <w:tab/>
      </w:r>
      <w:r>
        <w:rPr>
          <w:rFonts w:eastAsia="Times New Roman"/>
          <w:sz w:val="28"/>
          <w:szCs w:val="28"/>
        </w:rPr>
        <w:t>[31]:</w:t>
      </w:r>
      <w:r>
        <w:rPr>
          <w:sz w:val="20"/>
          <w:szCs w:val="20"/>
        </w:rPr>
        <w:tab/>
      </w:r>
      <w:r>
        <w:rPr>
          <w:rFonts w:eastAsia="Times New Roman"/>
          <w:sz w:val="28"/>
          <w:szCs w:val="28"/>
        </w:rPr>
        <w:t>«Тактика</w:t>
      </w:r>
      <w:r>
        <w:rPr>
          <w:rFonts w:eastAsia="Times New Roman"/>
          <w:sz w:val="28"/>
          <w:szCs w:val="28"/>
        </w:rPr>
        <w:tab/>
        <w:t>–</w:t>
      </w:r>
      <w:r>
        <w:rPr>
          <w:sz w:val="20"/>
          <w:szCs w:val="20"/>
        </w:rPr>
        <w:tab/>
      </w:r>
      <w:r>
        <w:rPr>
          <w:rFonts w:eastAsia="Times New Roman"/>
          <w:sz w:val="28"/>
          <w:szCs w:val="28"/>
        </w:rPr>
        <w:t>это</w:t>
      </w:r>
      <w:r>
        <w:rPr>
          <w:rFonts w:eastAsia="Times New Roman"/>
          <w:sz w:val="28"/>
          <w:szCs w:val="28"/>
        </w:rPr>
        <w:tab/>
        <w:t>серия</w:t>
      </w:r>
      <w:r>
        <w:rPr>
          <w:rFonts w:eastAsia="Times New Roman"/>
          <w:sz w:val="28"/>
          <w:szCs w:val="28"/>
        </w:rPr>
        <w:tab/>
        <w:t>о</w:t>
      </w:r>
      <w:r>
        <w:rPr>
          <w:rFonts w:eastAsia="Times New Roman"/>
          <w:sz w:val="28"/>
          <w:szCs w:val="28"/>
        </w:rPr>
        <w:t>пераций,</w:t>
      </w:r>
    </w:p>
    <w:p w:rsidR="00682F95" w:rsidRDefault="00682F95">
      <w:pPr>
        <w:spacing w:line="174" w:lineRule="exact"/>
        <w:rPr>
          <w:sz w:val="20"/>
          <w:szCs w:val="20"/>
        </w:rPr>
      </w:pPr>
    </w:p>
    <w:p w:rsidR="00682F95" w:rsidRDefault="00E37933">
      <w:pPr>
        <w:spacing w:line="354" w:lineRule="auto"/>
        <w:ind w:left="260"/>
        <w:jc w:val="both"/>
        <w:rPr>
          <w:sz w:val="20"/>
          <w:szCs w:val="20"/>
        </w:rPr>
      </w:pPr>
      <w:r>
        <w:rPr>
          <w:rFonts w:eastAsia="Times New Roman"/>
          <w:sz w:val="28"/>
          <w:szCs w:val="28"/>
        </w:rPr>
        <w:t>уточняющих и конкретизирующих поисково-исследовательскую деятельность. Фактически, это система локальных действий, направленных на достижение поставленной цели» [31,19].</w:t>
      </w:r>
    </w:p>
    <w:p w:rsidR="00682F95" w:rsidRDefault="00682F95">
      <w:pPr>
        <w:sectPr w:rsidR="00682F95">
          <w:pgSz w:w="11900" w:h="16838"/>
          <w:pgMar w:top="714" w:right="846" w:bottom="367" w:left="1440" w:header="0" w:footer="0" w:gutter="0"/>
          <w:cols w:space="720" w:equalWidth="0">
            <w:col w:w="9620"/>
          </w:cols>
        </w:sectPr>
      </w:pPr>
    </w:p>
    <w:p w:rsidR="00682F95" w:rsidRDefault="00E37933">
      <w:pPr>
        <w:ind w:left="9400"/>
        <w:rPr>
          <w:sz w:val="20"/>
          <w:szCs w:val="20"/>
        </w:rPr>
      </w:pPr>
      <w:bookmarkStart w:id="11" w:name="page41"/>
      <w:bookmarkEnd w:id="11"/>
      <w:r>
        <w:rPr>
          <w:rFonts w:ascii="Calibri" w:eastAsia="Calibri" w:hAnsi="Calibri" w:cs="Calibri"/>
          <w:sz w:val="21"/>
          <w:szCs w:val="21"/>
        </w:rPr>
        <w:lastRenderedPageBreak/>
        <w:t>41</w:t>
      </w:r>
    </w:p>
    <w:p w:rsidR="00682F95" w:rsidRDefault="00682F95">
      <w:pPr>
        <w:spacing w:line="200" w:lineRule="exact"/>
        <w:rPr>
          <w:sz w:val="20"/>
          <w:szCs w:val="20"/>
        </w:rPr>
      </w:pPr>
    </w:p>
    <w:p w:rsidR="00682F95" w:rsidRDefault="00682F95">
      <w:pPr>
        <w:spacing w:line="200" w:lineRule="exact"/>
        <w:rPr>
          <w:sz w:val="20"/>
          <w:szCs w:val="20"/>
        </w:rPr>
      </w:pPr>
    </w:p>
    <w:p w:rsidR="00682F95" w:rsidRDefault="00682F95">
      <w:pPr>
        <w:spacing w:line="225" w:lineRule="exact"/>
        <w:rPr>
          <w:sz w:val="20"/>
          <w:szCs w:val="20"/>
        </w:rPr>
      </w:pPr>
    </w:p>
    <w:p w:rsidR="00682F95" w:rsidRDefault="00E37933">
      <w:pPr>
        <w:ind w:left="980"/>
        <w:rPr>
          <w:sz w:val="20"/>
          <w:szCs w:val="20"/>
        </w:rPr>
      </w:pPr>
      <w:r>
        <w:rPr>
          <w:rFonts w:eastAsia="Times New Roman"/>
          <w:b/>
          <w:bCs/>
          <w:sz w:val="28"/>
          <w:szCs w:val="28"/>
        </w:rPr>
        <w:t>Теория речевых актов</w:t>
      </w:r>
    </w:p>
    <w:p w:rsidR="00682F95" w:rsidRDefault="00682F95">
      <w:pPr>
        <w:spacing w:line="332" w:lineRule="exact"/>
        <w:rPr>
          <w:sz w:val="20"/>
          <w:szCs w:val="20"/>
        </w:rPr>
      </w:pPr>
    </w:p>
    <w:p w:rsidR="00682F95" w:rsidRDefault="00E37933">
      <w:pPr>
        <w:spacing w:line="357" w:lineRule="auto"/>
        <w:ind w:left="260" w:firstLine="708"/>
        <w:jc w:val="both"/>
        <w:rPr>
          <w:sz w:val="20"/>
          <w:szCs w:val="20"/>
        </w:rPr>
      </w:pPr>
      <w:r>
        <w:rPr>
          <w:rFonts w:eastAsia="Times New Roman"/>
          <w:sz w:val="28"/>
          <w:szCs w:val="28"/>
        </w:rPr>
        <w:t xml:space="preserve">Согласно Биргит Эрикссон </w:t>
      </w:r>
      <w:r>
        <w:rPr>
          <w:rFonts w:eastAsia="Times New Roman"/>
          <w:sz w:val="28"/>
          <w:szCs w:val="28"/>
        </w:rPr>
        <w:t>[12]: «Теория речевых актов — описательно-аналитическая лингвистическая теория, один из соавторов которой, Джон Серл, развил ее до чрезвычайно тонкого состояния. Это представление нашей речи как некой координации речепорождения и целеполагания, которое мож</w:t>
      </w:r>
      <w:r>
        <w:rPr>
          <w:rFonts w:eastAsia="Times New Roman"/>
          <w:sz w:val="28"/>
          <w:szCs w:val="28"/>
        </w:rPr>
        <w:t>ет быть показано как процесс» [12, 118].</w:t>
      </w:r>
    </w:p>
    <w:p w:rsidR="00682F95" w:rsidRDefault="00682F95">
      <w:pPr>
        <w:spacing w:line="181" w:lineRule="exact"/>
        <w:rPr>
          <w:sz w:val="20"/>
          <w:szCs w:val="20"/>
        </w:rPr>
      </w:pPr>
    </w:p>
    <w:p w:rsidR="00682F95" w:rsidRDefault="00E37933">
      <w:pPr>
        <w:spacing w:line="357" w:lineRule="auto"/>
        <w:ind w:left="260" w:firstLine="708"/>
        <w:jc w:val="both"/>
        <w:rPr>
          <w:sz w:val="20"/>
          <w:szCs w:val="20"/>
        </w:rPr>
      </w:pPr>
      <w:r>
        <w:rPr>
          <w:rFonts w:eastAsia="Times New Roman"/>
          <w:sz w:val="28"/>
          <w:szCs w:val="28"/>
        </w:rPr>
        <w:t xml:space="preserve">Эта теория описывает процесс высказывания, процесс говорения и построения текста, как состоящий из трех отчетливых фаз. Имеется локутивная фаза — то, что собственно сказано, иллокутивная — то, что при этом имеется </w:t>
      </w:r>
      <w:r>
        <w:rPr>
          <w:rFonts w:eastAsia="Times New Roman"/>
          <w:sz w:val="28"/>
          <w:szCs w:val="28"/>
        </w:rPr>
        <w:t>в виду, или более широкий контекст, в который погружены участники разговора, а также перлокутивная — та цель, которая достигается сказанным.</w:t>
      </w:r>
    </w:p>
    <w:p w:rsidR="00682F95" w:rsidRDefault="00682F95">
      <w:pPr>
        <w:spacing w:line="185" w:lineRule="exact"/>
        <w:rPr>
          <w:sz w:val="20"/>
          <w:szCs w:val="20"/>
        </w:rPr>
      </w:pPr>
    </w:p>
    <w:p w:rsidR="00682F95" w:rsidRDefault="00E37933">
      <w:pPr>
        <w:spacing w:line="353" w:lineRule="auto"/>
        <w:ind w:left="260" w:firstLine="708"/>
        <w:jc w:val="both"/>
        <w:rPr>
          <w:sz w:val="20"/>
          <w:szCs w:val="20"/>
        </w:rPr>
      </w:pPr>
      <w:r>
        <w:rPr>
          <w:rFonts w:eastAsia="Times New Roman"/>
          <w:sz w:val="28"/>
          <w:szCs w:val="28"/>
        </w:rPr>
        <w:t>Весь речевой опыт человека во всем его богатстве может быть описан с помощью этой теории, так как первые шаги в ра</w:t>
      </w:r>
      <w:r>
        <w:rPr>
          <w:rFonts w:eastAsia="Times New Roman"/>
          <w:sz w:val="28"/>
          <w:szCs w:val="28"/>
        </w:rPr>
        <w:t>звитии теории речевых актов можно наблюдать еще в древнегреческой риторике Платона.</w:t>
      </w:r>
    </w:p>
    <w:p w:rsidR="00682F95" w:rsidRDefault="00682F95">
      <w:pPr>
        <w:spacing w:line="177" w:lineRule="exact"/>
        <w:rPr>
          <w:sz w:val="20"/>
          <w:szCs w:val="20"/>
        </w:rPr>
      </w:pPr>
    </w:p>
    <w:p w:rsidR="00682F95" w:rsidRDefault="00E37933">
      <w:pPr>
        <w:ind w:left="980"/>
        <w:rPr>
          <w:sz w:val="20"/>
          <w:szCs w:val="20"/>
        </w:rPr>
      </w:pPr>
      <w:r>
        <w:rPr>
          <w:rFonts w:eastAsia="Times New Roman"/>
          <w:b/>
          <w:bCs/>
          <w:sz w:val="28"/>
          <w:szCs w:val="28"/>
        </w:rPr>
        <w:t>Гетерогенность</w:t>
      </w:r>
    </w:p>
    <w:p w:rsidR="00682F95" w:rsidRDefault="00682F95">
      <w:pPr>
        <w:spacing w:line="332" w:lineRule="exact"/>
        <w:rPr>
          <w:sz w:val="20"/>
          <w:szCs w:val="20"/>
        </w:rPr>
      </w:pPr>
    </w:p>
    <w:p w:rsidR="00682F95" w:rsidRDefault="00E37933">
      <w:pPr>
        <w:spacing w:line="356" w:lineRule="auto"/>
        <w:ind w:left="260" w:firstLine="708"/>
        <w:jc w:val="both"/>
        <w:rPr>
          <w:rFonts w:eastAsia="Times New Roman"/>
          <w:sz w:val="28"/>
          <w:szCs w:val="28"/>
        </w:rPr>
      </w:pPr>
      <w:r>
        <w:rPr>
          <w:rFonts w:eastAsia="Times New Roman"/>
          <w:sz w:val="28"/>
          <w:szCs w:val="28"/>
        </w:rPr>
        <w:t xml:space="preserve">Согласно Герману Руху [34]: «Гетерогенность представляет собой совокупность параметров, демонстрирующих степень разнородности, широкий спектр оттенков общества. Однако она, в отличие от </w:t>
      </w:r>
      <w:hyperlink r:id="rId7">
        <w:r>
          <w:rPr>
            <w:rFonts w:eastAsia="Times New Roman"/>
            <w:sz w:val="28"/>
            <w:szCs w:val="28"/>
          </w:rPr>
          <w:t>неравенства</w:t>
        </w:r>
      </w:hyperlink>
      <w:r>
        <w:rPr>
          <w:rFonts w:eastAsia="Times New Roman"/>
          <w:sz w:val="28"/>
          <w:szCs w:val="28"/>
        </w:rPr>
        <w:t>, не говорит о различиях в ранге индивидов, а лишь в позициях. Таким</w:t>
      </w:r>
    </w:p>
    <w:p w:rsidR="00682F95" w:rsidRDefault="00682F95">
      <w:pPr>
        <w:spacing w:line="22" w:lineRule="exact"/>
        <w:rPr>
          <w:sz w:val="20"/>
          <w:szCs w:val="20"/>
        </w:rPr>
      </w:pPr>
    </w:p>
    <w:p w:rsidR="00682F95" w:rsidRDefault="00E37933">
      <w:pPr>
        <w:spacing w:line="356" w:lineRule="auto"/>
        <w:ind w:left="260"/>
        <w:jc w:val="both"/>
        <w:rPr>
          <w:rFonts w:eastAsia="Times New Roman"/>
          <w:sz w:val="28"/>
          <w:szCs w:val="28"/>
        </w:rPr>
      </w:pPr>
      <w:r>
        <w:rPr>
          <w:rFonts w:eastAsia="Times New Roman"/>
          <w:sz w:val="28"/>
          <w:szCs w:val="28"/>
        </w:rPr>
        <w:t xml:space="preserve">образом, по этим параметрам, примерами которых могут служить </w:t>
      </w:r>
      <w:hyperlink r:id="rId8">
        <w:r>
          <w:rPr>
            <w:rFonts w:eastAsia="Times New Roman"/>
            <w:sz w:val="28"/>
            <w:szCs w:val="28"/>
          </w:rPr>
          <w:t xml:space="preserve">пол, </w:t>
        </w:r>
      </w:hyperlink>
      <w:hyperlink r:id="rId9">
        <w:r>
          <w:rPr>
            <w:rFonts w:eastAsia="Times New Roman"/>
            <w:sz w:val="28"/>
            <w:szCs w:val="28"/>
          </w:rPr>
          <w:t>национа</w:t>
        </w:r>
        <w:r>
          <w:rPr>
            <w:rFonts w:eastAsia="Times New Roman"/>
            <w:sz w:val="28"/>
            <w:szCs w:val="28"/>
          </w:rPr>
          <w:t>льность</w:t>
        </w:r>
      </w:hyperlink>
      <w:r>
        <w:rPr>
          <w:rFonts w:eastAsia="Times New Roman"/>
          <w:sz w:val="28"/>
          <w:szCs w:val="28"/>
        </w:rPr>
        <w:t xml:space="preserve">, </w:t>
      </w:r>
      <w:hyperlink r:id="rId10">
        <w:r>
          <w:rPr>
            <w:rFonts w:eastAsia="Times New Roman"/>
            <w:sz w:val="28"/>
            <w:szCs w:val="28"/>
          </w:rPr>
          <w:t>возраст</w:t>
        </w:r>
      </w:hyperlink>
      <w:r>
        <w:rPr>
          <w:rFonts w:eastAsia="Times New Roman"/>
          <w:sz w:val="28"/>
          <w:szCs w:val="28"/>
        </w:rPr>
        <w:t xml:space="preserve">, </w:t>
      </w:r>
      <w:hyperlink r:id="rId11">
        <w:r>
          <w:rPr>
            <w:rFonts w:eastAsia="Times New Roman"/>
            <w:sz w:val="28"/>
            <w:szCs w:val="28"/>
          </w:rPr>
          <w:t>вероис</w:t>
        </w:r>
        <w:r>
          <w:rPr>
            <w:rFonts w:eastAsia="Times New Roman"/>
            <w:sz w:val="28"/>
            <w:szCs w:val="28"/>
          </w:rPr>
          <w:t>поведание</w:t>
        </w:r>
      </w:hyperlink>
      <w:r>
        <w:rPr>
          <w:rFonts w:eastAsia="Times New Roman"/>
          <w:sz w:val="28"/>
          <w:szCs w:val="28"/>
        </w:rPr>
        <w:t>, нельзя сказать ниже или выше находится индивид, занимающий какую-либо позицию в одной социальной группе относительно индивида в другой группе» [34, 12].</w:t>
      </w:r>
    </w:p>
    <w:p w:rsidR="00682F95" w:rsidRDefault="00682F95">
      <w:pPr>
        <w:spacing w:line="183" w:lineRule="exact"/>
        <w:rPr>
          <w:rFonts w:eastAsia="Times New Roman"/>
          <w:sz w:val="28"/>
          <w:szCs w:val="28"/>
        </w:rPr>
      </w:pPr>
    </w:p>
    <w:p w:rsidR="00682F95" w:rsidRDefault="00E37933">
      <w:pPr>
        <w:spacing w:line="355" w:lineRule="auto"/>
        <w:ind w:left="260" w:firstLine="708"/>
        <w:jc w:val="both"/>
        <w:rPr>
          <w:sz w:val="20"/>
          <w:szCs w:val="20"/>
        </w:rPr>
      </w:pPr>
      <w:r>
        <w:rPr>
          <w:rFonts w:eastAsia="Times New Roman"/>
          <w:sz w:val="28"/>
          <w:szCs w:val="28"/>
        </w:rPr>
        <w:t>Гетерогенность показывает, насколько устойчиво конкретное общество. По Герману Руху [34], о</w:t>
      </w:r>
      <w:r>
        <w:rPr>
          <w:rFonts w:eastAsia="Times New Roman"/>
          <w:sz w:val="28"/>
          <w:szCs w:val="28"/>
        </w:rPr>
        <w:t>бщество с низкой степенью гетерогенности (то есть многие параметры индивидов совпадают) является наиболее устойчивым.</w:t>
      </w:r>
    </w:p>
    <w:p w:rsidR="00682F95" w:rsidRDefault="00682F95">
      <w:pPr>
        <w:sectPr w:rsidR="00682F95">
          <w:pgSz w:w="11900" w:h="16838"/>
          <w:pgMar w:top="714" w:right="846" w:bottom="208" w:left="1440" w:header="0" w:footer="0" w:gutter="0"/>
          <w:cols w:space="720" w:equalWidth="0">
            <w:col w:w="9620"/>
          </w:cols>
        </w:sectPr>
      </w:pPr>
    </w:p>
    <w:p w:rsidR="00682F95" w:rsidRDefault="00E37933">
      <w:pPr>
        <w:ind w:left="9400"/>
        <w:rPr>
          <w:sz w:val="20"/>
          <w:szCs w:val="20"/>
        </w:rPr>
      </w:pPr>
      <w:bookmarkStart w:id="12" w:name="page42"/>
      <w:bookmarkEnd w:id="12"/>
      <w:r>
        <w:rPr>
          <w:rFonts w:ascii="Calibri" w:eastAsia="Calibri" w:hAnsi="Calibri" w:cs="Calibri"/>
          <w:sz w:val="21"/>
          <w:szCs w:val="21"/>
        </w:rPr>
        <w:lastRenderedPageBreak/>
        <w:t>42</w:t>
      </w:r>
    </w:p>
    <w:p w:rsidR="00682F95" w:rsidRDefault="00682F95">
      <w:pPr>
        <w:spacing w:line="200" w:lineRule="exact"/>
        <w:rPr>
          <w:sz w:val="20"/>
          <w:szCs w:val="20"/>
        </w:rPr>
      </w:pPr>
    </w:p>
    <w:p w:rsidR="00682F95" w:rsidRDefault="00682F95">
      <w:pPr>
        <w:spacing w:line="200" w:lineRule="exact"/>
        <w:rPr>
          <w:sz w:val="20"/>
          <w:szCs w:val="20"/>
        </w:rPr>
      </w:pPr>
    </w:p>
    <w:p w:rsidR="00682F95" w:rsidRDefault="00682F95">
      <w:pPr>
        <w:spacing w:line="225" w:lineRule="exact"/>
        <w:rPr>
          <w:sz w:val="20"/>
          <w:szCs w:val="20"/>
        </w:rPr>
      </w:pPr>
    </w:p>
    <w:p w:rsidR="00682F95" w:rsidRDefault="00E37933">
      <w:pPr>
        <w:ind w:left="980"/>
        <w:rPr>
          <w:sz w:val="20"/>
          <w:szCs w:val="20"/>
        </w:rPr>
      </w:pPr>
      <w:r>
        <w:rPr>
          <w:rFonts w:eastAsia="Times New Roman"/>
          <w:b/>
          <w:bCs/>
          <w:sz w:val="28"/>
          <w:szCs w:val="28"/>
        </w:rPr>
        <w:t>Механизмы работы в группе</w:t>
      </w:r>
    </w:p>
    <w:p w:rsidR="00682F95" w:rsidRDefault="00682F95">
      <w:pPr>
        <w:spacing w:line="319" w:lineRule="exact"/>
        <w:rPr>
          <w:sz w:val="20"/>
          <w:szCs w:val="20"/>
        </w:rPr>
      </w:pPr>
    </w:p>
    <w:p w:rsidR="00682F95" w:rsidRDefault="00E37933">
      <w:pPr>
        <w:ind w:left="980"/>
        <w:rPr>
          <w:sz w:val="20"/>
          <w:szCs w:val="20"/>
        </w:rPr>
      </w:pPr>
      <w:r>
        <w:rPr>
          <w:rFonts w:eastAsia="Times New Roman"/>
          <w:sz w:val="28"/>
          <w:szCs w:val="28"/>
        </w:rPr>
        <w:t>По Райнхарду Бохману [7] , существуют следующие механизмы работы</w:t>
      </w:r>
    </w:p>
    <w:p w:rsidR="00682F95" w:rsidRDefault="00682F95">
      <w:pPr>
        <w:spacing w:line="158" w:lineRule="exact"/>
        <w:rPr>
          <w:sz w:val="20"/>
          <w:szCs w:val="20"/>
        </w:rPr>
      </w:pPr>
    </w:p>
    <w:p w:rsidR="00682F95" w:rsidRDefault="00E37933" w:rsidP="00E37933">
      <w:pPr>
        <w:numPr>
          <w:ilvl w:val="0"/>
          <w:numId w:val="7"/>
        </w:numPr>
        <w:tabs>
          <w:tab w:val="left" w:pos="460"/>
        </w:tabs>
        <w:ind w:left="460" w:hanging="198"/>
        <w:rPr>
          <w:rFonts w:eastAsia="Times New Roman"/>
          <w:sz w:val="28"/>
          <w:szCs w:val="28"/>
        </w:rPr>
      </w:pPr>
      <w:r>
        <w:rPr>
          <w:rFonts w:eastAsia="Times New Roman"/>
          <w:sz w:val="28"/>
          <w:szCs w:val="28"/>
        </w:rPr>
        <w:t>группе:</w:t>
      </w:r>
    </w:p>
    <w:p w:rsidR="00682F95" w:rsidRDefault="00682F95">
      <w:pPr>
        <w:spacing w:line="356" w:lineRule="exact"/>
        <w:rPr>
          <w:rFonts w:eastAsia="Times New Roman"/>
          <w:sz w:val="28"/>
          <w:szCs w:val="28"/>
        </w:rPr>
      </w:pPr>
    </w:p>
    <w:p w:rsidR="00682F95" w:rsidRDefault="00E37933" w:rsidP="00E37933">
      <w:pPr>
        <w:numPr>
          <w:ilvl w:val="1"/>
          <w:numId w:val="7"/>
        </w:numPr>
        <w:tabs>
          <w:tab w:val="left" w:pos="968"/>
        </w:tabs>
        <w:spacing w:line="351" w:lineRule="auto"/>
        <w:ind w:left="980" w:hanging="358"/>
        <w:jc w:val="both"/>
        <w:rPr>
          <w:rFonts w:ascii="Symbol" w:eastAsia="Symbol" w:hAnsi="Symbol" w:cs="Symbol"/>
          <w:sz w:val="28"/>
          <w:szCs w:val="28"/>
        </w:rPr>
      </w:pPr>
      <w:r>
        <w:rPr>
          <w:rFonts w:eastAsia="Times New Roman"/>
          <w:sz w:val="28"/>
          <w:szCs w:val="28"/>
        </w:rPr>
        <w:t>метод "</w:t>
      </w:r>
      <w:r>
        <w:rPr>
          <w:rFonts w:eastAsia="Times New Roman"/>
          <w:sz w:val="28"/>
          <w:szCs w:val="28"/>
        </w:rPr>
        <w:t>групповой поляризации", "экстреоризация» – приближение общегруппового мнения к какому-то полюсу континуума всех групповых мнений, часто "сдвиг к риску", когда групповое решение является более рискованным, чем решение, принимаемое индивидуально;</w:t>
      </w:r>
    </w:p>
    <w:p w:rsidR="00682F95" w:rsidRDefault="00682F95">
      <w:pPr>
        <w:spacing w:line="209" w:lineRule="exact"/>
        <w:rPr>
          <w:rFonts w:ascii="Symbol" w:eastAsia="Symbol" w:hAnsi="Symbol" w:cs="Symbol"/>
          <w:sz w:val="28"/>
          <w:szCs w:val="28"/>
        </w:rPr>
      </w:pPr>
    </w:p>
    <w:p w:rsidR="00682F95" w:rsidRDefault="00E37933" w:rsidP="00E37933">
      <w:pPr>
        <w:numPr>
          <w:ilvl w:val="1"/>
          <w:numId w:val="7"/>
        </w:numPr>
        <w:tabs>
          <w:tab w:val="left" w:pos="968"/>
        </w:tabs>
        <w:spacing w:line="353" w:lineRule="auto"/>
        <w:ind w:left="980" w:hanging="358"/>
        <w:jc w:val="both"/>
        <w:rPr>
          <w:rFonts w:ascii="Symbol" w:eastAsia="Symbol" w:hAnsi="Symbol" w:cs="Symbol"/>
          <w:sz w:val="28"/>
          <w:szCs w:val="28"/>
        </w:rPr>
      </w:pPr>
      <w:r>
        <w:rPr>
          <w:rFonts w:eastAsia="Times New Roman"/>
          <w:sz w:val="28"/>
          <w:szCs w:val="28"/>
        </w:rPr>
        <w:t>метод «моз</w:t>
      </w:r>
      <w:r>
        <w:rPr>
          <w:rFonts w:eastAsia="Times New Roman"/>
          <w:sz w:val="28"/>
          <w:szCs w:val="28"/>
        </w:rPr>
        <w:t>гового штурма», или так называемый «брейнсторминг», заключается в сборе максимального количества идей для решения определенной задачи за ограниченный короткий промежуток времени. Этот способ позволяет оптимизировать креативное мышление коллектива и вывести</w:t>
      </w:r>
      <w:r>
        <w:rPr>
          <w:rFonts w:eastAsia="Times New Roman"/>
          <w:sz w:val="28"/>
          <w:szCs w:val="28"/>
        </w:rPr>
        <w:t xml:space="preserve"> максимально эффективную идею с последующим воплощением ее в жизнь;</w:t>
      </w:r>
    </w:p>
    <w:p w:rsidR="00682F95" w:rsidRDefault="00682F95">
      <w:pPr>
        <w:spacing w:line="207" w:lineRule="exact"/>
        <w:rPr>
          <w:rFonts w:ascii="Symbol" w:eastAsia="Symbol" w:hAnsi="Symbol" w:cs="Symbol"/>
          <w:sz w:val="28"/>
          <w:szCs w:val="28"/>
        </w:rPr>
      </w:pPr>
    </w:p>
    <w:p w:rsidR="00682F95" w:rsidRDefault="00E37933" w:rsidP="00E37933">
      <w:pPr>
        <w:numPr>
          <w:ilvl w:val="1"/>
          <w:numId w:val="7"/>
        </w:numPr>
        <w:tabs>
          <w:tab w:val="left" w:pos="968"/>
        </w:tabs>
        <w:spacing w:line="343" w:lineRule="auto"/>
        <w:ind w:left="980" w:hanging="358"/>
        <w:jc w:val="both"/>
        <w:rPr>
          <w:rFonts w:ascii="Symbol" w:eastAsia="Symbol" w:hAnsi="Symbol" w:cs="Symbol"/>
          <w:sz w:val="28"/>
          <w:szCs w:val="28"/>
        </w:rPr>
      </w:pPr>
      <w:r>
        <w:rPr>
          <w:rFonts w:eastAsia="Times New Roman"/>
          <w:sz w:val="28"/>
          <w:szCs w:val="28"/>
        </w:rPr>
        <w:t>метод «групповой дискуссии» – это метод обучения, повышающий интенсивность и эффективность процесса восприятия за счет активного включения членов группы в коллективный поиск истины;</w:t>
      </w:r>
    </w:p>
    <w:p w:rsidR="00682F95" w:rsidRDefault="00682F95">
      <w:pPr>
        <w:spacing w:line="216" w:lineRule="exact"/>
        <w:rPr>
          <w:rFonts w:ascii="Symbol" w:eastAsia="Symbol" w:hAnsi="Symbol" w:cs="Symbol"/>
          <w:sz w:val="28"/>
          <w:szCs w:val="28"/>
        </w:rPr>
      </w:pPr>
    </w:p>
    <w:p w:rsidR="00682F95" w:rsidRDefault="00E37933" w:rsidP="00E37933">
      <w:pPr>
        <w:numPr>
          <w:ilvl w:val="1"/>
          <w:numId w:val="7"/>
        </w:numPr>
        <w:tabs>
          <w:tab w:val="left" w:pos="968"/>
        </w:tabs>
        <w:spacing w:line="353" w:lineRule="auto"/>
        <w:ind w:left="980" w:hanging="358"/>
        <w:jc w:val="both"/>
        <w:rPr>
          <w:rFonts w:ascii="Symbol" w:eastAsia="Symbol" w:hAnsi="Symbol" w:cs="Symbol"/>
          <w:sz w:val="28"/>
          <w:szCs w:val="28"/>
        </w:rPr>
      </w:pPr>
      <w:r>
        <w:rPr>
          <w:rFonts w:eastAsia="Times New Roman"/>
          <w:sz w:val="28"/>
          <w:szCs w:val="28"/>
        </w:rPr>
        <w:t>мето</w:t>
      </w:r>
      <w:r>
        <w:rPr>
          <w:rFonts w:eastAsia="Times New Roman"/>
          <w:sz w:val="28"/>
          <w:szCs w:val="28"/>
        </w:rPr>
        <w:t>д «группового анализа» – это метод работы в группе на этапе оценки достижений группы как единого организма. Именно данный метод подходит для определения ошибок и неправильности действий или решений во время групповой работы, а также позволяет высказать все</w:t>
      </w:r>
      <w:r>
        <w:rPr>
          <w:rFonts w:eastAsia="Times New Roman"/>
          <w:sz w:val="28"/>
          <w:szCs w:val="28"/>
        </w:rPr>
        <w:t>м участникам группы собственные эмоции от совместной работы и принадлежности именно к даной группе.</w:t>
      </w:r>
    </w:p>
    <w:p w:rsidR="00682F95" w:rsidRDefault="00682F95">
      <w:pPr>
        <w:sectPr w:rsidR="00682F95">
          <w:pgSz w:w="11900" w:h="16838"/>
          <w:pgMar w:top="714" w:right="846" w:bottom="1440" w:left="1440" w:header="0" w:footer="0" w:gutter="0"/>
          <w:cols w:space="720" w:equalWidth="0">
            <w:col w:w="9620"/>
          </w:cols>
        </w:sectPr>
      </w:pPr>
    </w:p>
    <w:p w:rsidR="00682F95" w:rsidRDefault="00E37933">
      <w:pPr>
        <w:ind w:left="9400"/>
        <w:rPr>
          <w:sz w:val="20"/>
          <w:szCs w:val="20"/>
        </w:rPr>
      </w:pPr>
      <w:bookmarkStart w:id="13" w:name="page43"/>
      <w:bookmarkEnd w:id="13"/>
      <w:r>
        <w:rPr>
          <w:rFonts w:ascii="Calibri" w:eastAsia="Calibri" w:hAnsi="Calibri" w:cs="Calibri"/>
          <w:sz w:val="21"/>
          <w:szCs w:val="21"/>
        </w:rPr>
        <w:lastRenderedPageBreak/>
        <w:t>43</w:t>
      </w:r>
    </w:p>
    <w:p w:rsidR="00682F95" w:rsidRDefault="00682F95">
      <w:pPr>
        <w:spacing w:line="200" w:lineRule="exact"/>
        <w:rPr>
          <w:sz w:val="20"/>
          <w:szCs w:val="20"/>
        </w:rPr>
      </w:pPr>
    </w:p>
    <w:p w:rsidR="00682F95" w:rsidRDefault="00682F95">
      <w:pPr>
        <w:spacing w:line="200" w:lineRule="exact"/>
        <w:rPr>
          <w:sz w:val="20"/>
          <w:szCs w:val="20"/>
        </w:rPr>
      </w:pPr>
    </w:p>
    <w:p w:rsidR="00682F95" w:rsidRDefault="00682F95">
      <w:pPr>
        <w:spacing w:line="228" w:lineRule="exact"/>
        <w:rPr>
          <w:sz w:val="20"/>
          <w:szCs w:val="20"/>
        </w:rPr>
      </w:pPr>
    </w:p>
    <w:p w:rsidR="00682F95" w:rsidRDefault="00E37933">
      <w:pPr>
        <w:ind w:left="1800"/>
        <w:rPr>
          <w:sz w:val="20"/>
          <w:szCs w:val="20"/>
        </w:rPr>
      </w:pPr>
      <w:r>
        <w:rPr>
          <w:rFonts w:eastAsia="Times New Roman"/>
          <w:b/>
          <w:bCs/>
          <w:sz w:val="28"/>
          <w:szCs w:val="28"/>
        </w:rPr>
        <w:t>СПИСОК ИСПОЛЬЗОВАННЫХ ИСТОЧНИКОВ</w:t>
      </w:r>
    </w:p>
    <w:p w:rsidR="00682F95" w:rsidRDefault="00682F95">
      <w:pPr>
        <w:spacing w:line="200" w:lineRule="exact"/>
        <w:rPr>
          <w:sz w:val="20"/>
          <w:szCs w:val="20"/>
        </w:rPr>
      </w:pPr>
    </w:p>
    <w:p w:rsidR="00682F95" w:rsidRDefault="00682F95">
      <w:pPr>
        <w:spacing w:line="200" w:lineRule="exact"/>
        <w:rPr>
          <w:sz w:val="20"/>
          <w:szCs w:val="20"/>
        </w:rPr>
      </w:pPr>
    </w:p>
    <w:p w:rsidR="00682F95" w:rsidRDefault="00682F95">
      <w:pPr>
        <w:spacing w:line="200" w:lineRule="exact"/>
        <w:rPr>
          <w:sz w:val="20"/>
          <w:szCs w:val="20"/>
        </w:rPr>
      </w:pPr>
    </w:p>
    <w:p w:rsidR="00682F95" w:rsidRDefault="00682F95">
      <w:pPr>
        <w:spacing w:line="212" w:lineRule="exact"/>
        <w:rPr>
          <w:sz w:val="20"/>
          <w:szCs w:val="20"/>
        </w:rPr>
      </w:pPr>
    </w:p>
    <w:p w:rsidR="00682F95" w:rsidRDefault="00E37933">
      <w:pPr>
        <w:tabs>
          <w:tab w:val="left" w:pos="880"/>
        </w:tabs>
        <w:spacing w:line="356" w:lineRule="auto"/>
        <w:ind w:left="900" w:hanging="359"/>
        <w:jc w:val="both"/>
        <w:rPr>
          <w:sz w:val="20"/>
          <w:szCs w:val="20"/>
        </w:rPr>
      </w:pPr>
      <w:r>
        <w:rPr>
          <w:rFonts w:eastAsia="Times New Roman"/>
          <w:sz w:val="28"/>
          <w:szCs w:val="28"/>
        </w:rPr>
        <w:t>1.</w:t>
      </w:r>
      <w:r>
        <w:rPr>
          <w:sz w:val="20"/>
          <w:szCs w:val="20"/>
        </w:rPr>
        <w:tab/>
      </w:r>
      <w:r>
        <w:rPr>
          <w:rFonts w:eastAsia="Times New Roman"/>
          <w:sz w:val="28"/>
          <w:szCs w:val="28"/>
        </w:rPr>
        <w:t xml:space="preserve">Новиков Д. М., Воспитание готовности к толерантному взаимодействию младших школьников в </w:t>
      </w:r>
      <w:r>
        <w:rPr>
          <w:rFonts w:eastAsia="Times New Roman"/>
          <w:sz w:val="28"/>
          <w:szCs w:val="28"/>
        </w:rPr>
        <w:t>гетерогенной среде в процессе сотрудничества учителя с родителями / Д.М. Новиков // Вестник Тюменского государственного университета. – Тюмень, 2010. – №9(83).</w:t>
      </w:r>
    </w:p>
    <w:p w:rsidR="00682F95" w:rsidRDefault="00682F95">
      <w:pPr>
        <w:spacing w:line="6" w:lineRule="exact"/>
        <w:rPr>
          <w:sz w:val="20"/>
          <w:szCs w:val="20"/>
        </w:rPr>
      </w:pPr>
    </w:p>
    <w:p w:rsidR="00682F95" w:rsidRDefault="00E37933">
      <w:pPr>
        <w:ind w:left="900"/>
        <w:rPr>
          <w:sz w:val="20"/>
          <w:szCs w:val="20"/>
        </w:rPr>
      </w:pPr>
      <w:r>
        <w:rPr>
          <w:rFonts w:eastAsia="Times New Roman"/>
          <w:sz w:val="28"/>
          <w:szCs w:val="28"/>
        </w:rPr>
        <w:t>– С. 41-50.</w:t>
      </w:r>
    </w:p>
    <w:p w:rsidR="00682F95" w:rsidRDefault="00682F95">
      <w:pPr>
        <w:spacing w:line="324" w:lineRule="exact"/>
        <w:rPr>
          <w:sz w:val="20"/>
          <w:szCs w:val="20"/>
        </w:rPr>
      </w:pPr>
    </w:p>
    <w:p w:rsidR="00682F95" w:rsidRDefault="00E37933" w:rsidP="00E37933">
      <w:pPr>
        <w:numPr>
          <w:ilvl w:val="0"/>
          <w:numId w:val="8"/>
        </w:numPr>
        <w:tabs>
          <w:tab w:val="left" w:pos="900"/>
        </w:tabs>
        <w:ind w:left="900" w:hanging="355"/>
        <w:rPr>
          <w:rFonts w:eastAsia="Times New Roman"/>
          <w:sz w:val="28"/>
          <w:szCs w:val="28"/>
        </w:rPr>
      </w:pPr>
      <w:r>
        <w:rPr>
          <w:rFonts w:eastAsia="Times New Roman"/>
          <w:sz w:val="28"/>
          <w:szCs w:val="28"/>
        </w:rPr>
        <w:t>Тихомирова   Е.Л.,   Ценности   инклюзивной   культуры   школы   как</w:t>
      </w:r>
    </w:p>
    <w:p w:rsidR="00682F95" w:rsidRDefault="00682F95">
      <w:pPr>
        <w:spacing w:line="174" w:lineRule="exact"/>
        <w:rPr>
          <w:sz w:val="20"/>
          <w:szCs w:val="20"/>
        </w:rPr>
      </w:pPr>
    </w:p>
    <w:p w:rsidR="00682F95" w:rsidRDefault="00E37933">
      <w:pPr>
        <w:spacing w:line="347" w:lineRule="auto"/>
        <w:ind w:left="900"/>
        <w:rPr>
          <w:sz w:val="20"/>
          <w:szCs w:val="20"/>
        </w:rPr>
      </w:pPr>
      <w:r>
        <w:rPr>
          <w:rFonts w:eastAsia="Times New Roman"/>
          <w:sz w:val="28"/>
          <w:szCs w:val="28"/>
        </w:rPr>
        <w:t>гетерогенной</w:t>
      </w:r>
      <w:r>
        <w:rPr>
          <w:rFonts w:eastAsia="Times New Roman"/>
          <w:sz w:val="28"/>
          <w:szCs w:val="28"/>
        </w:rPr>
        <w:t xml:space="preserve"> организации / Е.Л. Тихомирова // Вестник Костромского государственного университета. – Кострома, 2015. – №4(16). – С.16-22.</w:t>
      </w:r>
    </w:p>
    <w:p w:rsidR="00682F95" w:rsidRDefault="00682F95">
      <w:pPr>
        <w:spacing w:line="195" w:lineRule="exact"/>
        <w:rPr>
          <w:sz w:val="20"/>
          <w:szCs w:val="20"/>
        </w:rPr>
      </w:pPr>
    </w:p>
    <w:p w:rsidR="00682F95" w:rsidRDefault="00E37933" w:rsidP="00E37933">
      <w:pPr>
        <w:numPr>
          <w:ilvl w:val="0"/>
          <w:numId w:val="9"/>
        </w:numPr>
        <w:tabs>
          <w:tab w:val="left" w:pos="900"/>
        </w:tabs>
        <w:spacing w:line="349" w:lineRule="auto"/>
        <w:ind w:left="900" w:hanging="355"/>
        <w:rPr>
          <w:rFonts w:eastAsia="Times New Roman"/>
          <w:sz w:val="28"/>
          <w:szCs w:val="28"/>
        </w:rPr>
      </w:pPr>
      <w:r>
        <w:rPr>
          <w:rFonts w:eastAsia="Times New Roman"/>
          <w:sz w:val="28"/>
          <w:szCs w:val="28"/>
        </w:rPr>
        <w:t xml:space="preserve">Abraham, Ulf: </w:t>
      </w:r>
      <w:r>
        <w:rPr>
          <w:rFonts w:eastAsia="Times New Roman"/>
          <w:i/>
          <w:iCs/>
          <w:sz w:val="28"/>
          <w:szCs w:val="28"/>
        </w:rPr>
        <w:t>Sprechen als reflexive Praxis, Mündlicher Sprachgebrauch in</w:t>
      </w:r>
      <w:r>
        <w:rPr>
          <w:rFonts w:eastAsia="Times New Roman"/>
          <w:sz w:val="28"/>
          <w:szCs w:val="28"/>
        </w:rPr>
        <w:t xml:space="preserve"> </w:t>
      </w:r>
      <w:r>
        <w:rPr>
          <w:rFonts w:eastAsia="Times New Roman"/>
          <w:i/>
          <w:iCs/>
          <w:sz w:val="28"/>
          <w:szCs w:val="28"/>
        </w:rPr>
        <w:t xml:space="preserve">einem kompe-tenzorientierten Deutschunterricht, </w:t>
      </w:r>
      <w:r>
        <w:rPr>
          <w:rFonts w:eastAsia="Times New Roman"/>
          <w:sz w:val="28"/>
          <w:szCs w:val="28"/>
        </w:rPr>
        <w:t>Freiburg</w:t>
      </w:r>
      <w:r>
        <w:rPr>
          <w:rFonts w:eastAsia="Times New Roman"/>
          <w:sz w:val="28"/>
          <w:szCs w:val="28"/>
        </w:rPr>
        <w:t xml:space="preserve"> 2008.</w:t>
      </w:r>
    </w:p>
    <w:p w:rsidR="00682F95" w:rsidRDefault="00682F95">
      <w:pPr>
        <w:spacing w:line="191" w:lineRule="exact"/>
        <w:rPr>
          <w:rFonts w:eastAsia="Times New Roman"/>
          <w:sz w:val="28"/>
          <w:szCs w:val="28"/>
        </w:rPr>
      </w:pPr>
    </w:p>
    <w:p w:rsidR="00682F95" w:rsidRDefault="00E37933" w:rsidP="00E37933">
      <w:pPr>
        <w:numPr>
          <w:ilvl w:val="0"/>
          <w:numId w:val="9"/>
        </w:numPr>
        <w:tabs>
          <w:tab w:val="left" w:pos="970"/>
        </w:tabs>
        <w:spacing w:line="347" w:lineRule="auto"/>
        <w:ind w:left="900" w:hanging="355"/>
        <w:rPr>
          <w:rFonts w:eastAsia="Times New Roman"/>
          <w:sz w:val="28"/>
          <w:szCs w:val="28"/>
        </w:rPr>
      </w:pPr>
      <w:r>
        <w:rPr>
          <w:rFonts w:eastAsia="Times New Roman"/>
          <w:sz w:val="28"/>
          <w:szCs w:val="28"/>
        </w:rPr>
        <w:t xml:space="preserve">Becker-Mrotzek, Michael (Hrsg.): </w:t>
      </w:r>
      <w:r>
        <w:rPr>
          <w:rFonts w:eastAsia="Times New Roman"/>
          <w:i/>
          <w:iCs/>
          <w:sz w:val="28"/>
          <w:szCs w:val="28"/>
        </w:rPr>
        <w:t>Mündliche Kommunikation und</w:t>
      </w:r>
      <w:r>
        <w:rPr>
          <w:rFonts w:eastAsia="Times New Roman"/>
          <w:sz w:val="28"/>
          <w:szCs w:val="28"/>
        </w:rPr>
        <w:t xml:space="preserve"> </w:t>
      </w:r>
      <w:r>
        <w:rPr>
          <w:rFonts w:eastAsia="Times New Roman"/>
          <w:i/>
          <w:iCs/>
          <w:sz w:val="28"/>
          <w:szCs w:val="28"/>
        </w:rPr>
        <w:t>Gesprächsdidaktik</w:t>
      </w:r>
      <w:r>
        <w:rPr>
          <w:rFonts w:eastAsia="Times New Roman"/>
          <w:sz w:val="28"/>
          <w:szCs w:val="28"/>
        </w:rPr>
        <w:t>, Hohen-gehren 2009.</w:t>
      </w:r>
    </w:p>
    <w:p w:rsidR="00682F95" w:rsidRDefault="00682F95">
      <w:pPr>
        <w:spacing w:line="181" w:lineRule="exact"/>
        <w:rPr>
          <w:rFonts w:eastAsia="Times New Roman"/>
          <w:sz w:val="28"/>
          <w:szCs w:val="28"/>
        </w:rPr>
      </w:pPr>
    </w:p>
    <w:p w:rsidR="00682F95" w:rsidRDefault="00E37933" w:rsidP="00E37933">
      <w:pPr>
        <w:numPr>
          <w:ilvl w:val="0"/>
          <w:numId w:val="9"/>
        </w:numPr>
        <w:tabs>
          <w:tab w:val="left" w:pos="900"/>
        </w:tabs>
        <w:ind w:left="900" w:hanging="355"/>
        <w:rPr>
          <w:rFonts w:eastAsia="Times New Roman"/>
          <w:sz w:val="28"/>
          <w:szCs w:val="28"/>
        </w:rPr>
      </w:pPr>
      <w:r>
        <w:rPr>
          <w:rFonts w:eastAsia="Times New Roman"/>
          <w:sz w:val="28"/>
          <w:szCs w:val="28"/>
        </w:rPr>
        <w:t>Becker-Mrotzek,   Michael:   „Unterrichtskommunikation   als   Mittel   der</w:t>
      </w:r>
    </w:p>
    <w:p w:rsidR="00682F95" w:rsidRDefault="00682F95">
      <w:pPr>
        <w:spacing w:line="158" w:lineRule="exact"/>
        <w:rPr>
          <w:rFonts w:eastAsia="Times New Roman"/>
          <w:sz w:val="28"/>
          <w:szCs w:val="28"/>
        </w:rPr>
      </w:pPr>
    </w:p>
    <w:p w:rsidR="00682F95" w:rsidRDefault="00E37933">
      <w:pPr>
        <w:ind w:left="900"/>
        <w:rPr>
          <w:rFonts w:eastAsia="Times New Roman"/>
          <w:sz w:val="28"/>
          <w:szCs w:val="28"/>
        </w:rPr>
      </w:pPr>
      <w:r>
        <w:rPr>
          <w:rFonts w:eastAsia="Times New Roman"/>
          <w:sz w:val="28"/>
          <w:szCs w:val="28"/>
        </w:rPr>
        <w:t>Kompetenzentwicklung“. In: ders., S. 103-115.</w:t>
      </w:r>
    </w:p>
    <w:p w:rsidR="00682F95" w:rsidRDefault="00682F95">
      <w:pPr>
        <w:spacing w:line="323" w:lineRule="exact"/>
        <w:rPr>
          <w:rFonts w:eastAsia="Times New Roman"/>
          <w:sz w:val="28"/>
          <w:szCs w:val="28"/>
        </w:rPr>
      </w:pPr>
    </w:p>
    <w:p w:rsidR="00682F95" w:rsidRDefault="00E37933" w:rsidP="00E37933">
      <w:pPr>
        <w:numPr>
          <w:ilvl w:val="0"/>
          <w:numId w:val="9"/>
        </w:numPr>
        <w:tabs>
          <w:tab w:val="left" w:pos="980"/>
        </w:tabs>
        <w:ind w:left="980" w:hanging="435"/>
        <w:rPr>
          <w:rFonts w:eastAsia="Times New Roman"/>
          <w:sz w:val="28"/>
          <w:szCs w:val="28"/>
        </w:rPr>
      </w:pPr>
      <w:r>
        <w:rPr>
          <w:rFonts w:eastAsia="Times New Roman"/>
          <w:sz w:val="28"/>
          <w:szCs w:val="28"/>
        </w:rPr>
        <w:t xml:space="preserve">Belgrad, Jürgen: </w:t>
      </w:r>
      <w:r>
        <w:rPr>
          <w:rFonts w:eastAsia="Times New Roman"/>
          <w:sz w:val="28"/>
          <w:szCs w:val="28"/>
        </w:rPr>
        <w:t>„Szenisches Spiel“. In: Michael Becker-Mrotzek (Hrsg.),</w:t>
      </w:r>
    </w:p>
    <w:p w:rsidR="00682F95" w:rsidRDefault="00682F95">
      <w:pPr>
        <w:spacing w:line="160" w:lineRule="exact"/>
        <w:rPr>
          <w:sz w:val="20"/>
          <w:szCs w:val="20"/>
        </w:rPr>
      </w:pPr>
    </w:p>
    <w:p w:rsidR="00682F95" w:rsidRDefault="00E37933">
      <w:pPr>
        <w:ind w:left="900"/>
        <w:rPr>
          <w:sz w:val="20"/>
          <w:szCs w:val="20"/>
        </w:rPr>
      </w:pPr>
      <w:r>
        <w:rPr>
          <w:rFonts w:eastAsia="Times New Roman"/>
          <w:i/>
          <w:iCs/>
          <w:sz w:val="28"/>
          <w:szCs w:val="28"/>
        </w:rPr>
        <w:t>Mündliche Kom-munikation und Gesprächsdidaktik</w:t>
      </w:r>
      <w:r>
        <w:rPr>
          <w:rFonts w:eastAsia="Times New Roman"/>
          <w:sz w:val="28"/>
          <w:szCs w:val="28"/>
        </w:rPr>
        <w:t>, Hohengehren 2009, S.</w:t>
      </w:r>
    </w:p>
    <w:p w:rsidR="00682F95" w:rsidRDefault="00682F95">
      <w:pPr>
        <w:spacing w:line="158" w:lineRule="exact"/>
        <w:rPr>
          <w:sz w:val="20"/>
          <w:szCs w:val="20"/>
        </w:rPr>
      </w:pPr>
    </w:p>
    <w:p w:rsidR="00682F95" w:rsidRDefault="00E37933">
      <w:pPr>
        <w:ind w:left="900"/>
        <w:rPr>
          <w:sz w:val="20"/>
          <w:szCs w:val="20"/>
        </w:rPr>
      </w:pPr>
      <w:r>
        <w:rPr>
          <w:rFonts w:eastAsia="Times New Roman"/>
          <w:sz w:val="28"/>
          <w:szCs w:val="28"/>
        </w:rPr>
        <w:t>278-296.</w:t>
      </w:r>
    </w:p>
    <w:p w:rsidR="00682F95" w:rsidRDefault="00682F95">
      <w:pPr>
        <w:spacing w:line="337" w:lineRule="exact"/>
        <w:rPr>
          <w:sz w:val="20"/>
          <w:szCs w:val="20"/>
        </w:rPr>
      </w:pPr>
    </w:p>
    <w:p w:rsidR="00682F95" w:rsidRDefault="00E37933" w:rsidP="00E37933">
      <w:pPr>
        <w:numPr>
          <w:ilvl w:val="0"/>
          <w:numId w:val="10"/>
        </w:numPr>
        <w:tabs>
          <w:tab w:val="left" w:pos="970"/>
        </w:tabs>
        <w:spacing w:line="348" w:lineRule="auto"/>
        <w:ind w:left="900" w:hanging="355"/>
        <w:rPr>
          <w:rFonts w:eastAsia="Times New Roman"/>
          <w:sz w:val="28"/>
          <w:szCs w:val="28"/>
        </w:rPr>
      </w:pPr>
      <w:r>
        <w:rPr>
          <w:rFonts w:eastAsia="Times New Roman"/>
          <w:sz w:val="28"/>
          <w:szCs w:val="28"/>
        </w:rPr>
        <w:t xml:space="preserve">Bochmann, Reinhard/Kirchmann, Ruth: </w:t>
      </w:r>
      <w:r>
        <w:rPr>
          <w:rFonts w:eastAsia="Times New Roman"/>
          <w:i/>
          <w:iCs/>
          <w:sz w:val="28"/>
          <w:szCs w:val="28"/>
        </w:rPr>
        <w:t>Kooperatives Lernen in der</w:t>
      </w:r>
      <w:r>
        <w:rPr>
          <w:rFonts w:eastAsia="Times New Roman"/>
          <w:sz w:val="28"/>
          <w:szCs w:val="28"/>
        </w:rPr>
        <w:t xml:space="preserve"> </w:t>
      </w:r>
      <w:r>
        <w:rPr>
          <w:rFonts w:eastAsia="Times New Roman"/>
          <w:i/>
          <w:iCs/>
          <w:sz w:val="28"/>
          <w:szCs w:val="28"/>
        </w:rPr>
        <w:t>Grundschule. Zusammen arbeiten – Aktive Kinder lernen me</w:t>
      </w:r>
      <w:r>
        <w:rPr>
          <w:rFonts w:eastAsia="Times New Roman"/>
          <w:i/>
          <w:iCs/>
          <w:sz w:val="28"/>
          <w:szCs w:val="28"/>
        </w:rPr>
        <w:t>hr</w:t>
      </w:r>
      <w:r>
        <w:rPr>
          <w:rFonts w:eastAsia="Times New Roman"/>
          <w:sz w:val="28"/>
          <w:szCs w:val="28"/>
        </w:rPr>
        <w:t>. Essen 2006.</w:t>
      </w:r>
    </w:p>
    <w:p w:rsidR="00682F95" w:rsidRDefault="00682F95">
      <w:pPr>
        <w:spacing w:line="178" w:lineRule="exact"/>
        <w:rPr>
          <w:rFonts w:eastAsia="Times New Roman"/>
          <w:sz w:val="28"/>
          <w:szCs w:val="28"/>
        </w:rPr>
      </w:pPr>
    </w:p>
    <w:p w:rsidR="00682F95" w:rsidRDefault="00E37933" w:rsidP="00E37933">
      <w:pPr>
        <w:numPr>
          <w:ilvl w:val="0"/>
          <w:numId w:val="10"/>
        </w:numPr>
        <w:tabs>
          <w:tab w:val="left" w:pos="980"/>
        </w:tabs>
        <w:ind w:left="980" w:hanging="435"/>
        <w:rPr>
          <w:rFonts w:eastAsia="Times New Roman"/>
          <w:sz w:val="28"/>
          <w:szCs w:val="28"/>
        </w:rPr>
      </w:pPr>
      <w:r>
        <w:rPr>
          <w:rFonts w:eastAsia="Times New Roman"/>
          <w:sz w:val="28"/>
          <w:szCs w:val="28"/>
        </w:rPr>
        <w:t xml:space="preserve">Boller,  Sebastian/Elke  Rosowski/Thea  Stroot  (Hrsg.):  </w:t>
      </w:r>
      <w:r>
        <w:rPr>
          <w:rFonts w:eastAsia="Times New Roman"/>
          <w:i/>
          <w:iCs/>
          <w:sz w:val="28"/>
          <w:szCs w:val="28"/>
        </w:rPr>
        <w:t>Heterogenität  in</w:t>
      </w:r>
    </w:p>
    <w:p w:rsidR="00682F95" w:rsidRDefault="00682F95">
      <w:pPr>
        <w:spacing w:line="163" w:lineRule="exact"/>
        <w:rPr>
          <w:sz w:val="20"/>
          <w:szCs w:val="20"/>
        </w:rPr>
      </w:pPr>
    </w:p>
    <w:p w:rsidR="00682F95" w:rsidRDefault="00E37933">
      <w:pPr>
        <w:ind w:left="900"/>
        <w:rPr>
          <w:sz w:val="20"/>
          <w:szCs w:val="20"/>
        </w:rPr>
      </w:pPr>
      <w:r>
        <w:rPr>
          <w:rFonts w:eastAsia="Times New Roman"/>
          <w:i/>
          <w:iCs/>
          <w:sz w:val="28"/>
          <w:szCs w:val="28"/>
        </w:rPr>
        <w:t>Schule und Unterricht: Handlungsansätze zum pädagogischen Umgang mit</w:t>
      </w:r>
    </w:p>
    <w:p w:rsidR="00682F95" w:rsidRDefault="00682F95">
      <w:pPr>
        <w:spacing w:line="158" w:lineRule="exact"/>
        <w:rPr>
          <w:sz w:val="20"/>
          <w:szCs w:val="20"/>
        </w:rPr>
      </w:pPr>
    </w:p>
    <w:p w:rsidR="00682F95" w:rsidRDefault="00E37933">
      <w:pPr>
        <w:ind w:left="900"/>
        <w:rPr>
          <w:sz w:val="20"/>
          <w:szCs w:val="20"/>
        </w:rPr>
      </w:pPr>
      <w:r>
        <w:rPr>
          <w:rFonts w:eastAsia="Times New Roman"/>
          <w:i/>
          <w:iCs/>
          <w:sz w:val="28"/>
          <w:szCs w:val="28"/>
        </w:rPr>
        <w:t>Vielfalt</w:t>
      </w:r>
      <w:r>
        <w:rPr>
          <w:rFonts w:eastAsia="Times New Roman"/>
          <w:sz w:val="28"/>
          <w:szCs w:val="28"/>
        </w:rPr>
        <w:t>. Beltz: 2007.</w:t>
      </w:r>
    </w:p>
    <w:p w:rsidR="00682F95" w:rsidRDefault="00682F95">
      <w:pPr>
        <w:spacing w:line="337" w:lineRule="exact"/>
        <w:rPr>
          <w:sz w:val="20"/>
          <w:szCs w:val="20"/>
        </w:rPr>
      </w:pPr>
    </w:p>
    <w:p w:rsidR="00682F95" w:rsidRDefault="00E37933">
      <w:pPr>
        <w:tabs>
          <w:tab w:val="left" w:pos="880"/>
        </w:tabs>
        <w:spacing w:line="353" w:lineRule="auto"/>
        <w:ind w:left="900" w:hanging="359"/>
        <w:jc w:val="both"/>
        <w:rPr>
          <w:sz w:val="20"/>
          <w:szCs w:val="20"/>
        </w:rPr>
      </w:pPr>
      <w:r>
        <w:rPr>
          <w:rFonts w:eastAsia="Times New Roman"/>
          <w:sz w:val="28"/>
          <w:szCs w:val="28"/>
        </w:rPr>
        <w:t>9.</w:t>
      </w:r>
      <w:r>
        <w:rPr>
          <w:sz w:val="20"/>
          <w:szCs w:val="20"/>
        </w:rPr>
        <w:tab/>
      </w:r>
      <w:r>
        <w:rPr>
          <w:rFonts w:eastAsia="Times New Roman"/>
          <w:sz w:val="28"/>
          <w:szCs w:val="28"/>
        </w:rPr>
        <w:t xml:space="preserve">Brüning, Ludger/Saum, Tobias: </w:t>
      </w:r>
      <w:r>
        <w:rPr>
          <w:rFonts w:eastAsia="Times New Roman"/>
          <w:i/>
          <w:iCs/>
          <w:sz w:val="28"/>
          <w:szCs w:val="28"/>
        </w:rPr>
        <w:t>Erfolgreich unterrichten durch</w:t>
      </w:r>
      <w:r>
        <w:rPr>
          <w:rFonts w:eastAsia="Times New Roman"/>
          <w:sz w:val="28"/>
          <w:szCs w:val="28"/>
        </w:rPr>
        <w:t xml:space="preserve"> </w:t>
      </w:r>
      <w:r>
        <w:rPr>
          <w:rFonts w:eastAsia="Times New Roman"/>
          <w:i/>
          <w:iCs/>
          <w:sz w:val="28"/>
          <w:szCs w:val="28"/>
        </w:rPr>
        <w:t xml:space="preserve">Kooperatives Lernen, </w:t>
      </w:r>
      <w:r>
        <w:rPr>
          <w:rFonts w:eastAsia="Times New Roman"/>
          <w:sz w:val="28"/>
          <w:szCs w:val="28"/>
        </w:rPr>
        <w:t>Band 2.</w:t>
      </w:r>
      <w:r>
        <w:rPr>
          <w:rFonts w:eastAsia="Times New Roman"/>
          <w:i/>
          <w:iCs/>
          <w:sz w:val="28"/>
          <w:szCs w:val="28"/>
        </w:rPr>
        <w:t xml:space="preserve"> Neue Strategien zur Schüleraktivierung – Individualisierung – Leistungsbeurteilung – Schulentwicklung</w:t>
      </w:r>
      <w:r>
        <w:rPr>
          <w:rFonts w:eastAsia="Times New Roman"/>
          <w:sz w:val="28"/>
          <w:szCs w:val="28"/>
        </w:rPr>
        <w:t>. Essen 2009.</w:t>
      </w:r>
    </w:p>
    <w:p w:rsidR="00682F95" w:rsidRDefault="00682F95">
      <w:pPr>
        <w:sectPr w:rsidR="00682F95">
          <w:pgSz w:w="11900" w:h="16838"/>
          <w:pgMar w:top="714" w:right="846" w:bottom="212" w:left="1440" w:header="0" w:footer="0" w:gutter="0"/>
          <w:cols w:space="720" w:equalWidth="0">
            <w:col w:w="9620"/>
          </w:cols>
        </w:sectPr>
      </w:pPr>
    </w:p>
    <w:p w:rsidR="00682F95" w:rsidRDefault="00E37933">
      <w:pPr>
        <w:ind w:left="9400"/>
        <w:rPr>
          <w:sz w:val="20"/>
          <w:szCs w:val="20"/>
        </w:rPr>
      </w:pPr>
      <w:bookmarkStart w:id="14" w:name="page44"/>
      <w:bookmarkEnd w:id="14"/>
      <w:r>
        <w:rPr>
          <w:rFonts w:ascii="Calibri" w:eastAsia="Calibri" w:hAnsi="Calibri" w:cs="Calibri"/>
          <w:sz w:val="21"/>
          <w:szCs w:val="21"/>
        </w:rPr>
        <w:lastRenderedPageBreak/>
        <w:t>44</w:t>
      </w:r>
    </w:p>
    <w:p w:rsidR="00682F95" w:rsidRDefault="00682F95">
      <w:pPr>
        <w:spacing w:line="200" w:lineRule="exact"/>
        <w:rPr>
          <w:sz w:val="20"/>
          <w:szCs w:val="20"/>
        </w:rPr>
      </w:pPr>
    </w:p>
    <w:p w:rsidR="00682F95" w:rsidRDefault="00682F95">
      <w:pPr>
        <w:spacing w:line="200" w:lineRule="exact"/>
        <w:rPr>
          <w:sz w:val="20"/>
          <w:szCs w:val="20"/>
        </w:rPr>
      </w:pPr>
    </w:p>
    <w:p w:rsidR="00682F95" w:rsidRDefault="00682F95">
      <w:pPr>
        <w:spacing w:line="234" w:lineRule="exact"/>
        <w:rPr>
          <w:sz w:val="20"/>
          <w:szCs w:val="20"/>
        </w:rPr>
      </w:pPr>
    </w:p>
    <w:p w:rsidR="00682F95" w:rsidRDefault="00E37933" w:rsidP="00E37933">
      <w:pPr>
        <w:numPr>
          <w:ilvl w:val="0"/>
          <w:numId w:val="11"/>
        </w:numPr>
        <w:tabs>
          <w:tab w:val="left" w:pos="980"/>
        </w:tabs>
        <w:ind w:left="980" w:hanging="435"/>
        <w:rPr>
          <w:rFonts w:eastAsia="Times New Roman"/>
          <w:sz w:val="27"/>
          <w:szCs w:val="27"/>
        </w:rPr>
      </w:pPr>
      <w:r>
        <w:rPr>
          <w:rFonts w:eastAsia="Times New Roman"/>
          <w:sz w:val="27"/>
          <w:szCs w:val="27"/>
        </w:rPr>
        <w:t>Budde, Jürgen: „Bildungs(miss)erfolge von Jungen und Berufswahlverhalten</w:t>
      </w:r>
    </w:p>
    <w:p w:rsidR="00682F95" w:rsidRDefault="00682F95">
      <w:pPr>
        <w:spacing w:line="158" w:lineRule="exact"/>
        <w:rPr>
          <w:sz w:val="20"/>
          <w:szCs w:val="20"/>
        </w:rPr>
      </w:pPr>
    </w:p>
    <w:p w:rsidR="00682F95" w:rsidRDefault="00E37933">
      <w:pPr>
        <w:ind w:left="900"/>
        <w:rPr>
          <w:sz w:val="20"/>
          <w:szCs w:val="20"/>
        </w:rPr>
      </w:pPr>
      <w:r>
        <w:rPr>
          <w:rFonts w:eastAsia="Times New Roman"/>
          <w:sz w:val="28"/>
          <w:szCs w:val="28"/>
        </w:rPr>
        <w:t xml:space="preserve">bei Jun-gen/männlichen Jugendlichen“. In: </w:t>
      </w:r>
      <w:r>
        <w:rPr>
          <w:rFonts w:eastAsia="Times New Roman"/>
          <w:i/>
          <w:iCs/>
          <w:sz w:val="28"/>
          <w:szCs w:val="28"/>
        </w:rPr>
        <w:t>Bildungsforschung</w:t>
      </w:r>
      <w:r>
        <w:rPr>
          <w:rFonts w:eastAsia="Times New Roman"/>
          <w:sz w:val="28"/>
          <w:szCs w:val="28"/>
        </w:rPr>
        <w:t xml:space="preserve"> Band 23, 2008</w:t>
      </w:r>
    </w:p>
    <w:p w:rsidR="00682F95" w:rsidRDefault="00682F95">
      <w:pPr>
        <w:spacing w:line="337" w:lineRule="exact"/>
        <w:rPr>
          <w:sz w:val="20"/>
          <w:szCs w:val="20"/>
        </w:rPr>
      </w:pPr>
    </w:p>
    <w:p w:rsidR="00682F95" w:rsidRDefault="00E37933" w:rsidP="00E37933">
      <w:pPr>
        <w:numPr>
          <w:ilvl w:val="0"/>
          <w:numId w:val="12"/>
        </w:numPr>
        <w:tabs>
          <w:tab w:val="left" w:pos="970"/>
        </w:tabs>
        <w:spacing w:line="347" w:lineRule="auto"/>
        <w:ind w:left="900" w:hanging="355"/>
        <w:rPr>
          <w:rFonts w:eastAsia="Times New Roman"/>
          <w:sz w:val="28"/>
          <w:szCs w:val="28"/>
        </w:rPr>
      </w:pPr>
      <w:r>
        <w:rPr>
          <w:rFonts w:eastAsia="Times New Roman"/>
          <w:sz w:val="28"/>
          <w:szCs w:val="28"/>
        </w:rPr>
        <w:t xml:space="preserve">Edelstein, Wolfgang/Nunner-Winkler, Gertrud (Hrsg.): </w:t>
      </w:r>
      <w:r>
        <w:rPr>
          <w:rFonts w:eastAsia="Times New Roman"/>
          <w:i/>
          <w:iCs/>
          <w:sz w:val="28"/>
          <w:szCs w:val="28"/>
        </w:rPr>
        <w:t>Zur Bestimmung der</w:t>
      </w:r>
      <w:r>
        <w:rPr>
          <w:rFonts w:eastAsia="Times New Roman"/>
          <w:sz w:val="28"/>
          <w:szCs w:val="28"/>
        </w:rPr>
        <w:t xml:space="preserve"> </w:t>
      </w:r>
      <w:r>
        <w:rPr>
          <w:rFonts w:eastAsia="Times New Roman"/>
          <w:i/>
          <w:iCs/>
          <w:sz w:val="28"/>
          <w:szCs w:val="28"/>
        </w:rPr>
        <w:t>Moral</w:t>
      </w:r>
      <w:r>
        <w:rPr>
          <w:rFonts w:eastAsia="Times New Roman"/>
          <w:sz w:val="28"/>
          <w:szCs w:val="28"/>
        </w:rPr>
        <w:t>, Frank-</w:t>
      </w:r>
    </w:p>
    <w:p w:rsidR="00682F95" w:rsidRDefault="00682F95">
      <w:pPr>
        <w:spacing w:line="180" w:lineRule="exact"/>
        <w:rPr>
          <w:rFonts w:eastAsia="Times New Roman"/>
          <w:sz w:val="28"/>
          <w:szCs w:val="28"/>
        </w:rPr>
      </w:pPr>
    </w:p>
    <w:p w:rsidR="00682F95" w:rsidRDefault="00E37933" w:rsidP="00E37933">
      <w:pPr>
        <w:numPr>
          <w:ilvl w:val="0"/>
          <w:numId w:val="12"/>
        </w:numPr>
        <w:tabs>
          <w:tab w:val="left" w:pos="980"/>
        </w:tabs>
        <w:ind w:left="980" w:hanging="435"/>
        <w:rPr>
          <w:rFonts w:eastAsia="Times New Roman"/>
          <w:sz w:val="28"/>
          <w:szCs w:val="28"/>
        </w:rPr>
      </w:pPr>
      <w:r>
        <w:rPr>
          <w:rFonts w:eastAsia="Times New Roman"/>
          <w:sz w:val="28"/>
          <w:szCs w:val="28"/>
        </w:rPr>
        <w:t>Eriksson,  Birgit:  „Bildungsstandards  –  Mündliche  Kommunikation“.  In:</w:t>
      </w:r>
    </w:p>
    <w:p w:rsidR="00682F95" w:rsidRDefault="00682F95">
      <w:pPr>
        <w:spacing w:line="160" w:lineRule="exact"/>
        <w:rPr>
          <w:sz w:val="20"/>
          <w:szCs w:val="20"/>
        </w:rPr>
      </w:pPr>
    </w:p>
    <w:p w:rsidR="00682F95" w:rsidRDefault="00E37933">
      <w:pPr>
        <w:ind w:left="900"/>
        <w:rPr>
          <w:sz w:val="20"/>
          <w:szCs w:val="20"/>
        </w:rPr>
      </w:pPr>
      <w:r>
        <w:rPr>
          <w:rFonts w:eastAsia="Times New Roman"/>
          <w:sz w:val="28"/>
          <w:szCs w:val="28"/>
        </w:rPr>
        <w:t xml:space="preserve">Michael </w:t>
      </w:r>
      <w:r>
        <w:rPr>
          <w:rFonts w:eastAsia="Times New Roman"/>
          <w:sz w:val="28"/>
          <w:szCs w:val="28"/>
        </w:rPr>
        <w:t>BeckerMrotzek, S. 116-128</w:t>
      </w:r>
    </w:p>
    <w:p w:rsidR="00682F95" w:rsidRDefault="00682F95">
      <w:pPr>
        <w:spacing w:line="335" w:lineRule="exact"/>
        <w:rPr>
          <w:sz w:val="20"/>
          <w:szCs w:val="20"/>
        </w:rPr>
      </w:pPr>
    </w:p>
    <w:p w:rsidR="00682F95" w:rsidRDefault="00E37933" w:rsidP="00E37933">
      <w:pPr>
        <w:numPr>
          <w:ilvl w:val="0"/>
          <w:numId w:val="13"/>
        </w:numPr>
        <w:tabs>
          <w:tab w:val="left" w:pos="1039"/>
        </w:tabs>
        <w:spacing w:line="349" w:lineRule="auto"/>
        <w:ind w:left="900" w:hanging="355"/>
        <w:rPr>
          <w:rFonts w:eastAsia="Times New Roman"/>
          <w:sz w:val="28"/>
          <w:szCs w:val="28"/>
        </w:rPr>
      </w:pPr>
      <w:r>
        <w:rPr>
          <w:rFonts w:eastAsia="Times New Roman"/>
          <w:sz w:val="28"/>
          <w:szCs w:val="28"/>
        </w:rPr>
        <w:t xml:space="preserve">Fix, Martin: „Lernen durch Schreiben“ In: </w:t>
      </w:r>
      <w:r>
        <w:rPr>
          <w:rFonts w:eastAsia="Times New Roman"/>
          <w:i/>
          <w:iCs/>
          <w:sz w:val="28"/>
          <w:szCs w:val="28"/>
        </w:rPr>
        <w:t>Praxis Deutsch</w:t>
      </w:r>
      <w:r>
        <w:rPr>
          <w:rFonts w:eastAsia="Times New Roman"/>
          <w:sz w:val="28"/>
          <w:szCs w:val="28"/>
        </w:rPr>
        <w:t xml:space="preserve"> 210 (2008). S. 6-15.</w:t>
      </w:r>
    </w:p>
    <w:p w:rsidR="00682F95" w:rsidRDefault="00682F95">
      <w:pPr>
        <w:spacing w:line="178" w:lineRule="exact"/>
        <w:rPr>
          <w:rFonts w:eastAsia="Times New Roman"/>
          <w:sz w:val="28"/>
          <w:szCs w:val="28"/>
        </w:rPr>
      </w:pPr>
    </w:p>
    <w:p w:rsidR="00682F95" w:rsidRDefault="00E37933" w:rsidP="00E37933">
      <w:pPr>
        <w:numPr>
          <w:ilvl w:val="0"/>
          <w:numId w:val="13"/>
        </w:numPr>
        <w:tabs>
          <w:tab w:val="left" w:pos="980"/>
        </w:tabs>
        <w:ind w:left="980" w:hanging="435"/>
        <w:rPr>
          <w:rFonts w:eastAsia="Times New Roman"/>
          <w:sz w:val="28"/>
          <w:szCs w:val="28"/>
        </w:rPr>
      </w:pPr>
      <w:r>
        <w:rPr>
          <w:rFonts w:eastAsia="Times New Roman"/>
          <w:sz w:val="28"/>
          <w:szCs w:val="28"/>
        </w:rPr>
        <w:t>Fix  Martin:  Texte  schreiben.  Schreibprozesse  im  Deutschunterricht.</w:t>
      </w:r>
    </w:p>
    <w:p w:rsidR="00682F95" w:rsidRDefault="00682F95">
      <w:pPr>
        <w:spacing w:line="158" w:lineRule="exact"/>
        <w:rPr>
          <w:sz w:val="20"/>
          <w:szCs w:val="20"/>
        </w:rPr>
      </w:pPr>
    </w:p>
    <w:p w:rsidR="00682F95" w:rsidRDefault="00E37933">
      <w:pPr>
        <w:ind w:left="900"/>
        <w:rPr>
          <w:sz w:val="20"/>
          <w:szCs w:val="20"/>
        </w:rPr>
      </w:pPr>
      <w:r>
        <w:rPr>
          <w:rFonts w:eastAsia="Times New Roman"/>
          <w:sz w:val="28"/>
          <w:szCs w:val="28"/>
        </w:rPr>
        <w:t>(Schöningh, 2008)</w:t>
      </w:r>
    </w:p>
    <w:p w:rsidR="00682F95" w:rsidRDefault="00682F95">
      <w:pPr>
        <w:spacing w:line="321" w:lineRule="exact"/>
        <w:rPr>
          <w:sz w:val="20"/>
          <w:szCs w:val="20"/>
        </w:rPr>
      </w:pPr>
    </w:p>
    <w:p w:rsidR="00682F95" w:rsidRDefault="00E37933" w:rsidP="00E37933">
      <w:pPr>
        <w:numPr>
          <w:ilvl w:val="0"/>
          <w:numId w:val="14"/>
        </w:numPr>
        <w:tabs>
          <w:tab w:val="left" w:pos="980"/>
        </w:tabs>
        <w:ind w:left="980" w:hanging="435"/>
        <w:rPr>
          <w:rFonts w:eastAsia="Times New Roman"/>
          <w:sz w:val="28"/>
          <w:szCs w:val="28"/>
        </w:rPr>
      </w:pPr>
      <w:r>
        <w:rPr>
          <w:rFonts w:eastAsia="Times New Roman"/>
          <w:sz w:val="28"/>
          <w:szCs w:val="28"/>
        </w:rPr>
        <w:t xml:space="preserve">Garz, Detlef: </w:t>
      </w:r>
      <w:r>
        <w:rPr>
          <w:rFonts w:eastAsia="Times New Roman"/>
          <w:i/>
          <w:iCs/>
          <w:sz w:val="28"/>
          <w:szCs w:val="28"/>
        </w:rPr>
        <w:t xml:space="preserve">Sozialpsychologische Entwicklungstheorien, </w:t>
      </w:r>
      <w:r>
        <w:rPr>
          <w:rFonts w:eastAsia="Times New Roman"/>
          <w:i/>
          <w:iCs/>
          <w:sz w:val="28"/>
          <w:szCs w:val="28"/>
        </w:rPr>
        <w:t>Wiesbaden 2006.</w:t>
      </w:r>
    </w:p>
    <w:p w:rsidR="00682F95" w:rsidRDefault="00682F95">
      <w:pPr>
        <w:spacing w:line="321" w:lineRule="exact"/>
        <w:rPr>
          <w:rFonts w:eastAsia="Times New Roman"/>
          <w:sz w:val="28"/>
          <w:szCs w:val="28"/>
        </w:rPr>
      </w:pPr>
    </w:p>
    <w:p w:rsidR="00682F95" w:rsidRDefault="00E37933" w:rsidP="00E37933">
      <w:pPr>
        <w:numPr>
          <w:ilvl w:val="0"/>
          <w:numId w:val="14"/>
        </w:numPr>
        <w:tabs>
          <w:tab w:val="left" w:pos="980"/>
        </w:tabs>
        <w:ind w:left="980" w:hanging="435"/>
        <w:rPr>
          <w:rFonts w:eastAsia="Times New Roman"/>
          <w:sz w:val="28"/>
          <w:szCs w:val="28"/>
        </w:rPr>
      </w:pPr>
      <w:r>
        <w:rPr>
          <w:rFonts w:eastAsia="Times New Roman"/>
          <w:sz w:val="28"/>
          <w:szCs w:val="28"/>
        </w:rPr>
        <w:t xml:space="preserve">Gilligan, Carol: </w:t>
      </w:r>
      <w:r>
        <w:rPr>
          <w:rFonts w:eastAsia="Times New Roman"/>
          <w:i/>
          <w:iCs/>
          <w:sz w:val="28"/>
          <w:szCs w:val="28"/>
        </w:rPr>
        <w:t>Die andere Stimme</w:t>
      </w:r>
      <w:r>
        <w:rPr>
          <w:rFonts w:eastAsia="Times New Roman"/>
          <w:sz w:val="28"/>
          <w:szCs w:val="28"/>
        </w:rPr>
        <w:t>, München 1996. 125</w:t>
      </w:r>
    </w:p>
    <w:p w:rsidR="00682F95" w:rsidRDefault="00682F95">
      <w:pPr>
        <w:spacing w:line="321" w:lineRule="exact"/>
        <w:rPr>
          <w:rFonts w:eastAsia="Times New Roman"/>
          <w:sz w:val="28"/>
          <w:szCs w:val="28"/>
        </w:rPr>
      </w:pPr>
    </w:p>
    <w:p w:rsidR="00682F95" w:rsidRDefault="00E37933" w:rsidP="00E37933">
      <w:pPr>
        <w:numPr>
          <w:ilvl w:val="0"/>
          <w:numId w:val="14"/>
        </w:numPr>
        <w:tabs>
          <w:tab w:val="left" w:pos="980"/>
        </w:tabs>
        <w:ind w:left="980" w:hanging="435"/>
        <w:rPr>
          <w:rFonts w:eastAsia="Times New Roman"/>
          <w:sz w:val="28"/>
          <w:szCs w:val="28"/>
        </w:rPr>
      </w:pPr>
      <w:r>
        <w:rPr>
          <w:rFonts w:eastAsia="Times New Roman"/>
          <w:sz w:val="28"/>
          <w:szCs w:val="28"/>
        </w:rPr>
        <w:t xml:space="preserve">Graf, Werner: </w:t>
      </w:r>
      <w:r>
        <w:rPr>
          <w:rFonts w:eastAsia="Times New Roman"/>
          <w:i/>
          <w:iCs/>
          <w:sz w:val="28"/>
          <w:szCs w:val="28"/>
        </w:rPr>
        <w:t>Lesegenese in Kindheit und Jugend</w:t>
      </w:r>
      <w:r>
        <w:rPr>
          <w:rFonts w:eastAsia="Times New Roman"/>
          <w:sz w:val="28"/>
          <w:szCs w:val="28"/>
        </w:rPr>
        <w:t>, Hohengehren 2007.</w:t>
      </w:r>
    </w:p>
    <w:p w:rsidR="00682F95" w:rsidRDefault="00682F95">
      <w:pPr>
        <w:spacing w:line="335" w:lineRule="exact"/>
        <w:rPr>
          <w:rFonts w:eastAsia="Times New Roman"/>
          <w:sz w:val="28"/>
          <w:szCs w:val="28"/>
        </w:rPr>
      </w:pPr>
    </w:p>
    <w:p w:rsidR="00682F95" w:rsidRDefault="00E37933" w:rsidP="00E37933">
      <w:pPr>
        <w:numPr>
          <w:ilvl w:val="0"/>
          <w:numId w:val="14"/>
        </w:numPr>
        <w:tabs>
          <w:tab w:val="left" w:pos="970"/>
        </w:tabs>
        <w:spacing w:line="349" w:lineRule="auto"/>
        <w:ind w:left="900" w:hanging="355"/>
        <w:rPr>
          <w:rFonts w:eastAsia="Times New Roman"/>
          <w:sz w:val="28"/>
          <w:szCs w:val="28"/>
        </w:rPr>
      </w:pPr>
      <w:r>
        <w:rPr>
          <w:rFonts w:eastAsia="Times New Roman"/>
          <w:sz w:val="28"/>
          <w:szCs w:val="28"/>
        </w:rPr>
        <w:t xml:space="preserve">Green, Norman/Green, Kathy: </w:t>
      </w:r>
      <w:r>
        <w:rPr>
          <w:rFonts w:eastAsia="Times New Roman"/>
          <w:i/>
          <w:iCs/>
          <w:sz w:val="28"/>
          <w:szCs w:val="28"/>
        </w:rPr>
        <w:t>Kooperatives Lernen im Klassenraum und im</w:t>
      </w:r>
      <w:r>
        <w:rPr>
          <w:rFonts w:eastAsia="Times New Roman"/>
          <w:sz w:val="28"/>
          <w:szCs w:val="28"/>
        </w:rPr>
        <w:t xml:space="preserve"> </w:t>
      </w:r>
      <w:r>
        <w:rPr>
          <w:rFonts w:eastAsia="Times New Roman"/>
          <w:i/>
          <w:iCs/>
          <w:sz w:val="28"/>
          <w:szCs w:val="28"/>
        </w:rPr>
        <w:t>Kollegium</w:t>
      </w:r>
      <w:r>
        <w:rPr>
          <w:rFonts w:eastAsia="Times New Roman"/>
          <w:sz w:val="28"/>
          <w:szCs w:val="28"/>
        </w:rPr>
        <w:t>, Seelze-Velber 2006.</w:t>
      </w:r>
    </w:p>
    <w:p w:rsidR="00682F95" w:rsidRDefault="00682F95">
      <w:pPr>
        <w:spacing w:line="191" w:lineRule="exact"/>
        <w:rPr>
          <w:rFonts w:eastAsia="Times New Roman"/>
          <w:sz w:val="28"/>
          <w:szCs w:val="28"/>
        </w:rPr>
      </w:pPr>
    </w:p>
    <w:p w:rsidR="00682F95" w:rsidRDefault="00E37933" w:rsidP="00E37933">
      <w:pPr>
        <w:numPr>
          <w:ilvl w:val="0"/>
          <w:numId w:val="14"/>
        </w:numPr>
        <w:tabs>
          <w:tab w:val="left" w:pos="970"/>
        </w:tabs>
        <w:spacing w:line="347" w:lineRule="auto"/>
        <w:ind w:left="900" w:hanging="355"/>
        <w:rPr>
          <w:rFonts w:eastAsia="Times New Roman"/>
          <w:sz w:val="28"/>
          <w:szCs w:val="28"/>
        </w:rPr>
      </w:pPr>
      <w:r>
        <w:rPr>
          <w:rFonts w:eastAsia="Times New Roman"/>
          <w:sz w:val="28"/>
          <w:szCs w:val="28"/>
        </w:rPr>
        <w:t xml:space="preserve">Grundler, Elke: „Argumentieren ohne Hindernisse“. In: </w:t>
      </w:r>
      <w:r>
        <w:rPr>
          <w:rFonts w:eastAsia="Times New Roman"/>
          <w:i/>
          <w:iCs/>
          <w:sz w:val="28"/>
          <w:szCs w:val="28"/>
        </w:rPr>
        <w:t>Deutsch 5-10</w:t>
      </w:r>
      <w:r>
        <w:rPr>
          <w:rFonts w:eastAsia="Times New Roman"/>
          <w:sz w:val="28"/>
          <w:szCs w:val="28"/>
        </w:rPr>
        <w:t xml:space="preserve"> Heft 22, 2010, S. 38-39.</w:t>
      </w:r>
    </w:p>
    <w:p w:rsidR="00682F95" w:rsidRDefault="00682F95">
      <w:pPr>
        <w:spacing w:line="194" w:lineRule="exact"/>
        <w:rPr>
          <w:rFonts w:eastAsia="Times New Roman"/>
          <w:sz w:val="28"/>
          <w:szCs w:val="28"/>
        </w:rPr>
      </w:pPr>
    </w:p>
    <w:p w:rsidR="00682F95" w:rsidRDefault="00E37933" w:rsidP="00E37933">
      <w:pPr>
        <w:numPr>
          <w:ilvl w:val="0"/>
          <w:numId w:val="14"/>
        </w:numPr>
        <w:tabs>
          <w:tab w:val="left" w:pos="970"/>
        </w:tabs>
        <w:spacing w:line="347" w:lineRule="auto"/>
        <w:ind w:left="900" w:hanging="355"/>
        <w:rPr>
          <w:rFonts w:eastAsia="Times New Roman"/>
          <w:sz w:val="28"/>
          <w:szCs w:val="28"/>
        </w:rPr>
      </w:pPr>
      <w:r>
        <w:rPr>
          <w:rFonts w:eastAsia="Times New Roman"/>
          <w:sz w:val="28"/>
          <w:szCs w:val="28"/>
        </w:rPr>
        <w:t xml:space="preserve">Grundler, Elke: „Das Argumentieren beobachten, reflektieren und beurteilen“. In: </w:t>
      </w:r>
      <w:r>
        <w:rPr>
          <w:rFonts w:eastAsia="Times New Roman"/>
          <w:i/>
          <w:iCs/>
          <w:sz w:val="28"/>
          <w:szCs w:val="28"/>
        </w:rPr>
        <w:t>Deutsch 5-10</w:t>
      </w:r>
      <w:r>
        <w:rPr>
          <w:rFonts w:eastAsia="Times New Roman"/>
          <w:sz w:val="28"/>
          <w:szCs w:val="28"/>
        </w:rPr>
        <w:t xml:space="preserve"> Heft 22, 2010, S. 40-43.</w:t>
      </w:r>
    </w:p>
    <w:p w:rsidR="00682F95" w:rsidRDefault="00682F95">
      <w:pPr>
        <w:spacing w:line="195" w:lineRule="exact"/>
        <w:rPr>
          <w:rFonts w:eastAsia="Times New Roman"/>
          <w:sz w:val="28"/>
          <w:szCs w:val="28"/>
        </w:rPr>
      </w:pPr>
    </w:p>
    <w:p w:rsidR="00682F95" w:rsidRDefault="00E37933" w:rsidP="00E37933">
      <w:pPr>
        <w:numPr>
          <w:ilvl w:val="0"/>
          <w:numId w:val="14"/>
        </w:numPr>
        <w:tabs>
          <w:tab w:val="left" w:pos="970"/>
        </w:tabs>
        <w:spacing w:line="347" w:lineRule="auto"/>
        <w:ind w:left="900" w:hanging="355"/>
        <w:rPr>
          <w:rFonts w:eastAsia="Times New Roman"/>
          <w:sz w:val="28"/>
          <w:szCs w:val="28"/>
        </w:rPr>
      </w:pPr>
      <w:r>
        <w:rPr>
          <w:rFonts w:eastAsia="Times New Roman"/>
          <w:sz w:val="28"/>
          <w:szCs w:val="28"/>
        </w:rPr>
        <w:t>Grundler, Elke „Der Bär auf dem Försterball</w:t>
      </w:r>
      <w:r>
        <w:rPr>
          <w:rFonts w:eastAsia="Times New Roman"/>
          <w:sz w:val="28"/>
          <w:szCs w:val="28"/>
        </w:rPr>
        <w:t xml:space="preserve">: Mit Literatur argumentieren lernen“. In: </w:t>
      </w:r>
      <w:r>
        <w:rPr>
          <w:rFonts w:eastAsia="Times New Roman"/>
          <w:i/>
          <w:iCs/>
          <w:sz w:val="28"/>
          <w:szCs w:val="28"/>
        </w:rPr>
        <w:t>Deutsch</w:t>
      </w:r>
      <w:r>
        <w:rPr>
          <w:rFonts w:eastAsia="Times New Roman"/>
          <w:sz w:val="28"/>
          <w:szCs w:val="28"/>
        </w:rPr>
        <w:t xml:space="preserve"> 22 (2010), S. 4-7.</w:t>
      </w:r>
    </w:p>
    <w:p w:rsidR="00682F95" w:rsidRDefault="00682F95">
      <w:pPr>
        <w:spacing w:line="194" w:lineRule="exact"/>
        <w:rPr>
          <w:rFonts w:eastAsia="Times New Roman"/>
          <w:sz w:val="28"/>
          <w:szCs w:val="28"/>
        </w:rPr>
      </w:pPr>
    </w:p>
    <w:p w:rsidR="00682F95" w:rsidRDefault="00E37933" w:rsidP="00E37933">
      <w:pPr>
        <w:numPr>
          <w:ilvl w:val="0"/>
          <w:numId w:val="14"/>
        </w:numPr>
        <w:tabs>
          <w:tab w:val="left" w:pos="970"/>
        </w:tabs>
        <w:spacing w:line="353" w:lineRule="auto"/>
        <w:ind w:left="900" w:hanging="355"/>
        <w:jc w:val="both"/>
        <w:rPr>
          <w:rFonts w:eastAsia="Times New Roman"/>
          <w:sz w:val="28"/>
          <w:szCs w:val="28"/>
        </w:rPr>
      </w:pPr>
      <w:r>
        <w:rPr>
          <w:rFonts w:eastAsia="Times New Roman"/>
          <w:sz w:val="28"/>
          <w:szCs w:val="28"/>
        </w:rPr>
        <w:t xml:space="preserve">Haase, Gerhard/Menzel, Wolfgang/Spinner, Kaspar H.: „Handlungs- und produktionsorien-tierter Literaturunterricht (Basisartikel)“. In: </w:t>
      </w:r>
      <w:r>
        <w:rPr>
          <w:rFonts w:eastAsia="Times New Roman"/>
          <w:i/>
          <w:iCs/>
          <w:sz w:val="28"/>
          <w:szCs w:val="28"/>
        </w:rPr>
        <w:t>Praxis</w:t>
      </w:r>
      <w:r>
        <w:rPr>
          <w:rFonts w:eastAsia="Times New Roman"/>
          <w:sz w:val="28"/>
          <w:szCs w:val="28"/>
        </w:rPr>
        <w:t xml:space="preserve"> </w:t>
      </w:r>
      <w:r>
        <w:rPr>
          <w:rFonts w:eastAsia="Times New Roman"/>
          <w:i/>
          <w:iCs/>
          <w:sz w:val="28"/>
          <w:szCs w:val="28"/>
        </w:rPr>
        <w:t xml:space="preserve">Deutsch </w:t>
      </w:r>
      <w:r>
        <w:rPr>
          <w:rFonts w:eastAsia="Times New Roman"/>
          <w:sz w:val="28"/>
          <w:szCs w:val="28"/>
        </w:rPr>
        <w:t>Januar 1994. S. 17-25.</w:t>
      </w:r>
    </w:p>
    <w:p w:rsidR="00682F95" w:rsidRDefault="00682F95">
      <w:pPr>
        <w:spacing w:line="173" w:lineRule="exact"/>
        <w:rPr>
          <w:rFonts w:eastAsia="Times New Roman"/>
          <w:sz w:val="28"/>
          <w:szCs w:val="28"/>
        </w:rPr>
      </w:pPr>
    </w:p>
    <w:p w:rsidR="00682F95" w:rsidRDefault="00E37933" w:rsidP="00E37933">
      <w:pPr>
        <w:numPr>
          <w:ilvl w:val="0"/>
          <w:numId w:val="14"/>
        </w:numPr>
        <w:tabs>
          <w:tab w:val="left" w:pos="980"/>
        </w:tabs>
        <w:ind w:left="980" w:hanging="435"/>
        <w:rPr>
          <w:rFonts w:eastAsia="Times New Roman"/>
          <w:sz w:val="28"/>
          <w:szCs w:val="28"/>
        </w:rPr>
      </w:pPr>
      <w:r>
        <w:rPr>
          <w:rFonts w:eastAsia="Times New Roman"/>
          <w:sz w:val="28"/>
          <w:szCs w:val="28"/>
        </w:rPr>
        <w:t xml:space="preserve">Häcker,   </w:t>
      </w:r>
      <w:r>
        <w:rPr>
          <w:rFonts w:eastAsia="Times New Roman"/>
          <w:sz w:val="28"/>
          <w:szCs w:val="28"/>
        </w:rPr>
        <w:t>Thomas:   „Selbstbestimmung   fordern“.   In:   Gerd   Bräuer:</w:t>
      </w:r>
    </w:p>
    <w:p w:rsidR="00682F95" w:rsidRDefault="00682F95">
      <w:pPr>
        <w:spacing w:line="160" w:lineRule="exact"/>
        <w:rPr>
          <w:sz w:val="20"/>
          <w:szCs w:val="20"/>
        </w:rPr>
      </w:pPr>
    </w:p>
    <w:p w:rsidR="00682F95" w:rsidRDefault="00E37933">
      <w:pPr>
        <w:ind w:left="900"/>
        <w:rPr>
          <w:sz w:val="20"/>
          <w:szCs w:val="20"/>
        </w:rPr>
      </w:pPr>
      <w:r>
        <w:rPr>
          <w:rFonts w:eastAsia="Times New Roman"/>
          <w:i/>
          <w:iCs/>
          <w:sz w:val="28"/>
          <w:szCs w:val="28"/>
        </w:rPr>
        <w:t>Schreiben(d) lernen</w:t>
      </w:r>
      <w:r>
        <w:rPr>
          <w:rFonts w:eastAsia="Times New Roman"/>
          <w:sz w:val="28"/>
          <w:szCs w:val="28"/>
        </w:rPr>
        <w:t>, Hamburg 2006. S. 144-158.</w:t>
      </w:r>
    </w:p>
    <w:p w:rsidR="00682F95" w:rsidRDefault="00682F95">
      <w:pPr>
        <w:sectPr w:rsidR="00682F95">
          <w:pgSz w:w="11900" w:h="16838"/>
          <w:pgMar w:top="714" w:right="846" w:bottom="204" w:left="1440" w:header="0" w:footer="0" w:gutter="0"/>
          <w:cols w:space="720" w:equalWidth="0">
            <w:col w:w="9620"/>
          </w:cols>
        </w:sectPr>
      </w:pPr>
    </w:p>
    <w:p w:rsidR="00682F95" w:rsidRDefault="00E37933">
      <w:pPr>
        <w:ind w:left="9400"/>
        <w:rPr>
          <w:sz w:val="20"/>
          <w:szCs w:val="20"/>
        </w:rPr>
      </w:pPr>
      <w:bookmarkStart w:id="15" w:name="page45"/>
      <w:bookmarkEnd w:id="15"/>
      <w:r>
        <w:rPr>
          <w:rFonts w:ascii="Calibri" w:eastAsia="Calibri" w:hAnsi="Calibri" w:cs="Calibri"/>
          <w:sz w:val="21"/>
          <w:szCs w:val="21"/>
        </w:rPr>
        <w:lastRenderedPageBreak/>
        <w:t>45</w:t>
      </w:r>
    </w:p>
    <w:p w:rsidR="00682F95" w:rsidRDefault="00682F95">
      <w:pPr>
        <w:spacing w:line="200" w:lineRule="exact"/>
        <w:rPr>
          <w:sz w:val="20"/>
          <w:szCs w:val="20"/>
        </w:rPr>
      </w:pPr>
    </w:p>
    <w:p w:rsidR="00682F95" w:rsidRDefault="00682F95">
      <w:pPr>
        <w:spacing w:line="200" w:lineRule="exact"/>
        <w:rPr>
          <w:sz w:val="20"/>
          <w:szCs w:val="20"/>
        </w:rPr>
      </w:pPr>
    </w:p>
    <w:p w:rsidR="00682F95" w:rsidRDefault="00682F95">
      <w:pPr>
        <w:spacing w:line="236" w:lineRule="exact"/>
        <w:rPr>
          <w:sz w:val="20"/>
          <w:szCs w:val="20"/>
        </w:rPr>
      </w:pPr>
    </w:p>
    <w:p w:rsidR="00682F95" w:rsidRDefault="00E37933" w:rsidP="00E37933">
      <w:pPr>
        <w:numPr>
          <w:ilvl w:val="0"/>
          <w:numId w:val="15"/>
        </w:numPr>
        <w:tabs>
          <w:tab w:val="left" w:pos="970"/>
        </w:tabs>
        <w:spacing w:line="354" w:lineRule="auto"/>
        <w:ind w:left="900" w:hanging="355"/>
        <w:jc w:val="both"/>
        <w:rPr>
          <w:rFonts w:eastAsia="Times New Roman"/>
          <w:sz w:val="28"/>
          <w:szCs w:val="28"/>
        </w:rPr>
      </w:pPr>
      <w:r>
        <w:rPr>
          <w:rFonts w:eastAsia="Times New Roman"/>
          <w:sz w:val="28"/>
          <w:szCs w:val="28"/>
        </w:rPr>
        <w:t xml:space="preserve">Heckt, Dietlinde H.: „Das Prinzip Think-Pair-Share. Über die Wiederentdeckung einer wirkungsvollen Methode“. In: </w:t>
      </w:r>
      <w:r>
        <w:rPr>
          <w:rFonts w:eastAsia="Times New Roman"/>
          <w:i/>
          <w:iCs/>
          <w:sz w:val="28"/>
          <w:szCs w:val="28"/>
        </w:rPr>
        <w:t>Friedrich Jahresheft</w:t>
      </w:r>
      <w:r>
        <w:rPr>
          <w:rFonts w:eastAsia="Times New Roman"/>
          <w:sz w:val="28"/>
          <w:szCs w:val="28"/>
        </w:rPr>
        <w:t xml:space="preserve"> </w:t>
      </w:r>
      <w:r>
        <w:rPr>
          <w:rFonts w:eastAsia="Times New Roman"/>
          <w:i/>
          <w:iCs/>
          <w:sz w:val="28"/>
          <w:szCs w:val="28"/>
        </w:rPr>
        <w:t xml:space="preserve">XXVI. Individuell Lernen – Kooperativ Arbei-ten, </w:t>
      </w:r>
      <w:r>
        <w:rPr>
          <w:rFonts w:eastAsia="Times New Roman"/>
          <w:sz w:val="28"/>
          <w:szCs w:val="28"/>
        </w:rPr>
        <w:t>2008.</w:t>
      </w:r>
    </w:p>
    <w:p w:rsidR="00682F95" w:rsidRDefault="00682F95">
      <w:pPr>
        <w:spacing w:line="183" w:lineRule="exact"/>
        <w:rPr>
          <w:rFonts w:eastAsia="Times New Roman"/>
          <w:sz w:val="28"/>
          <w:szCs w:val="28"/>
        </w:rPr>
      </w:pPr>
    </w:p>
    <w:p w:rsidR="00682F95" w:rsidRDefault="00E37933" w:rsidP="00E37933">
      <w:pPr>
        <w:numPr>
          <w:ilvl w:val="0"/>
          <w:numId w:val="15"/>
        </w:numPr>
        <w:tabs>
          <w:tab w:val="left" w:pos="970"/>
        </w:tabs>
        <w:spacing w:line="349" w:lineRule="auto"/>
        <w:ind w:left="900" w:hanging="355"/>
        <w:rPr>
          <w:rFonts w:eastAsia="Times New Roman"/>
          <w:sz w:val="28"/>
          <w:szCs w:val="28"/>
        </w:rPr>
      </w:pPr>
      <w:r>
        <w:rPr>
          <w:rFonts w:eastAsia="Times New Roman"/>
          <w:sz w:val="28"/>
          <w:szCs w:val="28"/>
        </w:rPr>
        <w:t xml:space="preserve">Horster, Dieter (Hrsg.): </w:t>
      </w:r>
      <w:r>
        <w:rPr>
          <w:rFonts w:eastAsia="Times New Roman"/>
          <w:i/>
          <w:iCs/>
          <w:sz w:val="28"/>
          <w:szCs w:val="28"/>
        </w:rPr>
        <w:t>Moralentwicklung von Kindern und Jugendlichen</w:t>
      </w:r>
      <w:r>
        <w:rPr>
          <w:rFonts w:eastAsia="Times New Roman"/>
          <w:sz w:val="28"/>
          <w:szCs w:val="28"/>
        </w:rPr>
        <w:t>, Wiesbaden 2007.</w:t>
      </w:r>
    </w:p>
    <w:p w:rsidR="00682F95" w:rsidRDefault="00682F95">
      <w:pPr>
        <w:spacing w:line="191" w:lineRule="exact"/>
        <w:rPr>
          <w:rFonts w:eastAsia="Times New Roman"/>
          <w:sz w:val="28"/>
          <w:szCs w:val="28"/>
        </w:rPr>
      </w:pPr>
    </w:p>
    <w:p w:rsidR="00682F95" w:rsidRDefault="00E37933" w:rsidP="00E37933">
      <w:pPr>
        <w:numPr>
          <w:ilvl w:val="0"/>
          <w:numId w:val="15"/>
        </w:numPr>
        <w:tabs>
          <w:tab w:val="left" w:pos="970"/>
        </w:tabs>
        <w:spacing w:line="353" w:lineRule="auto"/>
        <w:ind w:left="900" w:hanging="355"/>
        <w:jc w:val="both"/>
        <w:rPr>
          <w:rFonts w:eastAsia="Times New Roman"/>
          <w:sz w:val="28"/>
          <w:szCs w:val="28"/>
        </w:rPr>
      </w:pPr>
      <w:r>
        <w:rPr>
          <w:rFonts w:eastAsia="Times New Roman"/>
          <w:sz w:val="28"/>
          <w:szCs w:val="28"/>
        </w:rPr>
        <w:t xml:space="preserve">Janssen, Bernd: </w:t>
      </w:r>
      <w:r>
        <w:rPr>
          <w:rFonts w:eastAsia="Times New Roman"/>
          <w:i/>
          <w:iCs/>
          <w:sz w:val="28"/>
          <w:szCs w:val="28"/>
        </w:rPr>
        <w:t>Kreative Unterrichtsmethoden: Bausteine zur</w:t>
      </w:r>
      <w:r>
        <w:rPr>
          <w:rFonts w:eastAsia="Times New Roman"/>
          <w:sz w:val="28"/>
          <w:szCs w:val="28"/>
        </w:rPr>
        <w:t xml:space="preserve"> </w:t>
      </w:r>
      <w:r>
        <w:rPr>
          <w:rFonts w:eastAsia="Times New Roman"/>
          <w:i/>
          <w:iCs/>
          <w:sz w:val="28"/>
          <w:szCs w:val="28"/>
        </w:rPr>
        <w:t>Methodenvielfalt – Wege zum gu</w:t>
      </w:r>
      <w:r>
        <w:rPr>
          <w:rFonts w:eastAsia="Times New Roman"/>
          <w:i/>
          <w:iCs/>
          <w:sz w:val="28"/>
          <w:szCs w:val="28"/>
        </w:rPr>
        <w:t>ten Unterricht</w:t>
      </w:r>
      <w:r>
        <w:rPr>
          <w:rFonts w:eastAsia="Times New Roman"/>
          <w:sz w:val="28"/>
          <w:szCs w:val="28"/>
        </w:rPr>
        <w:t>. Praxis Pädagogik.</w:t>
      </w:r>
      <w:r>
        <w:rPr>
          <w:rFonts w:eastAsia="Times New Roman"/>
          <w:i/>
          <w:iCs/>
          <w:sz w:val="28"/>
          <w:szCs w:val="28"/>
        </w:rPr>
        <w:t xml:space="preserve"> </w:t>
      </w:r>
      <w:r>
        <w:rPr>
          <w:rFonts w:eastAsia="Times New Roman"/>
          <w:sz w:val="28"/>
          <w:szCs w:val="28"/>
        </w:rPr>
        <w:t>Westermann, 3. überarb., erweiterte Auflage 2008.</w:t>
      </w:r>
    </w:p>
    <w:p w:rsidR="00682F95" w:rsidRDefault="00682F95">
      <w:pPr>
        <w:spacing w:line="187" w:lineRule="exact"/>
        <w:rPr>
          <w:rFonts w:eastAsia="Times New Roman"/>
          <w:sz w:val="28"/>
          <w:szCs w:val="28"/>
        </w:rPr>
      </w:pPr>
    </w:p>
    <w:p w:rsidR="00682F95" w:rsidRDefault="00E37933" w:rsidP="00E37933">
      <w:pPr>
        <w:numPr>
          <w:ilvl w:val="0"/>
          <w:numId w:val="15"/>
        </w:numPr>
        <w:tabs>
          <w:tab w:val="left" w:pos="970"/>
        </w:tabs>
        <w:spacing w:line="353" w:lineRule="auto"/>
        <w:ind w:left="900" w:hanging="355"/>
        <w:jc w:val="both"/>
        <w:rPr>
          <w:rFonts w:eastAsia="Times New Roman"/>
          <w:sz w:val="28"/>
          <w:szCs w:val="28"/>
        </w:rPr>
      </w:pPr>
      <w:r>
        <w:rPr>
          <w:rFonts w:eastAsia="Times New Roman"/>
          <w:sz w:val="28"/>
          <w:szCs w:val="28"/>
        </w:rPr>
        <w:t xml:space="preserve">Klinger, Udo et al. (Hrsg.): </w:t>
      </w:r>
      <w:r>
        <w:rPr>
          <w:rFonts w:eastAsia="Times New Roman"/>
          <w:i/>
          <w:iCs/>
          <w:sz w:val="28"/>
          <w:szCs w:val="28"/>
        </w:rPr>
        <w:t>Mit Kompetenz Unterricht entwickeln:</w:t>
      </w:r>
      <w:r>
        <w:rPr>
          <w:rFonts w:eastAsia="Times New Roman"/>
          <w:sz w:val="28"/>
          <w:szCs w:val="28"/>
        </w:rPr>
        <w:t xml:space="preserve"> </w:t>
      </w:r>
      <w:r>
        <w:rPr>
          <w:rFonts w:eastAsia="Times New Roman"/>
          <w:i/>
          <w:iCs/>
          <w:sz w:val="28"/>
          <w:szCs w:val="28"/>
        </w:rPr>
        <w:t>Fortbildungskonzepte und -materialien</w:t>
      </w:r>
      <w:r>
        <w:rPr>
          <w:rFonts w:eastAsia="Times New Roman"/>
          <w:sz w:val="28"/>
          <w:szCs w:val="28"/>
        </w:rPr>
        <w:t>. KMK for.mat Bildungsverlag Eins:</w:t>
      </w:r>
      <w:r>
        <w:rPr>
          <w:rFonts w:eastAsia="Times New Roman"/>
          <w:i/>
          <w:iCs/>
          <w:sz w:val="28"/>
          <w:szCs w:val="28"/>
        </w:rPr>
        <w:t xml:space="preserve"> </w:t>
      </w:r>
      <w:r>
        <w:rPr>
          <w:rFonts w:eastAsia="Times New Roman"/>
          <w:sz w:val="28"/>
          <w:szCs w:val="28"/>
        </w:rPr>
        <w:t>2010.</w:t>
      </w:r>
    </w:p>
    <w:p w:rsidR="00682F95" w:rsidRDefault="00682F95">
      <w:pPr>
        <w:spacing w:line="173" w:lineRule="exact"/>
        <w:rPr>
          <w:rFonts w:eastAsia="Times New Roman"/>
          <w:sz w:val="28"/>
          <w:szCs w:val="28"/>
        </w:rPr>
      </w:pPr>
    </w:p>
    <w:p w:rsidR="00682F95" w:rsidRDefault="00E37933" w:rsidP="00E37933">
      <w:pPr>
        <w:numPr>
          <w:ilvl w:val="0"/>
          <w:numId w:val="15"/>
        </w:numPr>
        <w:tabs>
          <w:tab w:val="left" w:pos="980"/>
        </w:tabs>
        <w:ind w:left="980" w:hanging="435"/>
        <w:rPr>
          <w:rFonts w:eastAsia="Times New Roman"/>
          <w:sz w:val="28"/>
          <w:szCs w:val="28"/>
        </w:rPr>
      </w:pPr>
      <w:r>
        <w:rPr>
          <w:rFonts w:eastAsia="Times New Roman"/>
          <w:sz w:val="28"/>
          <w:szCs w:val="28"/>
        </w:rPr>
        <w:t xml:space="preserve">Krelle,   Michael/Vogt,   </w:t>
      </w:r>
      <w:r>
        <w:rPr>
          <w:rFonts w:eastAsia="Times New Roman"/>
          <w:sz w:val="28"/>
          <w:szCs w:val="28"/>
        </w:rPr>
        <w:t>Rüdiger/Willenberg,   Heiner:   „Argumentative</w:t>
      </w:r>
    </w:p>
    <w:p w:rsidR="00682F95" w:rsidRDefault="00682F95">
      <w:pPr>
        <w:spacing w:line="176" w:lineRule="exact"/>
        <w:rPr>
          <w:sz w:val="20"/>
          <w:szCs w:val="20"/>
        </w:rPr>
      </w:pPr>
    </w:p>
    <w:p w:rsidR="00682F95" w:rsidRDefault="00E37933">
      <w:pPr>
        <w:spacing w:line="353" w:lineRule="auto"/>
        <w:ind w:left="900"/>
        <w:jc w:val="both"/>
        <w:rPr>
          <w:sz w:val="20"/>
          <w:szCs w:val="20"/>
        </w:rPr>
      </w:pPr>
      <w:r>
        <w:rPr>
          <w:rFonts w:eastAsia="Times New Roman"/>
          <w:sz w:val="28"/>
          <w:szCs w:val="28"/>
        </w:rPr>
        <w:t xml:space="preserve">Kompetenz im Mündlichen“. In: Willenberg, Heiner (Hrsg.), </w:t>
      </w:r>
      <w:r>
        <w:rPr>
          <w:rFonts w:eastAsia="Times New Roman"/>
          <w:i/>
          <w:iCs/>
          <w:sz w:val="28"/>
          <w:szCs w:val="28"/>
        </w:rPr>
        <w:t>Kompetenzhandbuch für den Deutschunterricht</w:t>
      </w:r>
      <w:r>
        <w:rPr>
          <w:rFonts w:eastAsia="Times New Roman"/>
          <w:sz w:val="28"/>
          <w:szCs w:val="28"/>
        </w:rPr>
        <w:t>, Balt-mannsweiler 2007, S.</w:t>
      </w:r>
      <w:r>
        <w:rPr>
          <w:rFonts w:eastAsia="Times New Roman"/>
          <w:i/>
          <w:iCs/>
          <w:sz w:val="28"/>
          <w:szCs w:val="28"/>
        </w:rPr>
        <w:t xml:space="preserve"> </w:t>
      </w:r>
      <w:r>
        <w:rPr>
          <w:rFonts w:eastAsia="Times New Roman"/>
          <w:sz w:val="28"/>
          <w:szCs w:val="28"/>
        </w:rPr>
        <w:t>96-114.</w:t>
      </w:r>
    </w:p>
    <w:p w:rsidR="00682F95" w:rsidRDefault="00682F95">
      <w:pPr>
        <w:spacing w:line="172" w:lineRule="exact"/>
        <w:rPr>
          <w:sz w:val="20"/>
          <w:szCs w:val="20"/>
        </w:rPr>
      </w:pPr>
    </w:p>
    <w:p w:rsidR="00682F95" w:rsidRDefault="00E37933" w:rsidP="00E37933">
      <w:pPr>
        <w:numPr>
          <w:ilvl w:val="0"/>
          <w:numId w:val="16"/>
        </w:numPr>
        <w:tabs>
          <w:tab w:val="left" w:pos="980"/>
        </w:tabs>
        <w:ind w:left="980" w:hanging="435"/>
        <w:rPr>
          <w:rFonts w:eastAsia="Times New Roman"/>
          <w:sz w:val="28"/>
          <w:szCs w:val="28"/>
        </w:rPr>
      </w:pPr>
      <w:r>
        <w:rPr>
          <w:rFonts w:eastAsia="Times New Roman"/>
          <w:sz w:val="28"/>
          <w:szCs w:val="28"/>
        </w:rPr>
        <w:t xml:space="preserve">Lind, Georg: </w:t>
      </w:r>
      <w:r>
        <w:rPr>
          <w:rFonts w:eastAsia="Times New Roman"/>
          <w:i/>
          <w:iCs/>
          <w:sz w:val="28"/>
          <w:szCs w:val="28"/>
        </w:rPr>
        <w:t>Moral ist lehrbar</w:t>
      </w:r>
      <w:r>
        <w:rPr>
          <w:rFonts w:eastAsia="Times New Roman"/>
          <w:sz w:val="28"/>
          <w:szCs w:val="28"/>
        </w:rPr>
        <w:t>, München 2003.</w:t>
      </w:r>
    </w:p>
    <w:p w:rsidR="00682F95" w:rsidRDefault="00682F95">
      <w:pPr>
        <w:spacing w:line="321" w:lineRule="exact"/>
        <w:rPr>
          <w:rFonts w:eastAsia="Times New Roman"/>
          <w:sz w:val="28"/>
          <w:szCs w:val="28"/>
        </w:rPr>
      </w:pPr>
    </w:p>
    <w:p w:rsidR="00682F95" w:rsidRDefault="00E37933" w:rsidP="00E37933">
      <w:pPr>
        <w:numPr>
          <w:ilvl w:val="0"/>
          <w:numId w:val="16"/>
        </w:numPr>
        <w:tabs>
          <w:tab w:val="left" w:pos="980"/>
        </w:tabs>
        <w:ind w:left="980" w:hanging="435"/>
        <w:rPr>
          <w:rFonts w:eastAsia="Times New Roman"/>
          <w:sz w:val="28"/>
          <w:szCs w:val="28"/>
        </w:rPr>
      </w:pPr>
      <w:r>
        <w:rPr>
          <w:rFonts w:eastAsia="Times New Roman"/>
          <w:sz w:val="28"/>
          <w:szCs w:val="28"/>
        </w:rPr>
        <w:t xml:space="preserve">Maslow, Abraham: </w:t>
      </w:r>
      <w:r>
        <w:rPr>
          <w:rFonts w:eastAsia="Times New Roman"/>
          <w:i/>
          <w:iCs/>
          <w:sz w:val="28"/>
          <w:szCs w:val="28"/>
        </w:rPr>
        <w:t>Motivation und Persönlichkeit</w:t>
      </w:r>
      <w:r>
        <w:rPr>
          <w:rFonts w:eastAsia="Times New Roman"/>
          <w:sz w:val="28"/>
          <w:szCs w:val="28"/>
        </w:rPr>
        <w:t>. Olten 1977.</w:t>
      </w:r>
    </w:p>
    <w:p w:rsidR="00682F95" w:rsidRDefault="00682F95">
      <w:pPr>
        <w:spacing w:line="321" w:lineRule="exact"/>
        <w:rPr>
          <w:rFonts w:eastAsia="Times New Roman"/>
          <w:sz w:val="28"/>
          <w:szCs w:val="28"/>
        </w:rPr>
      </w:pPr>
    </w:p>
    <w:p w:rsidR="00682F95" w:rsidRDefault="00E37933" w:rsidP="00E37933">
      <w:pPr>
        <w:numPr>
          <w:ilvl w:val="0"/>
          <w:numId w:val="16"/>
        </w:numPr>
        <w:tabs>
          <w:tab w:val="left" w:pos="980"/>
        </w:tabs>
        <w:ind w:left="980" w:hanging="435"/>
        <w:rPr>
          <w:rFonts w:eastAsia="Times New Roman"/>
          <w:sz w:val="28"/>
          <w:szCs w:val="28"/>
        </w:rPr>
      </w:pPr>
      <w:r>
        <w:rPr>
          <w:rFonts w:eastAsia="Times New Roman"/>
          <w:sz w:val="28"/>
          <w:szCs w:val="28"/>
        </w:rPr>
        <w:t xml:space="preserve">Meyer, Hilbert: </w:t>
      </w:r>
      <w:r>
        <w:rPr>
          <w:rFonts w:eastAsia="Times New Roman"/>
          <w:i/>
          <w:iCs/>
          <w:sz w:val="28"/>
          <w:szCs w:val="28"/>
        </w:rPr>
        <w:t>Was ist guter Unterricht?</w:t>
      </w:r>
      <w:r>
        <w:rPr>
          <w:rFonts w:eastAsia="Times New Roman"/>
          <w:sz w:val="28"/>
          <w:szCs w:val="28"/>
        </w:rPr>
        <w:t xml:space="preserve"> Cornelsen: Scriptor: 2007.</w:t>
      </w:r>
    </w:p>
    <w:p w:rsidR="00682F95" w:rsidRDefault="00682F95">
      <w:pPr>
        <w:spacing w:line="323" w:lineRule="exact"/>
        <w:rPr>
          <w:rFonts w:eastAsia="Times New Roman"/>
          <w:sz w:val="28"/>
          <w:szCs w:val="28"/>
        </w:rPr>
      </w:pPr>
    </w:p>
    <w:p w:rsidR="00682F95" w:rsidRDefault="00E37933" w:rsidP="00E37933">
      <w:pPr>
        <w:numPr>
          <w:ilvl w:val="0"/>
          <w:numId w:val="16"/>
        </w:numPr>
        <w:tabs>
          <w:tab w:val="left" w:pos="980"/>
        </w:tabs>
        <w:ind w:left="980" w:hanging="435"/>
        <w:rPr>
          <w:rFonts w:eastAsia="Times New Roman"/>
          <w:sz w:val="28"/>
          <w:szCs w:val="28"/>
        </w:rPr>
      </w:pPr>
      <w:r>
        <w:rPr>
          <w:rFonts w:eastAsia="Times New Roman"/>
          <w:sz w:val="28"/>
          <w:szCs w:val="28"/>
        </w:rPr>
        <w:t>Oser,   Fritz:   „Acht   Strategien   der   Moralerziehung“.   In:   Edelstein,</w:t>
      </w:r>
    </w:p>
    <w:p w:rsidR="00682F95" w:rsidRDefault="00682F95">
      <w:pPr>
        <w:spacing w:line="158" w:lineRule="exact"/>
        <w:rPr>
          <w:sz w:val="20"/>
          <w:szCs w:val="20"/>
        </w:rPr>
      </w:pPr>
    </w:p>
    <w:p w:rsidR="00682F95" w:rsidRDefault="00E37933">
      <w:pPr>
        <w:ind w:left="900"/>
        <w:rPr>
          <w:sz w:val="20"/>
          <w:szCs w:val="20"/>
        </w:rPr>
      </w:pPr>
      <w:r>
        <w:rPr>
          <w:rFonts w:eastAsia="Times New Roman"/>
          <w:sz w:val="28"/>
          <w:szCs w:val="28"/>
        </w:rPr>
        <w:t>Wolfgang/Oser, Fritz/ Schuster, Peter, S. 63-89.</w:t>
      </w:r>
    </w:p>
    <w:p w:rsidR="00682F95" w:rsidRDefault="00682F95">
      <w:pPr>
        <w:spacing w:line="338" w:lineRule="exact"/>
        <w:rPr>
          <w:sz w:val="20"/>
          <w:szCs w:val="20"/>
        </w:rPr>
      </w:pPr>
    </w:p>
    <w:p w:rsidR="00682F95" w:rsidRDefault="00E37933" w:rsidP="00E37933">
      <w:pPr>
        <w:numPr>
          <w:ilvl w:val="0"/>
          <w:numId w:val="17"/>
        </w:numPr>
        <w:tabs>
          <w:tab w:val="left" w:pos="970"/>
        </w:tabs>
        <w:spacing w:line="347" w:lineRule="auto"/>
        <w:ind w:left="900" w:hanging="355"/>
        <w:rPr>
          <w:rFonts w:eastAsia="Times New Roman"/>
          <w:sz w:val="28"/>
          <w:szCs w:val="28"/>
        </w:rPr>
      </w:pPr>
      <w:r>
        <w:rPr>
          <w:rFonts w:eastAsia="Times New Roman"/>
          <w:sz w:val="28"/>
          <w:szCs w:val="28"/>
        </w:rPr>
        <w:t>Röll, Jacob</w:t>
      </w:r>
      <w:r>
        <w:rPr>
          <w:rFonts w:eastAsia="Times New Roman"/>
          <w:sz w:val="28"/>
          <w:szCs w:val="28"/>
        </w:rPr>
        <w:t>s u. a.: „So lernen Jungen und Mädchen“. In: Focus-Schule. Nr. 4/2009.</w:t>
      </w:r>
    </w:p>
    <w:p w:rsidR="00682F95" w:rsidRDefault="00682F95">
      <w:pPr>
        <w:spacing w:line="180" w:lineRule="exact"/>
        <w:rPr>
          <w:rFonts w:eastAsia="Times New Roman"/>
          <w:sz w:val="28"/>
          <w:szCs w:val="28"/>
        </w:rPr>
      </w:pPr>
    </w:p>
    <w:p w:rsidR="00682F95" w:rsidRDefault="00E37933" w:rsidP="00E37933">
      <w:pPr>
        <w:numPr>
          <w:ilvl w:val="0"/>
          <w:numId w:val="17"/>
        </w:numPr>
        <w:tabs>
          <w:tab w:val="left" w:pos="980"/>
        </w:tabs>
        <w:ind w:left="980" w:hanging="435"/>
        <w:rPr>
          <w:rFonts w:eastAsia="Times New Roman"/>
          <w:sz w:val="28"/>
          <w:szCs w:val="28"/>
        </w:rPr>
      </w:pPr>
      <w:r>
        <w:rPr>
          <w:rFonts w:eastAsia="Times New Roman"/>
          <w:sz w:val="28"/>
          <w:szCs w:val="28"/>
        </w:rPr>
        <w:t>Ruch,   Hermann:   „Heterogenität   und   individuelle   Förderung“.   In:</w:t>
      </w:r>
    </w:p>
    <w:p w:rsidR="00682F95" w:rsidRDefault="00682F95">
      <w:pPr>
        <w:spacing w:line="158" w:lineRule="exact"/>
        <w:rPr>
          <w:sz w:val="20"/>
          <w:szCs w:val="20"/>
        </w:rPr>
      </w:pPr>
    </w:p>
    <w:p w:rsidR="00682F95" w:rsidRDefault="00E37933">
      <w:pPr>
        <w:ind w:left="900"/>
        <w:rPr>
          <w:sz w:val="20"/>
          <w:szCs w:val="20"/>
        </w:rPr>
      </w:pPr>
      <w:r>
        <w:rPr>
          <w:rFonts w:eastAsia="Times New Roman"/>
          <w:sz w:val="28"/>
          <w:szCs w:val="28"/>
        </w:rPr>
        <w:t>Deutschmagazin 2/08.</w:t>
      </w:r>
    </w:p>
    <w:p w:rsidR="00682F95" w:rsidRDefault="00682F95">
      <w:pPr>
        <w:spacing w:line="324" w:lineRule="exact"/>
        <w:rPr>
          <w:sz w:val="20"/>
          <w:szCs w:val="20"/>
        </w:rPr>
      </w:pPr>
    </w:p>
    <w:p w:rsidR="00682F95" w:rsidRDefault="00E37933" w:rsidP="00E37933">
      <w:pPr>
        <w:numPr>
          <w:ilvl w:val="0"/>
          <w:numId w:val="18"/>
        </w:numPr>
        <w:tabs>
          <w:tab w:val="left" w:pos="980"/>
        </w:tabs>
        <w:ind w:left="980" w:hanging="435"/>
        <w:rPr>
          <w:rFonts w:eastAsia="Times New Roman"/>
          <w:sz w:val="28"/>
          <w:szCs w:val="28"/>
        </w:rPr>
      </w:pPr>
      <w:r>
        <w:rPr>
          <w:rFonts w:eastAsia="Times New Roman"/>
          <w:sz w:val="28"/>
          <w:szCs w:val="28"/>
        </w:rPr>
        <w:t>Sachser, N. „Neugier, Spiel und Lernen“. In: Hermann, U.: Neurodidaktik</w:t>
      </w:r>
    </w:p>
    <w:p w:rsidR="00682F95" w:rsidRDefault="00682F95">
      <w:pPr>
        <w:spacing w:line="160" w:lineRule="exact"/>
        <w:rPr>
          <w:sz w:val="20"/>
          <w:szCs w:val="20"/>
        </w:rPr>
      </w:pPr>
    </w:p>
    <w:p w:rsidR="00682F95" w:rsidRDefault="00E37933">
      <w:pPr>
        <w:ind w:left="900"/>
        <w:rPr>
          <w:sz w:val="20"/>
          <w:szCs w:val="20"/>
        </w:rPr>
      </w:pPr>
      <w:r>
        <w:rPr>
          <w:rFonts w:eastAsia="Times New Roman"/>
          <w:sz w:val="28"/>
          <w:szCs w:val="28"/>
        </w:rPr>
        <w:t xml:space="preserve">Grundlagen </w:t>
      </w:r>
      <w:r>
        <w:rPr>
          <w:rFonts w:eastAsia="Times New Roman"/>
          <w:sz w:val="28"/>
          <w:szCs w:val="28"/>
        </w:rPr>
        <w:t>und Vorschläge für gehirngerechtes Lehren und Lernen. Beltz:</w:t>
      </w:r>
    </w:p>
    <w:p w:rsidR="00682F95" w:rsidRDefault="00682F95">
      <w:pPr>
        <w:spacing w:line="159" w:lineRule="exact"/>
        <w:rPr>
          <w:sz w:val="20"/>
          <w:szCs w:val="20"/>
        </w:rPr>
      </w:pPr>
    </w:p>
    <w:p w:rsidR="00682F95" w:rsidRDefault="00E37933">
      <w:pPr>
        <w:ind w:left="900"/>
        <w:rPr>
          <w:sz w:val="20"/>
          <w:szCs w:val="20"/>
        </w:rPr>
      </w:pPr>
      <w:r>
        <w:rPr>
          <w:rFonts w:eastAsia="Times New Roman"/>
          <w:sz w:val="28"/>
          <w:szCs w:val="28"/>
        </w:rPr>
        <w:t>2006, S. 19-30.</w:t>
      </w:r>
    </w:p>
    <w:p w:rsidR="00682F95" w:rsidRDefault="00682F95">
      <w:pPr>
        <w:sectPr w:rsidR="00682F95">
          <w:pgSz w:w="11900" w:h="16838"/>
          <w:pgMar w:top="714" w:right="846" w:bottom="43" w:left="1440" w:header="0" w:footer="0" w:gutter="0"/>
          <w:cols w:space="720" w:equalWidth="0">
            <w:col w:w="9620"/>
          </w:cols>
        </w:sectPr>
      </w:pPr>
    </w:p>
    <w:p w:rsidR="00682F95" w:rsidRDefault="00E37933">
      <w:pPr>
        <w:ind w:left="9400"/>
        <w:rPr>
          <w:sz w:val="20"/>
          <w:szCs w:val="20"/>
        </w:rPr>
      </w:pPr>
      <w:bookmarkStart w:id="16" w:name="page46"/>
      <w:bookmarkEnd w:id="16"/>
      <w:r>
        <w:rPr>
          <w:rFonts w:ascii="Calibri" w:eastAsia="Calibri" w:hAnsi="Calibri" w:cs="Calibri"/>
          <w:sz w:val="21"/>
          <w:szCs w:val="21"/>
        </w:rPr>
        <w:lastRenderedPageBreak/>
        <w:t>46</w:t>
      </w:r>
    </w:p>
    <w:p w:rsidR="00682F95" w:rsidRDefault="00682F95">
      <w:pPr>
        <w:spacing w:line="200" w:lineRule="exact"/>
        <w:rPr>
          <w:sz w:val="20"/>
          <w:szCs w:val="20"/>
        </w:rPr>
      </w:pPr>
    </w:p>
    <w:p w:rsidR="00682F95" w:rsidRDefault="00682F95">
      <w:pPr>
        <w:spacing w:line="200" w:lineRule="exact"/>
        <w:rPr>
          <w:sz w:val="20"/>
          <w:szCs w:val="20"/>
        </w:rPr>
      </w:pPr>
    </w:p>
    <w:p w:rsidR="00682F95" w:rsidRDefault="00682F95">
      <w:pPr>
        <w:spacing w:line="236" w:lineRule="exact"/>
        <w:rPr>
          <w:sz w:val="20"/>
          <w:szCs w:val="20"/>
        </w:rPr>
      </w:pPr>
    </w:p>
    <w:p w:rsidR="00682F95" w:rsidRDefault="00E37933" w:rsidP="00E37933">
      <w:pPr>
        <w:numPr>
          <w:ilvl w:val="0"/>
          <w:numId w:val="19"/>
        </w:numPr>
        <w:tabs>
          <w:tab w:val="left" w:pos="970"/>
        </w:tabs>
        <w:spacing w:line="347" w:lineRule="auto"/>
        <w:ind w:left="900" w:hanging="355"/>
        <w:rPr>
          <w:rFonts w:eastAsia="Times New Roman"/>
          <w:sz w:val="28"/>
          <w:szCs w:val="28"/>
        </w:rPr>
      </w:pPr>
      <w:r>
        <w:rPr>
          <w:rFonts w:eastAsia="Times New Roman"/>
          <w:sz w:val="28"/>
          <w:szCs w:val="28"/>
        </w:rPr>
        <w:t>Spiegel, Carmen: „Streitschlichtung“. In: Becker-Mrotzek (Hrsg.), S. 512-524.</w:t>
      </w:r>
    </w:p>
    <w:p w:rsidR="00682F95" w:rsidRDefault="00682F95">
      <w:pPr>
        <w:spacing w:line="180" w:lineRule="exact"/>
        <w:rPr>
          <w:rFonts w:eastAsia="Times New Roman"/>
          <w:sz w:val="28"/>
          <w:szCs w:val="28"/>
        </w:rPr>
      </w:pPr>
    </w:p>
    <w:p w:rsidR="00682F95" w:rsidRDefault="00E37933" w:rsidP="00E37933">
      <w:pPr>
        <w:numPr>
          <w:ilvl w:val="0"/>
          <w:numId w:val="19"/>
        </w:numPr>
        <w:tabs>
          <w:tab w:val="left" w:pos="980"/>
        </w:tabs>
        <w:ind w:left="980" w:hanging="435"/>
        <w:rPr>
          <w:rFonts w:eastAsia="Times New Roman"/>
          <w:sz w:val="28"/>
          <w:szCs w:val="28"/>
        </w:rPr>
      </w:pPr>
      <w:r>
        <w:rPr>
          <w:rFonts w:eastAsia="Times New Roman"/>
          <w:sz w:val="28"/>
          <w:szCs w:val="28"/>
        </w:rPr>
        <w:t>Spinner, Kaspar: „Was gehört zu einer guten Argumentation? Von fremden</w:t>
      </w:r>
    </w:p>
    <w:p w:rsidR="00682F95" w:rsidRDefault="00682F95">
      <w:pPr>
        <w:spacing w:line="158" w:lineRule="exact"/>
        <w:rPr>
          <w:sz w:val="20"/>
          <w:szCs w:val="20"/>
        </w:rPr>
      </w:pPr>
    </w:p>
    <w:p w:rsidR="00682F95" w:rsidRDefault="00E37933">
      <w:pPr>
        <w:ind w:left="900"/>
        <w:rPr>
          <w:sz w:val="20"/>
          <w:szCs w:val="20"/>
        </w:rPr>
      </w:pPr>
      <w:r>
        <w:rPr>
          <w:rFonts w:eastAsia="Times New Roman"/>
          <w:sz w:val="28"/>
          <w:szCs w:val="28"/>
        </w:rPr>
        <w:t>Texten zum ei-genen Schreiben“. In: Praxis Deutsch 205 (2007), S. 21-24.</w:t>
      </w:r>
    </w:p>
    <w:p w:rsidR="00682F95" w:rsidRDefault="00682F95">
      <w:pPr>
        <w:spacing w:line="337" w:lineRule="exact"/>
        <w:rPr>
          <w:sz w:val="20"/>
          <w:szCs w:val="20"/>
        </w:rPr>
      </w:pPr>
    </w:p>
    <w:p w:rsidR="00682F95" w:rsidRDefault="00E37933" w:rsidP="00E37933">
      <w:pPr>
        <w:numPr>
          <w:ilvl w:val="0"/>
          <w:numId w:val="20"/>
        </w:numPr>
        <w:tabs>
          <w:tab w:val="left" w:pos="970"/>
        </w:tabs>
        <w:spacing w:line="354" w:lineRule="auto"/>
        <w:ind w:left="900" w:hanging="355"/>
        <w:jc w:val="both"/>
        <w:rPr>
          <w:rFonts w:eastAsia="Times New Roman"/>
          <w:sz w:val="28"/>
          <w:szCs w:val="28"/>
        </w:rPr>
      </w:pPr>
      <w:r>
        <w:rPr>
          <w:rFonts w:eastAsia="Times New Roman"/>
          <w:sz w:val="28"/>
          <w:szCs w:val="28"/>
        </w:rPr>
        <w:t>Stepath, Karin: „Bewertungsbögen als Unterrichtskonzept: Schüler erarbeiten induktiv die Schreibform „Problemerörterung“. In: Deutschmagazin 2 (2008), S. 19-24.</w:t>
      </w:r>
    </w:p>
    <w:p w:rsidR="00682F95" w:rsidRDefault="00682F95">
      <w:pPr>
        <w:spacing w:line="186" w:lineRule="exact"/>
        <w:rPr>
          <w:rFonts w:eastAsia="Times New Roman"/>
          <w:sz w:val="28"/>
          <w:szCs w:val="28"/>
        </w:rPr>
      </w:pPr>
    </w:p>
    <w:p w:rsidR="00682F95" w:rsidRDefault="00E37933" w:rsidP="00E37933">
      <w:pPr>
        <w:numPr>
          <w:ilvl w:val="0"/>
          <w:numId w:val="20"/>
        </w:numPr>
        <w:tabs>
          <w:tab w:val="left" w:pos="970"/>
        </w:tabs>
        <w:spacing w:line="347" w:lineRule="auto"/>
        <w:ind w:left="900" w:hanging="355"/>
        <w:rPr>
          <w:rFonts w:eastAsia="Times New Roman"/>
          <w:sz w:val="28"/>
          <w:szCs w:val="28"/>
        </w:rPr>
      </w:pPr>
      <w:r>
        <w:rPr>
          <w:rFonts w:eastAsia="Times New Roman"/>
          <w:sz w:val="28"/>
          <w:szCs w:val="28"/>
        </w:rPr>
        <w:t xml:space="preserve">Vogt, Jochen: </w:t>
      </w:r>
      <w:r>
        <w:rPr>
          <w:rFonts w:eastAsia="Times New Roman"/>
          <w:sz w:val="28"/>
          <w:szCs w:val="28"/>
        </w:rPr>
        <w:t>„Krimi – international“. In: Der Deutschunterricht, 2007, S. 2-14.</w:t>
      </w:r>
    </w:p>
    <w:p w:rsidR="00682F95" w:rsidRDefault="00682F95">
      <w:pPr>
        <w:spacing w:line="194" w:lineRule="exact"/>
        <w:rPr>
          <w:rFonts w:eastAsia="Times New Roman"/>
          <w:sz w:val="28"/>
          <w:szCs w:val="28"/>
        </w:rPr>
      </w:pPr>
    </w:p>
    <w:p w:rsidR="00682F95" w:rsidRDefault="00E37933" w:rsidP="00E37933">
      <w:pPr>
        <w:numPr>
          <w:ilvl w:val="0"/>
          <w:numId w:val="20"/>
        </w:numPr>
        <w:tabs>
          <w:tab w:val="left" w:pos="970"/>
        </w:tabs>
        <w:spacing w:line="347" w:lineRule="auto"/>
        <w:ind w:left="900" w:hanging="355"/>
        <w:rPr>
          <w:rFonts w:eastAsia="Times New Roman"/>
          <w:sz w:val="28"/>
          <w:szCs w:val="28"/>
        </w:rPr>
      </w:pPr>
      <w:r>
        <w:rPr>
          <w:rFonts w:eastAsia="Times New Roman"/>
          <w:sz w:val="28"/>
          <w:szCs w:val="28"/>
        </w:rPr>
        <w:t>Weidner, Margit: Kooperatives Lernen im Unterricht. Das Arbeitsbuch. Seelze-Velber 2008.</w:t>
      </w:r>
    </w:p>
    <w:p w:rsidR="00682F95" w:rsidRDefault="00682F95">
      <w:pPr>
        <w:spacing w:line="180" w:lineRule="exact"/>
        <w:rPr>
          <w:rFonts w:eastAsia="Times New Roman"/>
          <w:sz w:val="28"/>
          <w:szCs w:val="28"/>
        </w:rPr>
      </w:pPr>
    </w:p>
    <w:p w:rsidR="00682F95" w:rsidRDefault="00E37933" w:rsidP="00E37933">
      <w:pPr>
        <w:numPr>
          <w:ilvl w:val="0"/>
          <w:numId w:val="20"/>
        </w:numPr>
        <w:tabs>
          <w:tab w:val="left" w:pos="980"/>
        </w:tabs>
        <w:ind w:left="980" w:hanging="435"/>
        <w:rPr>
          <w:rFonts w:eastAsia="Times New Roman"/>
          <w:sz w:val="28"/>
          <w:szCs w:val="28"/>
        </w:rPr>
      </w:pPr>
      <w:r>
        <w:rPr>
          <w:rFonts w:eastAsia="Times New Roman"/>
          <w:sz w:val="28"/>
          <w:szCs w:val="28"/>
        </w:rPr>
        <w:t>Winkler,  Iris:  „Argumentierendes  Schreiben  im  Deutschunterricht  im</w:t>
      </w:r>
    </w:p>
    <w:p w:rsidR="00682F95" w:rsidRDefault="00682F95">
      <w:pPr>
        <w:spacing w:line="160" w:lineRule="exact"/>
        <w:rPr>
          <w:sz w:val="20"/>
          <w:szCs w:val="20"/>
        </w:rPr>
      </w:pPr>
    </w:p>
    <w:p w:rsidR="00682F95" w:rsidRDefault="00E37933">
      <w:pPr>
        <w:ind w:left="900"/>
        <w:rPr>
          <w:sz w:val="20"/>
          <w:szCs w:val="20"/>
        </w:rPr>
      </w:pPr>
      <w:r>
        <w:rPr>
          <w:rFonts w:eastAsia="Times New Roman"/>
          <w:sz w:val="28"/>
          <w:szCs w:val="28"/>
        </w:rPr>
        <w:t>Spiegel von Aufgaben für</w:t>
      </w:r>
      <w:r>
        <w:rPr>
          <w:rFonts w:eastAsia="Times New Roman"/>
          <w:sz w:val="28"/>
          <w:szCs w:val="28"/>
        </w:rPr>
        <w:t xml:space="preserve"> Lern- und Leistungssituationen“. In: Grundler,</w:t>
      </w:r>
    </w:p>
    <w:p w:rsidR="00682F95" w:rsidRDefault="00682F95">
      <w:pPr>
        <w:spacing w:line="161" w:lineRule="exact"/>
        <w:rPr>
          <w:sz w:val="20"/>
          <w:szCs w:val="20"/>
        </w:rPr>
      </w:pPr>
    </w:p>
    <w:p w:rsidR="00682F95" w:rsidRDefault="00E37933">
      <w:pPr>
        <w:tabs>
          <w:tab w:val="left" w:pos="2280"/>
          <w:tab w:val="left" w:pos="3360"/>
          <w:tab w:val="left" w:pos="4400"/>
          <w:tab w:val="left" w:pos="6280"/>
          <w:tab w:val="left" w:pos="6660"/>
          <w:tab w:val="left" w:pos="7600"/>
          <w:tab w:val="left" w:pos="8180"/>
        </w:tabs>
        <w:ind w:left="900"/>
        <w:rPr>
          <w:sz w:val="20"/>
          <w:szCs w:val="20"/>
        </w:rPr>
      </w:pPr>
      <w:r>
        <w:rPr>
          <w:rFonts w:eastAsia="Times New Roman"/>
          <w:sz w:val="28"/>
          <w:szCs w:val="28"/>
        </w:rPr>
        <w:t>Elke/Vogt,</w:t>
      </w:r>
      <w:r>
        <w:rPr>
          <w:rFonts w:eastAsia="Times New Roman"/>
          <w:sz w:val="28"/>
          <w:szCs w:val="28"/>
        </w:rPr>
        <w:tab/>
        <w:t>Rüdiger</w:t>
      </w:r>
      <w:r>
        <w:rPr>
          <w:rFonts w:eastAsia="Times New Roman"/>
          <w:sz w:val="28"/>
          <w:szCs w:val="28"/>
        </w:rPr>
        <w:tab/>
        <w:t>(Hrsg.):</w:t>
      </w:r>
      <w:r>
        <w:rPr>
          <w:rFonts w:eastAsia="Times New Roman"/>
          <w:sz w:val="28"/>
          <w:szCs w:val="28"/>
        </w:rPr>
        <w:tab/>
        <w:t>Argumentieren</w:t>
      </w:r>
      <w:r>
        <w:rPr>
          <w:rFonts w:eastAsia="Times New Roman"/>
          <w:sz w:val="28"/>
          <w:szCs w:val="28"/>
        </w:rPr>
        <w:tab/>
        <w:t>in</w:t>
      </w:r>
      <w:r>
        <w:rPr>
          <w:rFonts w:eastAsia="Times New Roman"/>
          <w:sz w:val="28"/>
          <w:szCs w:val="28"/>
        </w:rPr>
        <w:tab/>
        <w:t>Schule</w:t>
      </w:r>
      <w:r>
        <w:rPr>
          <w:rFonts w:eastAsia="Times New Roman"/>
          <w:sz w:val="28"/>
          <w:szCs w:val="28"/>
        </w:rPr>
        <w:tab/>
        <w:t>und</w:t>
      </w:r>
      <w:r>
        <w:rPr>
          <w:rFonts w:eastAsia="Times New Roman"/>
          <w:sz w:val="28"/>
          <w:szCs w:val="28"/>
        </w:rPr>
        <w:tab/>
        <w:t>Hochschule:</w:t>
      </w:r>
    </w:p>
    <w:p w:rsidR="00682F95" w:rsidRDefault="00682F95">
      <w:pPr>
        <w:spacing w:line="160" w:lineRule="exact"/>
        <w:rPr>
          <w:sz w:val="20"/>
          <w:szCs w:val="20"/>
        </w:rPr>
      </w:pPr>
    </w:p>
    <w:p w:rsidR="00682F95" w:rsidRDefault="00E37933">
      <w:pPr>
        <w:ind w:left="900"/>
        <w:rPr>
          <w:sz w:val="20"/>
          <w:szCs w:val="20"/>
        </w:rPr>
      </w:pPr>
      <w:r>
        <w:rPr>
          <w:rFonts w:eastAsia="Times New Roman"/>
          <w:sz w:val="28"/>
          <w:szCs w:val="28"/>
        </w:rPr>
        <w:t>Interdisziplinäre Studien. (Stauffenburg: 2006), S. 157-166.</w:t>
      </w:r>
    </w:p>
    <w:p w:rsidR="00682F95" w:rsidRDefault="00682F95">
      <w:pPr>
        <w:spacing w:line="324" w:lineRule="exact"/>
        <w:rPr>
          <w:sz w:val="20"/>
          <w:szCs w:val="20"/>
        </w:rPr>
      </w:pPr>
    </w:p>
    <w:p w:rsidR="00682F95" w:rsidRDefault="00E37933" w:rsidP="00E37933">
      <w:pPr>
        <w:numPr>
          <w:ilvl w:val="0"/>
          <w:numId w:val="21"/>
        </w:numPr>
        <w:tabs>
          <w:tab w:val="left" w:pos="980"/>
        </w:tabs>
        <w:ind w:left="980" w:hanging="435"/>
        <w:rPr>
          <w:rFonts w:eastAsia="Times New Roman"/>
          <w:sz w:val="28"/>
          <w:szCs w:val="28"/>
        </w:rPr>
      </w:pPr>
      <w:r>
        <w:rPr>
          <w:rFonts w:eastAsia="Times New Roman"/>
          <w:sz w:val="28"/>
          <w:szCs w:val="28"/>
        </w:rPr>
        <w:t>Wohlrapp,   Harald:   „Was   heißt   und   zu   welchem   Ende   sollte</w:t>
      </w:r>
    </w:p>
    <w:p w:rsidR="00682F95" w:rsidRDefault="00682F95">
      <w:pPr>
        <w:spacing w:line="174" w:lineRule="exact"/>
        <w:rPr>
          <w:sz w:val="20"/>
          <w:szCs w:val="20"/>
        </w:rPr>
      </w:pPr>
    </w:p>
    <w:p w:rsidR="00682F95" w:rsidRDefault="00E37933">
      <w:pPr>
        <w:spacing w:line="347" w:lineRule="auto"/>
        <w:ind w:left="900"/>
        <w:rPr>
          <w:sz w:val="20"/>
          <w:szCs w:val="20"/>
        </w:rPr>
      </w:pPr>
      <w:r>
        <w:rPr>
          <w:rFonts w:eastAsia="Times New Roman"/>
          <w:sz w:val="28"/>
          <w:szCs w:val="28"/>
        </w:rPr>
        <w:t>Argumentationsforschung betrieben werden“. In: Grundler, Elke/Vogt, Rüdiger, S. 29-40.</w:t>
      </w:r>
    </w:p>
    <w:p w:rsidR="00682F95" w:rsidRDefault="00682F95">
      <w:pPr>
        <w:spacing w:line="195" w:lineRule="exact"/>
        <w:rPr>
          <w:sz w:val="20"/>
          <w:szCs w:val="20"/>
        </w:rPr>
      </w:pPr>
    </w:p>
    <w:p w:rsidR="00682F95" w:rsidRDefault="00E37933">
      <w:pPr>
        <w:spacing w:line="353" w:lineRule="auto"/>
        <w:ind w:left="900" w:hanging="359"/>
        <w:jc w:val="both"/>
        <w:rPr>
          <w:sz w:val="20"/>
          <w:szCs w:val="20"/>
        </w:rPr>
      </w:pPr>
      <w:r>
        <w:rPr>
          <w:rFonts w:eastAsia="Times New Roman"/>
          <w:sz w:val="28"/>
          <w:szCs w:val="28"/>
        </w:rPr>
        <w:t>43. Winter, Felix: Leistungsbewertung. Eine neue Lernkultur braucht einen anderen Umgang mit den Schülerleistungen. Grundlagen der Schulpädagogik Band 49. Hohengehren 2</w:t>
      </w:r>
      <w:r>
        <w:rPr>
          <w:rFonts w:eastAsia="Times New Roman"/>
          <w:sz w:val="28"/>
          <w:szCs w:val="28"/>
        </w:rPr>
        <w:t>010.</w:t>
      </w:r>
    </w:p>
    <w:sectPr w:rsidR="00682F95">
      <w:pgSz w:w="11900" w:h="16838"/>
      <w:pgMar w:top="714" w:right="846" w:bottom="1440" w:left="1440" w:header="0" w:footer="0" w:gutter="0"/>
      <w:cols w:space="720" w:equalWidth="0">
        <w:col w:w="9620"/>
      </w:cols>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9A769B"/>
    <w:multiLevelType w:val="hybridMultilevel"/>
    <w:tmpl w:val="3B3AB01E"/>
    <w:lvl w:ilvl="0" w:tplc="028C2472">
      <w:start w:val="1"/>
      <w:numFmt w:val="bullet"/>
      <w:lvlText w:val="В"/>
      <w:lvlJc w:val="left"/>
    </w:lvl>
    <w:lvl w:ilvl="1" w:tplc="AC5CE5D0">
      <w:numFmt w:val="decimal"/>
      <w:lvlText w:val=""/>
      <w:lvlJc w:val="left"/>
    </w:lvl>
    <w:lvl w:ilvl="2" w:tplc="22A4552A">
      <w:numFmt w:val="decimal"/>
      <w:lvlText w:val=""/>
      <w:lvlJc w:val="left"/>
    </w:lvl>
    <w:lvl w:ilvl="3" w:tplc="AF9A4A0C">
      <w:numFmt w:val="decimal"/>
      <w:lvlText w:val=""/>
      <w:lvlJc w:val="left"/>
    </w:lvl>
    <w:lvl w:ilvl="4" w:tplc="2736B424">
      <w:numFmt w:val="decimal"/>
      <w:lvlText w:val=""/>
      <w:lvlJc w:val="left"/>
    </w:lvl>
    <w:lvl w:ilvl="5" w:tplc="387EB528">
      <w:numFmt w:val="decimal"/>
      <w:lvlText w:val=""/>
      <w:lvlJc w:val="left"/>
    </w:lvl>
    <w:lvl w:ilvl="6" w:tplc="57A6DA2C">
      <w:numFmt w:val="decimal"/>
      <w:lvlText w:val=""/>
      <w:lvlJc w:val="left"/>
    </w:lvl>
    <w:lvl w:ilvl="7" w:tplc="5EB60164">
      <w:numFmt w:val="decimal"/>
      <w:lvlText w:val=""/>
      <w:lvlJc w:val="left"/>
    </w:lvl>
    <w:lvl w:ilvl="8" w:tplc="D0087292">
      <w:numFmt w:val="decimal"/>
      <w:lvlText w:val=""/>
      <w:lvlJc w:val="left"/>
    </w:lvl>
  </w:abstractNum>
  <w:abstractNum w:abstractNumId="1">
    <w:nsid w:val="1BA026FA"/>
    <w:multiLevelType w:val="hybridMultilevel"/>
    <w:tmpl w:val="F4FC14DC"/>
    <w:lvl w:ilvl="0" w:tplc="952EA41E">
      <w:start w:val="36"/>
      <w:numFmt w:val="decimal"/>
      <w:lvlText w:val="%1."/>
      <w:lvlJc w:val="left"/>
    </w:lvl>
    <w:lvl w:ilvl="1" w:tplc="ABC41466">
      <w:numFmt w:val="decimal"/>
      <w:lvlText w:val=""/>
      <w:lvlJc w:val="left"/>
    </w:lvl>
    <w:lvl w:ilvl="2" w:tplc="D012C1E4">
      <w:numFmt w:val="decimal"/>
      <w:lvlText w:val=""/>
      <w:lvlJc w:val="left"/>
    </w:lvl>
    <w:lvl w:ilvl="3" w:tplc="E8EC4726">
      <w:numFmt w:val="decimal"/>
      <w:lvlText w:val=""/>
      <w:lvlJc w:val="left"/>
    </w:lvl>
    <w:lvl w:ilvl="4" w:tplc="FB3CDCCC">
      <w:numFmt w:val="decimal"/>
      <w:lvlText w:val=""/>
      <w:lvlJc w:val="left"/>
    </w:lvl>
    <w:lvl w:ilvl="5" w:tplc="2F6A6610">
      <w:numFmt w:val="decimal"/>
      <w:lvlText w:val=""/>
      <w:lvlJc w:val="left"/>
    </w:lvl>
    <w:lvl w:ilvl="6" w:tplc="EB467214">
      <w:numFmt w:val="decimal"/>
      <w:lvlText w:val=""/>
      <w:lvlJc w:val="left"/>
    </w:lvl>
    <w:lvl w:ilvl="7" w:tplc="0BA8AF2E">
      <w:numFmt w:val="decimal"/>
      <w:lvlText w:val=""/>
      <w:lvlJc w:val="left"/>
    </w:lvl>
    <w:lvl w:ilvl="8" w:tplc="02DAD95A">
      <w:numFmt w:val="decimal"/>
      <w:lvlText w:val=""/>
      <w:lvlJc w:val="left"/>
    </w:lvl>
  </w:abstractNum>
  <w:abstractNum w:abstractNumId="2">
    <w:nsid w:val="1D4ED43B"/>
    <w:multiLevelType w:val="hybridMultilevel"/>
    <w:tmpl w:val="96DAA812"/>
    <w:lvl w:ilvl="0" w:tplc="3AB6A53E">
      <w:start w:val="1"/>
      <w:numFmt w:val="bullet"/>
      <w:lvlText w:val="·"/>
      <w:lvlJc w:val="left"/>
    </w:lvl>
    <w:lvl w:ilvl="1" w:tplc="E92A7FC6">
      <w:numFmt w:val="decimal"/>
      <w:lvlText w:val=""/>
      <w:lvlJc w:val="left"/>
    </w:lvl>
    <w:lvl w:ilvl="2" w:tplc="2D16EA1A">
      <w:numFmt w:val="decimal"/>
      <w:lvlText w:val=""/>
      <w:lvlJc w:val="left"/>
    </w:lvl>
    <w:lvl w:ilvl="3" w:tplc="71B80C36">
      <w:numFmt w:val="decimal"/>
      <w:lvlText w:val=""/>
      <w:lvlJc w:val="left"/>
    </w:lvl>
    <w:lvl w:ilvl="4" w:tplc="BE569CD0">
      <w:numFmt w:val="decimal"/>
      <w:lvlText w:val=""/>
      <w:lvlJc w:val="left"/>
    </w:lvl>
    <w:lvl w:ilvl="5" w:tplc="48403380">
      <w:numFmt w:val="decimal"/>
      <w:lvlText w:val=""/>
      <w:lvlJc w:val="left"/>
    </w:lvl>
    <w:lvl w:ilvl="6" w:tplc="19B24706">
      <w:numFmt w:val="decimal"/>
      <w:lvlText w:val=""/>
      <w:lvlJc w:val="left"/>
    </w:lvl>
    <w:lvl w:ilvl="7" w:tplc="272635B4">
      <w:numFmt w:val="decimal"/>
      <w:lvlText w:val=""/>
      <w:lvlJc w:val="left"/>
    </w:lvl>
    <w:lvl w:ilvl="8" w:tplc="B8DA3806">
      <w:numFmt w:val="decimal"/>
      <w:lvlText w:val=""/>
      <w:lvlJc w:val="left"/>
    </w:lvl>
  </w:abstractNum>
  <w:abstractNum w:abstractNumId="3">
    <w:nsid w:val="2CD89A32"/>
    <w:multiLevelType w:val="hybridMultilevel"/>
    <w:tmpl w:val="32B6F568"/>
    <w:lvl w:ilvl="0" w:tplc="60B81068">
      <w:start w:val="1"/>
      <w:numFmt w:val="bullet"/>
      <w:lvlText w:val="В"/>
      <w:lvlJc w:val="left"/>
    </w:lvl>
    <w:lvl w:ilvl="1" w:tplc="CDD2A4B2">
      <w:numFmt w:val="decimal"/>
      <w:lvlText w:val=""/>
      <w:lvlJc w:val="left"/>
    </w:lvl>
    <w:lvl w:ilvl="2" w:tplc="DEDC3664">
      <w:numFmt w:val="decimal"/>
      <w:lvlText w:val=""/>
      <w:lvlJc w:val="left"/>
    </w:lvl>
    <w:lvl w:ilvl="3" w:tplc="25D83A18">
      <w:numFmt w:val="decimal"/>
      <w:lvlText w:val=""/>
      <w:lvlJc w:val="left"/>
    </w:lvl>
    <w:lvl w:ilvl="4" w:tplc="10BA228E">
      <w:numFmt w:val="decimal"/>
      <w:lvlText w:val=""/>
      <w:lvlJc w:val="left"/>
    </w:lvl>
    <w:lvl w:ilvl="5" w:tplc="0C9E6EBA">
      <w:numFmt w:val="decimal"/>
      <w:lvlText w:val=""/>
      <w:lvlJc w:val="left"/>
    </w:lvl>
    <w:lvl w:ilvl="6" w:tplc="532E8D92">
      <w:numFmt w:val="decimal"/>
      <w:lvlText w:val=""/>
      <w:lvlJc w:val="left"/>
    </w:lvl>
    <w:lvl w:ilvl="7" w:tplc="7FF8CAF2">
      <w:numFmt w:val="decimal"/>
      <w:lvlText w:val=""/>
      <w:lvlJc w:val="left"/>
    </w:lvl>
    <w:lvl w:ilvl="8" w:tplc="2550CE32">
      <w:numFmt w:val="decimal"/>
      <w:lvlText w:val=""/>
      <w:lvlJc w:val="left"/>
    </w:lvl>
  </w:abstractNum>
  <w:abstractNum w:abstractNumId="4">
    <w:nsid w:val="32FFF902"/>
    <w:multiLevelType w:val="hybridMultilevel"/>
    <w:tmpl w:val="E82C6666"/>
    <w:lvl w:ilvl="0" w:tplc="F66C542A">
      <w:start w:val="15"/>
      <w:numFmt w:val="decimal"/>
      <w:lvlText w:val="%1."/>
      <w:lvlJc w:val="left"/>
    </w:lvl>
    <w:lvl w:ilvl="1" w:tplc="68A01EE8">
      <w:numFmt w:val="decimal"/>
      <w:lvlText w:val=""/>
      <w:lvlJc w:val="left"/>
    </w:lvl>
    <w:lvl w:ilvl="2" w:tplc="19A09592">
      <w:numFmt w:val="decimal"/>
      <w:lvlText w:val=""/>
      <w:lvlJc w:val="left"/>
    </w:lvl>
    <w:lvl w:ilvl="3" w:tplc="6CE6430A">
      <w:numFmt w:val="decimal"/>
      <w:lvlText w:val=""/>
      <w:lvlJc w:val="left"/>
    </w:lvl>
    <w:lvl w:ilvl="4" w:tplc="560EB1B4">
      <w:numFmt w:val="decimal"/>
      <w:lvlText w:val=""/>
      <w:lvlJc w:val="left"/>
    </w:lvl>
    <w:lvl w:ilvl="5" w:tplc="CEFC0F52">
      <w:numFmt w:val="decimal"/>
      <w:lvlText w:val=""/>
      <w:lvlJc w:val="left"/>
    </w:lvl>
    <w:lvl w:ilvl="6" w:tplc="37A04486">
      <w:numFmt w:val="decimal"/>
      <w:lvlText w:val=""/>
      <w:lvlJc w:val="left"/>
    </w:lvl>
    <w:lvl w:ilvl="7" w:tplc="4A7E477E">
      <w:numFmt w:val="decimal"/>
      <w:lvlText w:val=""/>
      <w:lvlJc w:val="left"/>
    </w:lvl>
    <w:lvl w:ilvl="8" w:tplc="427A9142">
      <w:numFmt w:val="decimal"/>
      <w:lvlText w:val=""/>
      <w:lvlJc w:val="left"/>
    </w:lvl>
  </w:abstractNum>
  <w:abstractNum w:abstractNumId="5">
    <w:nsid w:val="38437FDB"/>
    <w:multiLevelType w:val="hybridMultilevel"/>
    <w:tmpl w:val="29724476"/>
    <w:lvl w:ilvl="0" w:tplc="F6ACB3DE">
      <w:start w:val="11"/>
      <w:numFmt w:val="decimal"/>
      <w:lvlText w:val="%1."/>
      <w:lvlJc w:val="left"/>
    </w:lvl>
    <w:lvl w:ilvl="1" w:tplc="E2E89140">
      <w:numFmt w:val="decimal"/>
      <w:lvlText w:val=""/>
      <w:lvlJc w:val="left"/>
    </w:lvl>
    <w:lvl w:ilvl="2" w:tplc="E014FE38">
      <w:numFmt w:val="decimal"/>
      <w:lvlText w:val=""/>
      <w:lvlJc w:val="left"/>
    </w:lvl>
    <w:lvl w:ilvl="3" w:tplc="58D2C8B4">
      <w:numFmt w:val="decimal"/>
      <w:lvlText w:val=""/>
      <w:lvlJc w:val="left"/>
    </w:lvl>
    <w:lvl w:ilvl="4" w:tplc="5A525FCA">
      <w:numFmt w:val="decimal"/>
      <w:lvlText w:val=""/>
      <w:lvlJc w:val="left"/>
    </w:lvl>
    <w:lvl w:ilvl="5" w:tplc="599ACC5A">
      <w:numFmt w:val="decimal"/>
      <w:lvlText w:val=""/>
      <w:lvlJc w:val="left"/>
    </w:lvl>
    <w:lvl w:ilvl="6" w:tplc="29BA229A">
      <w:numFmt w:val="decimal"/>
      <w:lvlText w:val=""/>
      <w:lvlJc w:val="left"/>
    </w:lvl>
    <w:lvl w:ilvl="7" w:tplc="C8E0BA10">
      <w:numFmt w:val="decimal"/>
      <w:lvlText w:val=""/>
      <w:lvlJc w:val="left"/>
    </w:lvl>
    <w:lvl w:ilvl="8" w:tplc="782CCECC">
      <w:numFmt w:val="decimal"/>
      <w:lvlText w:val=""/>
      <w:lvlJc w:val="left"/>
    </w:lvl>
  </w:abstractNum>
  <w:abstractNum w:abstractNumId="6">
    <w:nsid w:val="3DC240FB"/>
    <w:multiLevelType w:val="hybridMultilevel"/>
    <w:tmpl w:val="61705A8C"/>
    <w:lvl w:ilvl="0" w:tplc="023E5A82">
      <w:start w:val="35"/>
      <w:numFmt w:val="decimal"/>
      <w:lvlText w:val="%1."/>
      <w:lvlJc w:val="left"/>
    </w:lvl>
    <w:lvl w:ilvl="1" w:tplc="80E413A2">
      <w:numFmt w:val="decimal"/>
      <w:lvlText w:val=""/>
      <w:lvlJc w:val="left"/>
    </w:lvl>
    <w:lvl w:ilvl="2" w:tplc="88767E6A">
      <w:numFmt w:val="decimal"/>
      <w:lvlText w:val=""/>
      <w:lvlJc w:val="left"/>
    </w:lvl>
    <w:lvl w:ilvl="3" w:tplc="424A973C">
      <w:numFmt w:val="decimal"/>
      <w:lvlText w:val=""/>
      <w:lvlJc w:val="left"/>
    </w:lvl>
    <w:lvl w:ilvl="4" w:tplc="586A4CD8">
      <w:numFmt w:val="decimal"/>
      <w:lvlText w:val=""/>
      <w:lvlJc w:val="left"/>
    </w:lvl>
    <w:lvl w:ilvl="5" w:tplc="5838F5F0">
      <w:numFmt w:val="decimal"/>
      <w:lvlText w:val=""/>
      <w:lvlJc w:val="left"/>
    </w:lvl>
    <w:lvl w:ilvl="6" w:tplc="A6FEE88A">
      <w:numFmt w:val="decimal"/>
      <w:lvlText w:val=""/>
      <w:lvlJc w:val="left"/>
    </w:lvl>
    <w:lvl w:ilvl="7" w:tplc="9CC26296">
      <w:numFmt w:val="decimal"/>
      <w:lvlText w:val=""/>
      <w:lvlJc w:val="left"/>
    </w:lvl>
    <w:lvl w:ilvl="8" w:tplc="8460B8EE">
      <w:numFmt w:val="decimal"/>
      <w:lvlText w:val=""/>
      <w:lvlJc w:val="left"/>
    </w:lvl>
  </w:abstractNum>
  <w:abstractNum w:abstractNumId="7">
    <w:nsid w:val="4B588F54"/>
    <w:multiLevelType w:val="hybridMultilevel"/>
    <w:tmpl w:val="3F749A4C"/>
    <w:lvl w:ilvl="0" w:tplc="EC507DB8">
      <w:start w:val="3"/>
      <w:numFmt w:val="decimal"/>
      <w:lvlText w:val="%1."/>
      <w:lvlJc w:val="left"/>
    </w:lvl>
    <w:lvl w:ilvl="1" w:tplc="996C4ACC">
      <w:numFmt w:val="decimal"/>
      <w:lvlText w:val=""/>
      <w:lvlJc w:val="left"/>
    </w:lvl>
    <w:lvl w:ilvl="2" w:tplc="D02C9FEA">
      <w:numFmt w:val="decimal"/>
      <w:lvlText w:val=""/>
      <w:lvlJc w:val="left"/>
    </w:lvl>
    <w:lvl w:ilvl="3" w:tplc="453C8B92">
      <w:numFmt w:val="decimal"/>
      <w:lvlText w:val=""/>
      <w:lvlJc w:val="left"/>
    </w:lvl>
    <w:lvl w:ilvl="4" w:tplc="CB1A5C68">
      <w:numFmt w:val="decimal"/>
      <w:lvlText w:val=""/>
      <w:lvlJc w:val="left"/>
    </w:lvl>
    <w:lvl w:ilvl="5" w:tplc="7E68D77A">
      <w:numFmt w:val="decimal"/>
      <w:lvlText w:val=""/>
      <w:lvlJc w:val="left"/>
    </w:lvl>
    <w:lvl w:ilvl="6" w:tplc="E52C8E58">
      <w:numFmt w:val="decimal"/>
      <w:lvlText w:val=""/>
      <w:lvlJc w:val="left"/>
    </w:lvl>
    <w:lvl w:ilvl="7" w:tplc="66B00E90">
      <w:numFmt w:val="decimal"/>
      <w:lvlText w:val=""/>
      <w:lvlJc w:val="left"/>
    </w:lvl>
    <w:lvl w:ilvl="8" w:tplc="1E70F004">
      <w:numFmt w:val="decimal"/>
      <w:lvlText w:val=""/>
      <w:lvlJc w:val="left"/>
    </w:lvl>
  </w:abstractNum>
  <w:abstractNum w:abstractNumId="8">
    <w:nsid w:val="542289EC"/>
    <w:multiLevelType w:val="hybridMultilevel"/>
    <w:tmpl w:val="80B2B56C"/>
    <w:lvl w:ilvl="0" w:tplc="63CCE1B6">
      <w:start w:val="7"/>
      <w:numFmt w:val="decimal"/>
      <w:lvlText w:val="%1."/>
      <w:lvlJc w:val="left"/>
    </w:lvl>
    <w:lvl w:ilvl="1" w:tplc="9D72BD10">
      <w:numFmt w:val="decimal"/>
      <w:lvlText w:val=""/>
      <w:lvlJc w:val="left"/>
    </w:lvl>
    <w:lvl w:ilvl="2" w:tplc="98BCE3E0">
      <w:numFmt w:val="decimal"/>
      <w:lvlText w:val=""/>
      <w:lvlJc w:val="left"/>
    </w:lvl>
    <w:lvl w:ilvl="3" w:tplc="CEC881DA">
      <w:numFmt w:val="decimal"/>
      <w:lvlText w:val=""/>
      <w:lvlJc w:val="left"/>
    </w:lvl>
    <w:lvl w:ilvl="4" w:tplc="FCC24D12">
      <w:numFmt w:val="decimal"/>
      <w:lvlText w:val=""/>
      <w:lvlJc w:val="left"/>
    </w:lvl>
    <w:lvl w:ilvl="5" w:tplc="3D4CD7D8">
      <w:numFmt w:val="decimal"/>
      <w:lvlText w:val=""/>
      <w:lvlJc w:val="left"/>
    </w:lvl>
    <w:lvl w:ilvl="6" w:tplc="FD12657A">
      <w:numFmt w:val="decimal"/>
      <w:lvlText w:val=""/>
      <w:lvlJc w:val="left"/>
    </w:lvl>
    <w:lvl w:ilvl="7" w:tplc="4F2EEBAC">
      <w:numFmt w:val="decimal"/>
      <w:lvlText w:val=""/>
      <w:lvlJc w:val="left"/>
    </w:lvl>
    <w:lvl w:ilvl="8" w:tplc="E3607D9A">
      <w:numFmt w:val="decimal"/>
      <w:lvlText w:val=""/>
      <w:lvlJc w:val="left"/>
    </w:lvl>
  </w:abstractNum>
  <w:abstractNum w:abstractNumId="9">
    <w:nsid w:val="54E49EB4"/>
    <w:multiLevelType w:val="hybridMultilevel"/>
    <w:tmpl w:val="BA84E6B8"/>
    <w:lvl w:ilvl="0" w:tplc="D9A2CB4E">
      <w:start w:val="1"/>
      <w:numFmt w:val="bullet"/>
      <w:lvlText w:val="В"/>
      <w:lvlJc w:val="left"/>
    </w:lvl>
    <w:lvl w:ilvl="1" w:tplc="ED0EBDDC">
      <w:numFmt w:val="decimal"/>
      <w:lvlText w:val=""/>
      <w:lvlJc w:val="left"/>
    </w:lvl>
    <w:lvl w:ilvl="2" w:tplc="22B4C4A8">
      <w:numFmt w:val="decimal"/>
      <w:lvlText w:val=""/>
      <w:lvlJc w:val="left"/>
    </w:lvl>
    <w:lvl w:ilvl="3" w:tplc="0F36ECC0">
      <w:numFmt w:val="decimal"/>
      <w:lvlText w:val=""/>
      <w:lvlJc w:val="left"/>
    </w:lvl>
    <w:lvl w:ilvl="4" w:tplc="43CC75E6">
      <w:numFmt w:val="decimal"/>
      <w:lvlText w:val=""/>
      <w:lvlJc w:val="left"/>
    </w:lvl>
    <w:lvl w:ilvl="5" w:tplc="9ABCCA58">
      <w:numFmt w:val="decimal"/>
      <w:lvlText w:val=""/>
      <w:lvlJc w:val="left"/>
    </w:lvl>
    <w:lvl w:ilvl="6" w:tplc="21787B72">
      <w:numFmt w:val="decimal"/>
      <w:lvlText w:val=""/>
      <w:lvlJc w:val="left"/>
    </w:lvl>
    <w:lvl w:ilvl="7" w:tplc="2FFAF816">
      <w:numFmt w:val="decimal"/>
      <w:lvlText w:val=""/>
      <w:lvlJc w:val="left"/>
    </w:lvl>
    <w:lvl w:ilvl="8" w:tplc="0C4864FC">
      <w:numFmt w:val="decimal"/>
      <w:lvlText w:val=""/>
      <w:lvlJc w:val="left"/>
    </w:lvl>
  </w:abstractNum>
  <w:abstractNum w:abstractNumId="10">
    <w:nsid w:val="579478FE"/>
    <w:multiLevelType w:val="hybridMultilevel"/>
    <w:tmpl w:val="2CB2336E"/>
    <w:lvl w:ilvl="0" w:tplc="8904F0D6">
      <w:start w:val="29"/>
      <w:numFmt w:val="decimal"/>
      <w:lvlText w:val="%1."/>
      <w:lvlJc w:val="left"/>
    </w:lvl>
    <w:lvl w:ilvl="1" w:tplc="DD8CF61A">
      <w:numFmt w:val="decimal"/>
      <w:lvlText w:val=""/>
      <w:lvlJc w:val="left"/>
    </w:lvl>
    <w:lvl w:ilvl="2" w:tplc="D4B23342">
      <w:numFmt w:val="decimal"/>
      <w:lvlText w:val=""/>
      <w:lvlJc w:val="left"/>
    </w:lvl>
    <w:lvl w:ilvl="3" w:tplc="D728D036">
      <w:numFmt w:val="decimal"/>
      <w:lvlText w:val=""/>
      <w:lvlJc w:val="left"/>
    </w:lvl>
    <w:lvl w:ilvl="4" w:tplc="513CE0D8">
      <w:numFmt w:val="decimal"/>
      <w:lvlText w:val=""/>
      <w:lvlJc w:val="left"/>
    </w:lvl>
    <w:lvl w:ilvl="5" w:tplc="5CB85194">
      <w:numFmt w:val="decimal"/>
      <w:lvlText w:val=""/>
      <w:lvlJc w:val="left"/>
    </w:lvl>
    <w:lvl w:ilvl="6" w:tplc="2EE0B51C">
      <w:numFmt w:val="decimal"/>
      <w:lvlText w:val=""/>
      <w:lvlJc w:val="left"/>
    </w:lvl>
    <w:lvl w:ilvl="7" w:tplc="7C7C0B30">
      <w:numFmt w:val="decimal"/>
      <w:lvlText w:val=""/>
      <w:lvlJc w:val="left"/>
    </w:lvl>
    <w:lvl w:ilvl="8" w:tplc="79089E9A">
      <w:numFmt w:val="decimal"/>
      <w:lvlText w:val=""/>
      <w:lvlJc w:val="left"/>
    </w:lvl>
  </w:abstractNum>
  <w:abstractNum w:abstractNumId="11">
    <w:nsid w:val="57E4CCAF"/>
    <w:multiLevelType w:val="hybridMultilevel"/>
    <w:tmpl w:val="0740975E"/>
    <w:lvl w:ilvl="0" w:tplc="5EA691D0">
      <w:start w:val="1"/>
      <w:numFmt w:val="bullet"/>
      <w:lvlText w:val="в"/>
      <w:lvlJc w:val="left"/>
    </w:lvl>
    <w:lvl w:ilvl="1" w:tplc="7ABCFF42">
      <w:start w:val="1"/>
      <w:numFmt w:val="bullet"/>
      <w:lvlText w:val=""/>
      <w:lvlJc w:val="left"/>
    </w:lvl>
    <w:lvl w:ilvl="2" w:tplc="4238F4C4">
      <w:numFmt w:val="decimal"/>
      <w:lvlText w:val=""/>
      <w:lvlJc w:val="left"/>
    </w:lvl>
    <w:lvl w:ilvl="3" w:tplc="9BD01846">
      <w:numFmt w:val="decimal"/>
      <w:lvlText w:val=""/>
      <w:lvlJc w:val="left"/>
    </w:lvl>
    <w:lvl w:ilvl="4" w:tplc="9830E90E">
      <w:numFmt w:val="decimal"/>
      <w:lvlText w:val=""/>
      <w:lvlJc w:val="left"/>
    </w:lvl>
    <w:lvl w:ilvl="5" w:tplc="5784E6B8">
      <w:numFmt w:val="decimal"/>
      <w:lvlText w:val=""/>
      <w:lvlJc w:val="left"/>
    </w:lvl>
    <w:lvl w:ilvl="6" w:tplc="C520E092">
      <w:numFmt w:val="decimal"/>
      <w:lvlText w:val=""/>
      <w:lvlJc w:val="left"/>
    </w:lvl>
    <w:lvl w:ilvl="7" w:tplc="FF54CE1E">
      <w:numFmt w:val="decimal"/>
      <w:lvlText w:val=""/>
      <w:lvlJc w:val="left"/>
    </w:lvl>
    <w:lvl w:ilvl="8" w:tplc="DC7C0EA8">
      <w:numFmt w:val="decimal"/>
      <w:lvlText w:val=""/>
      <w:lvlJc w:val="left"/>
    </w:lvl>
  </w:abstractNum>
  <w:abstractNum w:abstractNumId="12">
    <w:nsid w:val="684A481A"/>
    <w:multiLevelType w:val="hybridMultilevel"/>
    <w:tmpl w:val="04687336"/>
    <w:lvl w:ilvl="0" w:tplc="59600CFC">
      <w:start w:val="24"/>
      <w:numFmt w:val="decimal"/>
      <w:lvlText w:val="%1."/>
      <w:lvlJc w:val="left"/>
    </w:lvl>
    <w:lvl w:ilvl="1" w:tplc="65A04344">
      <w:numFmt w:val="decimal"/>
      <w:lvlText w:val=""/>
      <w:lvlJc w:val="left"/>
    </w:lvl>
    <w:lvl w:ilvl="2" w:tplc="00B2236C">
      <w:numFmt w:val="decimal"/>
      <w:lvlText w:val=""/>
      <w:lvlJc w:val="left"/>
    </w:lvl>
    <w:lvl w:ilvl="3" w:tplc="6DC4505A">
      <w:numFmt w:val="decimal"/>
      <w:lvlText w:val=""/>
      <w:lvlJc w:val="left"/>
    </w:lvl>
    <w:lvl w:ilvl="4" w:tplc="E788C9DC">
      <w:numFmt w:val="decimal"/>
      <w:lvlText w:val=""/>
      <w:lvlJc w:val="left"/>
    </w:lvl>
    <w:lvl w:ilvl="5" w:tplc="AFE44D32">
      <w:numFmt w:val="decimal"/>
      <w:lvlText w:val=""/>
      <w:lvlJc w:val="left"/>
    </w:lvl>
    <w:lvl w:ilvl="6" w:tplc="FBA20C08">
      <w:numFmt w:val="decimal"/>
      <w:lvlText w:val=""/>
      <w:lvlJc w:val="left"/>
    </w:lvl>
    <w:lvl w:ilvl="7" w:tplc="FDF6691C">
      <w:numFmt w:val="decimal"/>
      <w:lvlText w:val=""/>
      <w:lvlJc w:val="left"/>
    </w:lvl>
    <w:lvl w:ilvl="8" w:tplc="E67EF5B0">
      <w:numFmt w:val="decimal"/>
      <w:lvlText w:val=""/>
      <w:lvlJc w:val="left"/>
    </w:lvl>
  </w:abstractNum>
  <w:abstractNum w:abstractNumId="13">
    <w:nsid w:val="6DE91B18"/>
    <w:multiLevelType w:val="hybridMultilevel"/>
    <w:tmpl w:val="1C565E88"/>
    <w:lvl w:ilvl="0" w:tplc="E842CECC">
      <w:start w:val="10"/>
      <w:numFmt w:val="decimal"/>
      <w:lvlText w:val="%1."/>
      <w:lvlJc w:val="left"/>
    </w:lvl>
    <w:lvl w:ilvl="1" w:tplc="EC8408C6">
      <w:numFmt w:val="decimal"/>
      <w:lvlText w:val=""/>
      <w:lvlJc w:val="left"/>
    </w:lvl>
    <w:lvl w:ilvl="2" w:tplc="D8ACFD26">
      <w:numFmt w:val="decimal"/>
      <w:lvlText w:val=""/>
      <w:lvlJc w:val="left"/>
    </w:lvl>
    <w:lvl w:ilvl="3" w:tplc="45F07492">
      <w:numFmt w:val="decimal"/>
      <w:lvlText w:val=""/>
      <w:lvlJc w:val="left"/>
    </w:lvl>
    <w:lvl w:ilvl="4" w:tplc="867CD564">
      <w:numFmt w:val="decimal"/>
      <w:lvlText w:val=""/>
      <w:lvlJc w:val="left"/>
    </w:lvl>
    <w:lvl w:ilvl="5" w:tplc="ECB8D3C4">
      <w:numFmt w:val="decimal"/>
      <w:lvlText w:val=""/>
      <w:lvlJc w:val="left"/>
    </w:lvl>
    <w:lvl w:ilvl="6" w:tplc="A120BA70">
      <w:numFmt w:val="decimal"/>
      <w:lvlText w:val=""/>
      <w:lvlJc w:val="left"/>
    </w:lvl>
    <w:lvl w:ilvl="7" w:tplc="CE288376">
      <w:numFmt w:val="decimal"/>
      <w:lvlText w:val=""/>
      <w:lvlJc w:val="left"/>
    </w:lvl>
    <w:lvl w:ilvl="8" w:tplc="EB50179C">
      <w:numFmt w:val="decimal"/>
      <w:lvlText w:val=""/>
      <w:lvlJc w:val="left"/>
    </w:lvl>
  </w:abstractNum>
  <w:abstractNum w:abstractNumId="14">
    <w:nsid w:val="71F32454"/>
    <w:multiLevelType w:val="hybridMultilevel"/>
    <w:tmpl w:val="A568F2B8"/>
    <w:lvl w:ilvl="0" w:tplc="4656E46E">
      <w:start w:val="1"/>
      <w:numFmt w:val="decimal"/>
      <w:lvlText w:val="%1."/>
      <w:lvlJc w:val="left"/>
    </w:lvl>
    <w:lvl w:ilvl="1" w:tplc="E730D478">
      <w:numFmt w:val="decimal"/>
      <w:lvlText w:val=""/>
      <w:lvlJc w:val="left"/>
    </w:lvl>
    <w:lvl w:ilvl="2" w:tplc="94F4F95E">
      <w:numFmt w:val="decimal"/>
      <w:lvlText w:val=""/>
      <w:lvlJc w:val="left"/>
    </w:lvl>
    <w:lvl w:ilvl="3" w:tplc="392E1868">
      <w:numFmt w:val="decimal"/>
      <w:lvlText w:val=""/>
      <w:lvlJc w:val="left"/>
    </w:lvl>
    <w:lvl w:ilvl="4" w:tplc="A864B4A2">
      <w:numFmt w:val="decimal"/>
      <w:lvlText w:val=""/>
      <w:lvlJc w:val="left"/>
    </w:lvl>
    <w:lvl w:ilvl="5" w:tplc="6080A290">
      <w:numFmt w:val="decimal"/>
      <w:lvlText w:val=""/>
      <w:lvlJc w:val="left"/>
    </w:lvl>
    <w:lvl w:ilvl="6" w:tplc="F30240AC">
      <w:numFmt w:val="decimal"/>
      <w:lvlText w:val=""/>
      <w:lvlJc w:val="left"/>
    </w:lvl>
    <w:lvl w:ilvl="7" w:tplc="53B60346">
      <w:numFmt w:val="decimal"/>
      <w:lvlText w:val=""/>
      <w:lvlJc w:val="left"/>
    </w:lvl>
    <w:lvl w:ilvl="8" w:tplc="17B28202">
      <w:numFmt w:val="decimal"/>
      <w:lvlText w:val=""/>
      <w:lvlJc w:val="left"/>
    </w:lvl>
  </w:abstractNum>
  <w:abstractNum w:abstractNumId="15">
    <w:nsid w:val="725A06FB"/>
    <w:multiLevelType w:val="hybridMultilevel"/>
    <w:tmpl w:val="9836F3C2"/>
    <w:lvl w:ilvl="0" w:tplc="221A95F8">
      <w:start w:val="1"/>
      <w:numFmt w:val="bullet"/>
      <w:lvlText w:val="и"/>
      <w:lvlJc w:val="left"/>
    </w:lvl>
    <w:lvl w:ilvl="1" w:tplc="DE80618A">
      <w:numFmt w:val="decimal"/>
      <w:lvlText w:val=""/>
      <w:lvlJc w:val="left"/>
    </w:lvl>
    <w:lvl w:ilvl="2" w:tplc="7ED404C4">
      <w:numFmt w:val="decimal"/>
      <w:lvlText w:val=""/>
      <w:lvlJc w:val="left"/>
    </w:lvl>
    <w:lvl w:ilvl="3" w:tplc="294E0E86">
      <w:numFmt w:val="decimal"/>
      <w:lvlText w:val=""/>
      <w:lvlJc w:val="left"/>
    </w:lvl>
    <w:lvl w:ilvl="4" w:tplc="A7E21416">
      <w:numFmt w:val="decimal"/>
      <w:lvlText w:val=""/>
      <w:lvlJc w:val="left"/>
    </w:lvl>
    <w:lvl w:ilvl="5" w:tplc="DCB80E4C">
      <w:numFmt w:val="decimal"/>
      <w:lvlText w:val=""/>
      <w:lvlJc w:val="left"/>
    </w:lvl>
    <w:lvl w:ilvl="6" w:tplc="E8E2EB8A">
      <w:numFmt w:val="decimal"/>
      <w:lvlText w:val=""/>
      <w:lvlJc w:val="left"/>
    </w:lvl>
    <w:lvl w:ilvl="7" w:tplc="CDACEB88">
      <w:numFmt w:val="decimal"/>
      <w:lvlText w:val=""/>
      <w:lvlJc w:val="left"/>
    </w:lvl>
    <w:lvl w:ilvl="8" w:tplc="5BFE7A16">
      <w:numFmt w:val="decimal"/>
      <w:lvlText w:val=""/>
      <w:lvlJc w:val="left"/>
    </w:lvl>
  </w:abstractNum>
  <w:abstractNum w:abstractNumId="16">
    <w:nsid w:val="749ABB43"/>
    <w:multiLevelType w:val="hybridMultilevel"/>
    <w:tmpl w:val="F18AFFF0"/>
    <w:lvl w:ilvl="0" w:tplc="30DE0A36">
      <w:start w:val="33"/>
      <w:numFmt w:val="decimal"/>
      <w:lvlText w:val="%1."/>
      <w:lvlJc w:val="left"/>
    </w:lvl>
    <w:lvl w:ilvl="1" w:tplc="21AE8BCC">
      <w:numFmt w:val="decimal"/>
      <w:lvlText w:val=""/>
      <w:lvlJc w:val="left"/>
    </w:lvl>
    <w:lvl w:ilvl="2" w:tplc="8EEA1674">
      <w:numFmt w:val="decimal"/>
      <w:lvlText w:val=""/>
      <w:lvlJc w:val="left"/>
    </w:lvl>
    <w:lvl w:ilvl="3" w:tplc="BD9479FA">
      <w:numFmt w:val="decimal"/>
      <w:lvlText w:val=""/>
      <w:lvlJc w:val="left"/>
    </w:lvl>
    <w:lvl w:ilvl="4" w:tplc="E6BAF552">
      <w:numFmt w:val="decimal"/>
      <w:lvlText w:val=""/>
      <w:lvlJc w:val="left"/>
    </w:lvl>
    <w:lvl w:ilvl="5" w:tplc="0BC6E99A">
      <w:numFmt w:val="decimal"/>
      <w:lvlText w:val=""/>
      <w:lvlJc w:val="left"/>
    </w:lvl>
    <w:lvl w:ilvl="6" w:tplc="80EC59FC">
      <w:numFmt w:val="decimal"/>
      <w:lvlText w:val=""/>
      <w:lvlJc w:val="left"/>
    </w:lvl>
    <w:lvl w:ilvl="7" w:tplc="91D63914">
      <w:numFmt w:val="decimal"/>
      <w:lvlText w:val=""/>
      <w:lvlJc w:val="left"/>
    </w:lvl>
    <w:lvl w:ilvl="8" w:tplc="1BB4444A">
      <w:numFmt w:val="decimal"/>
      <w:lvlText w:val=""/>
      <w:lvlJc w:val="left"/>
    </w:lvl>
  </w:abstractNum>
  <w:abstractNum w:abstractNumId="17">
    <w:nsid w:val="75C6C33A"/>
    <w:multiLevelType w:val="hybridMultilevel"/>
    <w:tmpl w:val="B9FA3C76"/>
    <w:lvl w:ilvl="0" w:tplc="E5EAFD5C">
      <w:start w:val="42"/>
      <w:numFmt w:val="decimal"/>
      <w:lvlText w:val="%1."/>
      <w:lvlJc w:val="left"/>
    </w:lvl>
    <w:lvl w:ilvl="1" w:tplc="5F0CD1DE">
      <w:numFmt w:val="decimal"/>
      <w:lvlText w:val=""/>
      <w:lvlJc w:val="left"/>
    </w:lvl>
    <w:lvl w:ilvl="2" w:tplc="CCF683FE">
      <w:numFmt w:val="decimal"/>
      <w:lvlText w:val=""/>
      <w:lvlJc w:val="left"/>
    </w:lvl>
    <w:lvl w:ilvl="3" w:tplc="2F3C91EC">
      <w:numFmt w:val="decimal"/>
      <w:lvlText w:val=""/>
      <w:lvlJc w:val="left"/>
    </w:lvl>
    <w:lvl w:ilvl="4" w:tplc="A63009EA">
      <w:numFmt w:val="decimal"/>
      <w:lvlText w:val=""/>
      <w:lvlJc w:val="left"/>
    </w:lvl>
    <w:lvl w:ilvl="5" w:tplc="B2A86CBC">
      <w:numFmt w:val="decimal"/>
      <w:lvlText w:val=""/>
      <w:lvlJc w:val="left"/>
    </w:lvl>
    <w:lvl w:ilvl="6" w:tplc="00505246">
      <w:numFmt w:val="decimal"/>
      <w:lvlText w:val=""/>
      <w:lvlJc w:val="left"/>
    </w:lvl>
    <w:lvl w:ilvl="7" w:tplc="AE86E824">
      <w:numFmt w:val="decimal"/>
      <w:lvlText w:val=""/>
      <w:lvlJc w:val="left"/>
    </w:lvl>
    <w:lvl w:ilvl="8" w:tplc="30127C52">
      <w:numFmt w:val="decimal"/>
      <w:lvlText w:val=""/>
      <w:lvlJc w:val="left"/>
    </w:lvl>
  </w:abstractNum>
  <w:abstractNum w:abstractNumId="18">
    <w:nsid w:val="7644A45C"/>
    <w:multiLevelType w:val="hybridMultilevel"/>
    <w:tmpl w:val="280EEA1C"/>
    <w:lvl w:ilvl="0" w:tplc="E5128BEC">
      <w:start w:val="13"/>
      <w:numFmt w:val="decimal"/>
      <w:lvlText w:val="%1."/>
      <w:lvlJc w:val="left"/>
    </w:lvl>
    <w:lvl w:ilvl="1" w:tplc="83DAAEDC">
      <w:numFmt w:val="decimal"/>
      <w:lvlText w:val=""/>
      <w:lvlJc w:val="left"/>
    </w:lvl>
    <w:lvl w:ilvl="2" w:tplc="BB424FF8">
      <w:numFmt w:val="decimal"/>
      <w:lvlText w:val=""/>
      <w:lvlJc w:val="left"/>
    </w:lvl>
    <w:lvl w:ilvl="3" w:tplc="7742A60A">
      <w:numFmt w:val="decimal"/>
      <w:lvlText w:val=""/>
      <w:lvlJc w:val="left"/>
    </w:lvl>
    <w:lvl w:ilvl="4" w:tplc="3CC6F812">
      <w:numFmt w:val="decimal"/>
      <w:lvlText w:val=""/>
      <w:lvlJc w:val="left"/>
    </w:lvl>
    <w:lvl w:ilvl="5" w:tplc="83782B70">
      <w:numFmt w:val="decimal"/>
      <w:lvlText w:val=""/>
      <w:lvlJc w:val="left"/>
    </w:lvl>
    <w:lvl w:ilvl="6" w:tplc="E0DAC77E">
      <w:numFmt w:val="decimal"/>
      <w:lvlText w:val=""/>
      <w:lvlJc w:val="left"/>
    </w:lvl>
    <w:lvl w:ilvl="7" w:tplc="EB0E17EA">
      <w:numFmt w:val="decimal"/>
      <w:lvlText w:val=""/>
      <w:lvlJc w:val="left"/>
    </w:lvl>
    <w:lvl w:ilvl="8" w:tplc="AE64A718">
      <w:numFmt w:val="decimal"/>
      <w:lvlText w:val=""/>
      <w:lvlJc w:val="left"/>
    </w:lvl>
  </w:abstractNum>
  <w:abstractNum w:abstractNumId="19">
    <w:nsid w:val="79A1DEAA"/>
    <w:multiLevelType w:val="hybridMultilevel"/>
    <w:tmpl w:val="0EA65C3C"/>
    <w:lvl w:ilvl="0" w:tplc="E7042B4C">
      <w:start w:val="38"/>
      <w:numFmt w:val="decimal"/>
      <w:lvlText w:val="%1."/>
      <w:lvlJc w:val="left"/>
    </w:lvl>
    <w:lvl w:ilvl="1" w:tplc="82D6C39A">
      <w:numFmt w:val="decimal"/>
      <w:lvlText w:val=""/>
      <w:lvlJc w:val="left"/>
    </w:lvl>
    <w:lvl w:ilvl="2" w:tplc="78803B5A">
      <w:numFmt w:val="decimal"/>
      <w:lvlText w:val=""/>
      <w:lvlJc w:val="left"/>
    </w:lvl>
    <w:lvl w:ilvl="3" w:tplc="413A9DFA">
      <w:numFmt w:val="decimal"/>
      <w:lvlText w:val=""/>
      <w:lvlJc w:val="left"/>
    </w:lvl>
    <w:lvl w:ilvl="4" w:tplc="0A8E2902">
      <w:numFmt w:val="decimal"/>
      <w:lvlText w:val=""/>
      <w:lvlJc w:val="left"/>
    </w:lvl>
    <w:lvl w:ilvl="5" w:tplc="76DA2210">
      <w:numFmt w:val="decimal"/>
      <w:lvlText w:val=""/>
      <w:lvlJc w:val="left"/>
    </w:lvl>
    <w:lvl w:ilvl="6" w:tplc="20442D56">
      <w:numFmt w:val="decimal"/>
      <w:lvlText w:val=""/>
      <w:lvlJc w:val="left"/>
    </w:lvl>
    <w:lvl w:ilvl="7" w:tplc="C8AC2600">
      <w:numFmt w:val="decimal"/>
      <w:lvlText w:val=""/>
      <w:lvlJc w:val="left"/>
    </w:lvl>
    <w:lvl w:ilvl="8" w:tplc="13B43EBA">
      <w:numFmt w:val="decimal"/>
      <w:lvlText w:val=""/>
      <w:lvlJc w:val="left"/>
    </w:lvl>
  </w:abstractNum>
  <w:abstractNum w:abstractNumId="20">
    <w:nsid w:val="7A6D8D3C"/>
    <w:multiLevelType w:val="hybridMultilevel"/>
    <w:tmpl w:val="C6DA24F4"/>
    <w:lvl w:ilvl="0" w:tplc="FFE8174A">
      <w:start w:val="2"/>
      <w:numFmt w:val="decimal"/>
      <w:lvlText w:val="%1."/>
      <w:lvlJc w:val="left"/>
    </w:lvl>
    <w:lvl w:ilvl="1" w:tplc="F95AAC3E">
      <w:numFmt w:val="decimal"/>
      <w:lvlText w:val=""/>
      <w:lvlJc w:val="left"/>
    </w:lvl>
    <w:lvl w:ilvl="2" w:tplc="4112A454">
      <w:numFmt w:val="decimal"/>
      <w:lvlText w:val=""/>
      <w:lvlJc w:val="left"/>
    </w:lvl>
    <w:lvl w:ilvl="3" w:tplc="D1F64B88">
      <w:numFmt w:val="decimal"/>
      <w:lvlText w:val=""/>
      <w:lvlJc w:val="left"/>
    </w:lvl>
    <w:lvl w:ilvl="4" w:tplc="1E2C01C6">
      <w:numFmt w:val="decimal"/>
      <w:lvlText w:val=""/>
      <w:lvlJc w:val="left"/>
    </w:lvl>
    <w:lvl w:ilvl="5" w:tplc="7D2ED3C4">
      <w:numFmt w:val="decimal"/>
      <w:lvlText w:val=""/>
      <w:lvlJc w:val="left"/>
    </w:lvl>
    <w:lvl w:ilvl="6" w:tplc="C432660C">
      <w:numFmt w:val="decimal"/>
      <w:lvlText w:val=""/>
      <w:lvlJc w:val="left"/>
    </w:lvl>
    <w:lvl w:ilvl="7" w:tplc="45D69CEE">
      <w:numFmt w:val="decimal"/>
      <w:lvlText w:val=""/>
      <w:lvlJc w:val="left"/>
    </w:lvl>
    <w:lvl w:ilvl="8" w:tplc="C2BC3066">
      <w:numFmt w:val="decimal"/>
      <w:lvlText w:val=""/>
      <w:lvlJc w:val="left"/>
    </w:lvl>
  </w:abstractNum>
  <w:num w:numId="1">
    <w:abstractNumId w:val="0"/>
  </w:num>
  <w:num w:numId="2">
    <w:abstractNumId w:val="9"/>
  </w:num>
  <w:num w:numId="3">
    <w:abstractNumId w:val="14"/>
  </w:num>
  <w:num w:numId="4">
    <w:abstractNumId w:val="2"/>
  </w:num>
  <w:num w:numId="5">
    <w:abstractNumId w:val="15"/>
  </w:num>
  <w:num w:numId="6">
    <w:abstractNumId w:val="3"/>
  </w:num>
  <w:num w:numId="7">
    <w:abstractNumId w:val="11"/>
  </w:num>
  <w:num w:numId="8">
    <w:abstractNumId w:val="20"/>
  </w:num>
  <w:num w:numId="9">
    <w:abstractNumId w:val="7"/>
  </w:num>
  <w:num w:numId="10">
    <w:abstractNumId w:val="8"/>
  </w:num>
  <w:num w:numId="11">
    <w:abstractNumId w:val="13"/>
  </w:num>
  <w:num w:numId="12">
    <w:abstractNumId w:val="5"/>
  </w:num>
  <w:num w:numId="13">
    <w:abstractNumId w:val="18"/>
  </w:num>
  <w:num w:numId="14">
    <w:abstractNumId w:val="4"/>
  </w:num>
  <w:num w:numId="15">
    <w:abstractNumId w:val="12"/>
  </w:num>
  <w:num w:numId="16">
    <w:abstractNumId w:val="10"/>
  </w:num>
  <w:num w:numId="17">
    <w:abstractNumId w:val="16"/>
  </w:num>
  <w:num w:numId="18">
    <w:abstractNumId w:val="6"/>
  </w:num>
  <w:num w:numId="19">
    <w:abstractNumId w:val="1"/>
  </w:num>
  <w:num w:numId="20">
    <w:abstractNumId w:val="19"/>
  </w:num>
  <w:num w:numId="21">
    <w:abstractNumId w:val="17"/>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2F95"/>
    <w:rsid w:val="00150548"/>
    <w:rsid w:val="003A2709"/>
    <w:rsid w:val="00682F95"/>
    <w:rsid w:val="00E3793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sz w:val="22"/>
        <w:szCs w:val="22"/>
        <w:lang w:val="uk-UA" w:eastAsia="uk-U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EastAsia" w:hAnsi="Times New Roman" w:cs="Times New Roman"/>
        <w:sz w:val="22"/>
        <w:szCs w:val="22"/>
        <w:lang w:val="uk-UA" w:eastAsia="uk-U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ru.wikipedia.org/wiki/%D0%9F%D0%BE%D0%BB_%D1%87%D0%B5%D0%BB%D0%BE%D0%B2%D0%B5%D0%BA%D0%B0"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hyperlink" Target="https://ru.wikipedia.org/wiki/%D0%A1%D0%BE%D1%86%D0%B8%D0%B0%D0%BB%D1%8C%D0%BD%D0%BE%D0%B5_%D0%BD%D0%B5%D1%80%D0%B0%D0%B2%D0%B5%D0%BD%D1%81%D1%82%D0%B2%D0%BE" TargetMode="Externa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ru.wikipedia.org/wiki/%D0%92%D0%B5%D1%80%D0%BE%D0%B8%D1%81%D0%BF%D0%BE%D0%B2%D0%B5%D0%B4%D0%B0%D0%BD%D0%B8%D0%B5" TargetMode="External"/><Relationship Id="rId5" Type="http://schemas.openxmlformats.org/officeDocument/2006/relationships/settings" Target="settings.xml"/><Relationship Id="rId10" Type="http://schemas.openxmlformats.org/officeDocument/2006/relationships/hyperlink" Target="https://ru.wikipedia.org/wiki/%D0%92%D0%BE%D0%B7%D1%80%D0%B0%D1%81%D1%82" TargetMode="External"/><Relationship Id="rId4" Type="http://schemas.microsoft.com/office/2007/relationships/stylesWithEffects" Target="stylesWithEffects.xml"/><Relationship Id="rId9" Type="http://schemas.openxmlformats.org/officeDocument/2006/relationships/hyperlink" Target="https://ru.wikipedia.org/wiki/%D0%9D%D0%B0%D1%86%D0%B8%D0%BE%D0%BD%D0%B0%D0%BB%D1%8C%D0%BD%D0%BE%D1%81%D1%82%D1%8C"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AEFBE90-2E3A-426C-8660-0B5278349F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13898</Words>
  <Characters>7923</Characters>
  <Application>Microsoft Office Word</Application>
  <DocSecurity>0</DocSecurity>
  <Lines>66</Lines>
  <Paragraphs>43</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SPecialiST RePack</Company>
  <LinksUpToDate>false</LinksUpToDate>
  <CharactersWithSpaces>21778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admin</cp:lastModifiedBy>
  <cp:revision>2</cp:revision>
  <dcterms:created xsi:type="dcterms:W3CDTF">2019-01-03T13:12:00Z</dcterms:created>
  <dcterms:modified xsi:type="dcterms:W3CDTF">2019-01-03T13:12:00Z</dcterms:modified>
</cp:coreProperties>
</file>